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D1BED" w14:textId="1409AE4F" w:rsidR="00BD31E4" w:rsidRPr="00BD31E4" w:rsidRDefault="00804B74" w:rsidP="00BD31E4">
      <w:pPr>
        <w:autoSpaceDE w:val="0"/>
        <w:autoSpaceDN w:val="0"/>
        <w:adjustRightInd w:val="0"/>
        <w:spacing w:after="520" w:line="240" w:lineRule="auto"/>
        <w:rPr>
          <w:rFonts w:ascii="Times New Roman" w:hAnsi="Times New Roman" w:cs="Times New Roman"/>
          <w:sz w:val="20"/>
          <w:szCs w:val="20"/>
        </w:rPr>
      </w:pPr>
      <w:r w:rsidRPr="00BD31E4">
        <w:rPr>
          <w:rFonts w:ascii="Times New Roman" w:hAnsi="Times New Roman" w:cs="Times New Roman"/>
          <w:sz w:val="20"/>
          <w:szCs w:val="20"/>
        </w:rPr>
        <w:t>SAFETY-D-20</w:t>
      </w:r>
      <w:r w:rsidR="00BD31E4">
        <w:rPr>
          <w:rFonts w:ascii="Times New Roman" w:hAnsi="Times New Roman" w:cs="Times New Roman"/>
          <w:sz w:val="20"/>
          <w:szCs w:val="20"/>
        </w:rPr>
        <w:t>-</w:t>
      </w:r>
      <w:r w:rsidRPr="00BD31E4">
        <w:rPr>
          <w:rFonts w:ascii="Times New Roman" w:hAnsi="Times New Roman" w:cs="Times New Roman"/>
          <w:sz w:val="20"/>
          <w:szCs w:val="20"/>
        </w:rPr>
        <w:t>00</w:t>
      </w:r>
      <w:r w:rsidR="00BD31E4" w:rsidRPr="00BD31E4">
        <w:rPr>
          <w:rFonts w:ascii="Times New Roman" w:hAnsi="Times New Roman" w:cs="Times New Roman"/>
          <w:sz w:val="20"/>
          <w:szCs w:val="20"/>
        </w:rPr>
        <w:t>638</w:t>
      </w:r>
    </w:p>
    <w:p w14:paraId="6E5896B0" w14:textId="484AEDAF" w:rsidR="000626DF" w:rsidRPr="00943443" w:rsidRDefault="00DB4138" w:rsidP="008B7DE0">
      <w:pPr>
        <w:autoSpaceDE w:val="0"/>
        <w:autoSpaceDN w:val="0"/>
        <w:adjustRightInd w:val="0"/>
        <w:spacing w:after="520" w:line="240" w:lineRule="auto"/>
        <w:jc w:val="center"/>
        <w:rPr>
          <w:rFonts w:ascii="Times New Roman" w:hAnsi="Times New Roman" w:cs="Times New Roman"/>
          <w:sz w:val="28"/>
          <w:szCs w:val="28"/>
        </w:rPr>
      </w:pPr>
      <w:r w:rsidRPr="00943443">
        <w:rPr>
          <w:rFonts w:ascii="Times New Roman" w:hAnsi="Times New Roman" w:cs="Times New Roman"/>
          <w:sz w:val="28"/>
          <w:szCs w:val="28"/>
        </w:rPr>
        <w:t xml:space="preserve">Assessment </w:t>
      </w:r>
      <w:r>
        <w:rPr>
          <w:rFonts w:ascii="Times New Roman" w:hAnsi="Times New Roman" w:cs="Times New Roman"/>
          <w:sz w:val="28"/>
          <w:szCs w:val="28"/>
        </w:rPr>
        <w:t xml:space="preserve">of </w:t>
      </w:r>
      <w:r w:rsidR="00C12EB9" w:rsidRPr="00943443">
        <w:rPr>
          <w:rFonts w:ascii="Times New Roman" w:hAnsi="Times New Roman" w:cs="Times New Roman"/>
          <w:sz w:val="28"/>
          <w:szCs w:val="28"/>
        </w:rPr>
        <w:t>Risk</w:t>
      </w:r>
      <w:r w:rsidR="000F723B">
        <w:rPr>
          <w:rFonts w:ascii="Times New Roman" w:hAnsi="Times New Roman" w:cs="Times New Roman"/>
          <w:sz w:val="28"/>
          <w:szCs w:val="28"/>
        </w:rPr>
        <w:t xml:space="preserve"> </w:t>
      </w:r>
      <w:r w:rsidR="00210ED0">
        <w:rPr>
          <w:rFonts w:ascii="Times New Roman" w:hAnsi="Times New Roman" w:cs="Times New Roman"/>
          <w:sz w:val="28"/>
          <w:szCs w:val="28"/>
        </w:rPr>
        <w:t>Tolerance</w:t>
      </w:r>
      <w:r w:rsidR="00C12EB9" w:rsidRPr="00943443">
        <w:rPr>
          <w:rFonts w:ascii="Times New Roman" w:hAnsi="Times New Roman" w:cs="Times New Roman"/>
          <w:sz w:val="28"/>
          <w:szCs w:val="28"/>
        </w:rPr>
        <w:t xml:space="preserve"> f</w:t>
      </w:r>
      <w:r>
        <w:rPr>
          <w:rFonts w:ascii="Times New Roman" w:hAnsi="Times New Roman" w:cs="Times New Roman"/>
          <w:sz w:val="28"/>
          <w:szCs w:val="28"/>
        </w:rPr>
        <w:t>or</w:t>
      </w:r>
      <w:r w:rsidR="00C12EB9" w:rsidRPr="00943443">
        <w:rPr>
          <w:rFonts w:ascii="Times New Roman" w:hAnsi="Times New Roman" w:cs="Times New Roman"/>
          <w:sz w:val="28"/>
          <w:szCs w:val="28"/>
        </w:rPr>
        <w:t xml:space="preserve"> Future Autonomous Offshore Installations</w:t>
      </w:r>
    </w:p>
    <w:p w14:paraId="5799C99C" w14:textId="30B67DE5" w:rsidR="000626DF" w:rsidRPr="005F58ED" w:rsidRDefault="00052742" w:rsidP="00F31FAE">
      <w:pPr>
        <w:autoSpaceDE w:val="0"/>
        <w:autoSpaceDN w:val="0"/>
        <w:adjustRightInd w:val="0"/>
        <w:spacing w:after="60" w:line="240" w:lineRule="auto"/>
        <w:rPr>
          <w:rFonts w:ascii="Times New Roman" w:hAnsi="Times New Roman" w:cs="Times New Roman"/>
        </w:rPr>
      </w:pPr>
      <w:r w:rsidRPr="005F58ED">
        <w:rPr>
          <w:rFonts w:ascii="Times New Roman" w:hAnsi="Times New Roman" w:cs="Times New Roman"/>
        </w:rPr>
        <w:t>Jan Erik Vinnem</w:t>
      </w:r>
    </w:p>
    <w:p w14:paraId="41D84043" w14:textId="5BDF555F" w:rsidR="000626DF" w:rsidRPr="008D36C2" w:rsidRDefault="008D36C2" w:rsidP="00245453">
      <w:pPr>
        <w:autoSpaceDE w:val="0"/>
        <w:autoSpaceDN w:val="0"/>
        <w:adjustRightInd w:val="0"/>
        <w:spacing w:after="0" w:line="240" w:lineRule="auto"/>
        <w:rPr>
          <w:rFonts w:ascii="Times New Roman" w:hAnsi="Times New Roman" w:cs="Times New Roman"/>
          <w:i/>
          <w:iCs/>
          <w:lang w:val="en-GB"/>
        </w:rPr>
      </w:pPr>
      <w:r w:rsidRPr="008D36C2">
        <w:rPr>
          <w:rFonts w:ascii="Times New Roman" w:hAnsi="Times New Roman" w:cs="Times New Roman"/>
          <w:i/>
          <w:iCs/>
          <w:lang w:val="en-GB"/>
        </w:rPr>
        <w:t xml:space="preserve">Department of </w:t>
      </w:r>
      <w:r w:rsidR="002E5ACE">
        <w:rPr>
          <w:rFonts w:ascii="Times New Roman" w:hAnsi="Times New Roman" w:cs="Times New Roman"/>
          <w:i/>
          <w:iCs/>
          <w:lang w:val="en-GB"/>
        </w:rPr>
        <w:t>M</w:t>
      </w:r>
      <w:r w:rsidRPr="008D36C2">
        <w:rPr>
          <w:rFonts w:ascii="Times New Roman" w:hAnsi="Times New Roman" w:cs="Times New Roman"/>
          <w:i/>
          <w:iCs/>
          <w:lang w:val="en-GB"/>
        </w:rPr>
        <w:t>a</w:t>
      </w:r>
      <w:r>
        <w:rPr>
          <w:rFonts w:ascii="Times New Roman" w:hAnsi="Times New Roman" w:cs="Times New Roman"/>
          <w:i/>
          <w:iCs/>
          <w:lang w:val="en-GB"/>
        </w:rPr>
        <w:t xml:space="preserve">rine </w:t>
      </w:r>
      <w:r w:rsidR="002E5ACE">
        <w:rPr>
          <w:rFonts w:ascii="Times New Roman" w:hAnsi="Times New Roman" w:cs="Times New Roman"/>
          <w:i/>
          <w:iCs/>
          <w:lang w:val="en-GB"/>
        </w:rPr>
        <w:t>T</w:t>
      </w:r>
      <w:r>
        <w:rPr>
          <w:rFonts w:ascii="Times New Roman" w:hAnsi="Times New Roman" w:cs="Times New Roman"/>
          <w:i/>
          <w:iCs/>
          <w:lang w:val="en-GB"/>
        </w:rPr>
        <w:t xml:space="preserve">echnology, </w:t>
      </w:r>
      <w:r w:rsidR="00410C0D" w:rsidRPr="008D36C2">
        <w:rPr>
          <w:rFonts w:ascii="Times New Roman" w:hAnsi="Times New Roman" w:cs="Times New Roman"/>
          <w:i/>
          <w:iCs/>
          <w:lang w:val="en-GB"/>
        </w:rPr>
        <w:t>NTNU</w:t>
      </w:r>
      <w:r w:rsidR="001D359A" w:rsidRPr="008D36C2">
        <w:rPr>
          <w:rFonts w:ascii="Times New Roman" w:hAnsi="Times New Roman" w:cs="Times New Roman"/>
          <w:i/>
          <w:iCs/>
          <w:lang w:val="en-GB"/>
        </w:rPr>
        <w:t xml:space="preserve">, </w:t>
      </w:r>
      <w:r w:rsidR="00245453" w:rsidRPr="008D36C2">
        <w:rPr>
          <w:rFonts w:ascii="Times New Roman" w:hAnsi="Times New Roman" w:cs="Times New Roman"/>
          <w:i/>
          <w:iCs/>
          <w:lang w:val="en-GB"/>
        </w:rPr>
        <w:t>74</w:t>
      </w:r>
      <w:r w:rsidR="003815FD" w:rsidRPr="008D36C2">
        <w:rPr>
          <w:rFonts w:ascii="Times New Roman" w:hAnsi="Times New Roman" w:cs="Times New Roman"/>
          <w:i/>
          <w:iCs/>
          <w:lang w:val="en-GB"/>
        </w:rPr>
        <w:t>9</w:t>
      </w:r>
      <w:r w:rsidR="00245453" w:rsidRPr="008D36C2">
        <w:rPr>
          <w:rFonts w:ascii="Times New Roman" w:hAnsi="Times New Roman" w:cs="Times New Roman"/>
          <w:i/>
          <w:iCs/>
          <w:lang w:val="en-GB"/>
        </w:rPr>
        <w:t>1 Trondheim, Norway</w:t>
      </w:r>
      <w:r w:rsidR="00604F46" w:rsidRPr="008D36C2">
        <w:rPr>
          <w:rFonts w:ascii="Times New Roman" w:hAnsi="Times New Roman" w:cs="Times New Roman"/>
          <w:i/>
          <w:iCs/>
          <w:lang w:val="en-GB"/>
        </w:rPr>
        <w:t>,</w:t>
      </w:r>
      <w:r w:rsidR="00245453" w:rsidRPr="008D36C2">
        <w:rPr>
          <w:rFonts w:ascii="Times New Roman" w:hAnsi="Times New Roman" w:cs="Times New Roman"/>
          <w:i/>
          <w:iCs/>
          <w:lang w:val="en-GB"/>
        </w:rPr>
        <w:t xml:space="preserve"> jan.erik.vinnem@</w:t>
      </w:r>
      <w:r w:rsidR="003815FD" w:rsidRPr="008D36C2">
        <w:rPr>
          <w:rFonts w:ascii="Times New Roman" w:hAnsi="Times New Roman" w:cs="Times New Roman"/>
          <w:i/>
          <w:iCs/>
          <w:lang w:val="en-GB"/>
        </w:rPr>
        <w:t>ntnu</w:t>
      </w:r>
      <w:r w:rsidR="00245453" w:rsidRPr="008D36C2">
        <w:rPr>
          <w:rFonts w:ascii="Times New Roman" w:hAnsi="Times New Roman" w:cs="Times New Roman"/>
          <w:i/>
          <w:iCs/>
          <w:lang w:val="en-GB"/>
        </w:rPr>
        <w:t>.no</w:t>
      </w:r>
    </w:p>
    <w:p w14:paraId="2EF8F330" w14:textId="77777777" w:rsidR="000626DF" w:rsidRPr="008D36C2" w:rsidRDefault="000626DF" w:rsidP="000626DF">
      <w:pPr>
        <w:autoSpaceDE w:val="0"/>
        <w:autoSpaceDN w:val="0"/>
        <w:adjustRightInd w:val="0"/>
        <w:spacing w:after="0" w:line="240" w:lineRule="auto"/>
        <w:rPr>
          <w:rFonts w:ascii="Times New Roman" w:hAnsi="Times New Roman" w:cs="Times New Roman"/>
          <w:i/>
          <w:iCs/>
          <w:lang w:val="en-GB"/>
        </w:rPr>
      </w:pPr>
    </w:p>
    <w:p w14:paraId="1F96477D" w14:textId="77777777" w:rsidR="000626DF" w:rsidRPr="008D36C2" w:rsidRDefault="000626DF" w:rsidP="000626DF">
      <w:pPr>
        <w:autoSpaceDE w:val="0"/>
        <w:autoSpaceDN w:val="0"/>
        <w:adjustRightInd w:val="0"/>
        <w:spacing w:after="0" w:line="240" w:lineRule="auto"/>
        <w:rPr>
          <w:rFonts w:ascii="Times New Roman" w:hAnsi="Times New Roman" w:cs="Times New Roman"/>
          <w:i/>
          <w:iCs/>
          <w:lang w:val="en-GB"/>
        </w:rPr>
      </w:pPr>
    </w:p>
    <w:p w14:paraId="63415216" w14:textId="4F8C6437" w:rsidR="000626DF" w:rsidRPr="005F58ED" w:rsidRDefault="006866E0" w:rsidP="000626DF">
      <w:pPr>
        <w:autoSpaceDE w:val="0"/>
        <w:autoSpaceDN w:val="0"/>
        <w:adjustRightInd w:val="0"/>
        <w:spacing w:after="0" w:line="240" w:lineRule="auto"/>
        <w:jc w:val="both"/>
        <w:rPr>
          <w:rFonts w:ascii="Times New Roman" w:hAnsi="Times New Roman" w:cs="Times New Roman"/>
        </w:rPr>
      </w:pPr>
      <w:r w:rsidRPr="005F58ED">
        <w:rPr>
          <w:rFonts w:ascii="Times New Roman" w:hAnsi="Times New Roman" w:cs="Times New Roman"/>
        </w:rPr>
        <w:t xml:space="preserve">The </w:t>
      </w:r>
      <w:r w:rsidR="00401C2A" w:rsidRPr="005F58ED">
        <w:rPr>
          <w:rFonts w:ascii="Times New Roman" w:hAnsi="Times New Roman" w:cs="Times New Roman"/>
        </w:rPr>
        <w:t>future</w:t>
      </w:r>
      <w:r w:rsidR="00717437" w:rsidRPr="005F58ED">
        <w:rPr>
          <w:rFonts w:ascii="Times New Roman" w:hAnsi="Times New Roman" w:cs="Times New Roman"/>
        </w:rPr>
        <w:t xml:space="preserve"> </w:t>
      </w:r>
      <w:r w:rsidRPr="005F58ED">
        <w:rPr>
          <w:rFonts w:ascii="Times New Roman" w:hAnsi="Times New Roman" w:cs="Times New Roman"/>
        </w:rPr>
        <w:t>normally unmanned production concepts</w:t>
      </w:r>
      <w:r w:rsidR="00026A0D" w:rsidRPr="005F58ED">
        <w:rPr>
          <w:rFonts w:ascii="Times New Roman" w:hAnsi="Times New Roman" w:cs="Times New Roman"/>
        </w:rPr>
        <w:t xml:space="preserve"> for offshore petroleum installations in the North Sea and associated waters</w:t>
      </w:r>
      <w:r w:rsidR="002A25EB" w:rsidRPr="005F58ED">
        <w:rPr>
          <w:rFonts w:ascii="Times New Roman" w:hAnsi="Times New Roman" w:cs="Times New Roman"/>
        </w:rPr>
        <w:t xml:space="preserve"> are briefly outlined</w:t>
      </w:r>
      <w:r w:rsidRPr="005F58ED">
        <w:rPr>
          <w:rFonts w:ascii="Times New Roman" w:hAnsi="Times New Roman" w:cs="Times New Roman"/>
        </w:rPr>
        <w:t xml:space="preserve">. A case study is </w:t>
      </w:r>
      <w:r w:rsidR="001014DF" w:rsidRPr="005F58ED">
        <w:rPr>
          <w:rFonts w:ascii="Times New Roman" w:hAnsi="Times New Roman" w:cs="Times New Roman"/>
        </w:rPr>
        <w:t>summari</w:t>
      </w:r>
      <w:r w:rsidR="00A912DC">
        <w:rPr>
          <w:rFonts w:ascii="Times New Roman" w:hAnsi="Times New Roman" w:cs="Times New Roman"/>
        </w:rPr>
        <w:t>s</w:t>
      </w:r>
      <w:r w:rsidR="001014DF" w:rsidRPr="005F58ED">
        <w:rPr>
          <w:rFonts w:ascii="Times New Roman" w:hAnsi="Times New Roman" w:cs="Times New Roman"/>
        </w:rPr>
        <w:t>ed</w:t>
      </w:r>
      <w:r w:rsidRPr="005F58ED">
        <w:rPr>
          <w:rFonts w:ascii="Times New Roman" w:hAnsi="Times New Roman" w:cs="Times New Roman"/>
        </w:rPr>
        <w:t xml:space="preserve"> for a fictitious </w:t>
      </w:r>
      <w:r w:rsidR="008977DE" w:rsidRPr="005F58ED">
        <w:rPr>
          <w:rFonts w:ascii="Times New Roman" w:hAnsi="Times New Roman" w:cs="Times New Roman"/>
        </w:rPr>
        <w:t>nor</w:t>
      </w:r>
      <w:r w:rsidR="000908AE" w:rsidRPr="005F58ED">
        <w:rPr>
          <w:rFonts w:ascii="Times New Roman" w:hAnsi="Times New Roman" w:cs="Times New Roman"/>
        </w:rPr>
        <w:t>mally unmanned</w:t>
      </w:r>
      <w:r w:rsidR="00383B95" w:rsidRPr="005F58ED">
        <w:rPr>
          <w:rFonts w:ascii="Times New Roman" w:hAnsi="Times New Roman" w:cs="Times New Roman"/>
        </w:rPr>
        <w:t xml:space="preserve"> </w:t>
      </w:r>
      <w:r w:rsidRPr="005F58ED">
        <w:rPr>
          <w:rFonts w:ascii="Times New Roman" w:hAnsi="Times New Roman" w:cs="Times New Roman"/>
        </w:rPr>
        <w:t>facility, and risk results are presented for three different cases with varying extent</w:t>
      </w:r>
      <w:r w:rsidR="00B87363">
        <w:rPr>
          <w:rFonts w:ascii="Times New Roman" w:hAnsi="Times New Roman" w:cs="Times New Roman"/>
        </w:rPr>
        <w:t>s</w:t>
      </w:r>
      <w:r w:rsidRPr="005F58ED">
        <w:rPr>
          <w:rFonts w:ascii="Times New Roman" w:hAnsi="Times New Roman" w:cs="Times New Roman"/>
        </w:rPr>
        <w:t xml:space="preserve"> of safety systems. The case study results are discussed with respect to the risk levels for personnel for the three cases. </w:t>
      </w:r>
      <w:r w:rsidR="009F1738" w:rsidRPr="005F58ED">
        <w:rPr>
          <w:rFonts w:ascii="Times New Roman" w:hAnsi="Times New Roman" w:cs="Times New Roman"/>
        </w:rPr>
        <w:t xml:space="preserve">Risk </w:t>
      </w:r>
      <w:r w:rsidR="006B0A1A" w:rsidRPr="005F58ED">
        <w:rPr>
          <w:rFonts w:ascii="Times New Roman" w:hAnsi="Times New Roman" w:cs="Times New Roman"/>
        </w:rPr>
        <w:t xml:space="preserve">tolerance criteria are discussed in general and for </w:t>
      </w:r>
      <w:r w:rsidR="00A37042" w:rsidRPr="005F58ED">
        <w:rPr>
          <w:rFonts w:ascii="Times New Roman" w:hAnsi="Times New Roman" w:cs="Times New Roman"/>
        </w:rPr>
        <w:t>unmanned production installations in particular</w:t>
      </w:r>
      <w:r w:rsidR="0085530E" w:rsidRPr="005F58ED">
        <w:rPr>
          <w:rFonts w:ascii="Times New Roman" w:hAnsi="Times New Roman" w:cs="Times New Roman"/>
        </w:rPr>
        <w:t xml:space="preserve">. Also </w:t>
      </w:r>
      <w:r w:rsidR="003D3DCE" w:rsidRPr="005F58ED">
        <w:rPr>
          <w:rFonts w:ascii="Times New Roman" w:hAnsi="Times New Roman" w:cs="Times New Roman"/>
        </w:rPr>
        <w:t xml:space="preserve">risk reducing </w:t>
      </w:r>
      <w:r w:rsidR="008B4413" w:rsidRPr="005F58ED">
        <w:rPr>
          <w:rFonts w:ascii="Times New Roman" w:hAnsi="Times New Roman" w:cs="Times New Roman"/>
        </w:rPr>
        <w:t>evaluations are discussed</w:t>
      </w:r>
      <w:r w:rsidR="00344289" w:rsidRPr="005F58ED">
        <w:rPr>
          <w:rFonts w:ascii="Times New Roman" w:hAnsi="Times New Roman" w:cs="Times New Roman"/>
        </w:rPr>
        <w:t xml:space="preserve"> briefly, in general as well as for unmanned production concepts. </w:t>
      </w:r>
      <w:r w:rsidRPr="005F58ED">
        <w:rPr>
          <w:rFonts w:ascii="Times New Roman" w:hAnsi="Times New Roman" w:cs="Times New Roman"/>
        </w:rPr>
        <w:t xml:space="preserve">Individual and societal risk are discussed, </w:t>
      </w:r>
      <w:r w:rsidR="00B87363">
        <w:rPr>
          <w:rFonts w:ascii="Times New Roman" w:hAnsi="Times New Roman" w:cs="Times New Roman"/>
        </w:rPr>
        <w:t>together with</w:t>
      </w:r>
      <w:r w:rsidRPr="005F58ED">
        <w:rPr>
          <w:rFonts w:ascii="Times New Roman" w:hAnsi="Times New Roman" w:cs="Times New Roman"/>
        </w:rPr>
        <w:t xml:space="preserve"> some </w:t>
      </w:r>
      <w:r w:rsidR="006F0DA4" w:rsidRPr="005F58ED">
        <w:rPr>
          <w:rFonts w:ascii="Times New Roman" w:hAnsi="Times New Roman" w:cs="Times New Roman"/>
        </w:rPr>
        <w:t xml:space="preserve">regulatory </w:t>
      </w:r>
      <w:r w:rsidRPr="005F58ED">
        <w:rPr>
          <w:rFonts w:ascii="Times New Roman" w:hAnsi="Times New Roman" w:cs="Times New Roman"/>
        </w:rPr>
        <w:t xml:space="preserve">challenges from </w:t>
      </w:r>
      <w:r w:rsidR="00B87363">
        <w:rPr>
          <w:rFonts w:ascii="Times New Roman" w:hAnsi="Times New Roman" w:cs="Times New Roman"/>
        </w:rPr>
        <w:t xml:space="preserve">the </w:t>
      </w:r>
      <w:r w:rsidRPr="005F58ED">
        <w:rPr>
          <w:rFonts w:ascii="Times New Roman" w:hAnsi="Times New Roman" w:cs="Times New Roman"/>
        </w:rPr>
        <w:t>risk management point of view for normally unmanned installations.</w:t>
      </w:r>
      <w:r w:rsidR="005F1769" w:rsidRPr="005F58ED">
        <w:rPr>
          <w:rFonts w:ascii="Times New Roman" w:hAnsi="Times New Roman" w:cs="Times New Roman"/>
        </w:rPr>
        <w:t xml:space="preserve"> There are no applicable risk tolerance criteria for unmanned facilities, and the criteria for manned facilities are not suitable. There is a strong need for the authorities </w:t>
      </w:r>
      <w:r w:rsidR="00B87363">
        <w:rPr>
          <w:rFonts w:ascii="Times New Roman" w:hAnsi="Times New Roman" w:cs="Times New Roman"/>
        </w:rPr>
        <w:t xml:space="preserve">to focus </w:t>
      </w:r>
      <w:r w:rsidR="005F1769" w:rsidRPr="005F58ED">
        <w:rPr>
          <w:rFonts w:ascii="Times New Roman" w:hAnsi="Times New Roman" w:cs="Times New Roman"/>
        </w:rPr>
        <w:t>on the use of risk tolerance criteria for manned as well as unmanned facilities.</w:t>
      </w:r>
    </w:p>
    <w:p w14:paraId="5BF7015D" w14:textId="77777777" w:rsidR="000626DF" w:rsidRPr="00F31FAE" w:rsidRDefault="000626DF" w:rsidP="000626DF">
      <w:pPr>
        <w:autoSpaceDE w:val="0"/>
        <w:autoSpaceDN w:val="0"/>
        <w:adjustRightInd w:val="0"/>
        <w:spacing w:after="0" w:line="240" w:lineRule="auto"/>
        <w:jc w:val="both"/>
        <w:rPr>
          <w:rFonts w:ascii="Times New Roman" w:hAnsi="Times New Roman" w:cs="Times New Roman"/>
          <w:sz w:val="16"/>
          <w:szCs w:val="20"/>
        </w:rPr>
      </w:pPr>
    </w:p>
    <w:p w14:paraId="2DFC31CA" w14:textId="1C5DD8D7" w:rsidR="000626DF" w:rsidRPr="00453DAE" w:rsidRDefault="000626DF" w:rsidP="000626DF">
      <w:pPr>
        <w:autoSpaceDE w:val="0"/>
        <w:autoSpaceDN w:val="0"/>
        <w:adjustRightInd w:val="0"/>
        <w:spacing w:after="0" w:line="240" w:lineRule="auto"/>
        <w:jc w:val="both"/>
        <w:rPr>
          <w:rFonts w:ascii="Times New Roman" w:hAnsi="Times New Roman" w:cs="Times New Roman"/>
          <w:szCs w:val="24"/>
        </w:rPr>
      </w:pPr>
      <w:r w:rsidRPr="00453DAE">
        <w:rPr>
          <w:rFonts w:ascii="Times New Roman" w:hAnsi="Times New Roman" w:cs="Times New Roman"/>
          <w:i/>
          <w:iCs/>
          <w:szCs w:val="24"/>
        </w:rPr>
        <w:t>Keywords</w:t>
      </w:r>
      <w:r w:rsidRPr="00453DAE">
        <w:rPr>
          <w:rFonts w:ascii="Times New Roman" w:hAnsi="Times New Roman" w:cs="Times New Roman"/>
          <w:szCs w:val="24"/>
        </w:rPr>
        <w:t xml:space="preserve">: </w:t>
      </w:r>
      <w:r w:rsidR="001E0BA1" w:rsidRPr="00453DAE">
        <w:rPr>
          <w:rFonts w:ascii="Times New Roman" w:hAnsi="Times New Roman" w:cs="Times New Roman"/>
          <w:szCs w:val="24"/>
        </w:rPr>
        <w:t>Unmanned production platform, risk assessment, risk tolerance, ALARP</w:t>
      </w:r>
      <w:r w:rsidR="0044282C" w:rsidRPr="00453DAE">
        <w:rPr>
          <w:rFonts w:ascii="Times New Roman" w:hAnsi="Times New Roman" w:cs="Times New Roman"/>
          <w:szCs w:val="24"/>
        </w:rPr>
        <w:t>.</w:t>
      </w:r>
    </w:p>
    <w:p w14:paraId="575471F7" w14:textId="5DA503F8" w:rsidR="00D75214" w:rsidRDefault="00D75214" w:rsidP="000626DF">
      <w:pPr>
        <w:autoSpaceDE w:val="0"/>
        <w:autoSpaceDN w:val="0"/>
        <w:adjustRightInd w:val="0"/>
        <w:spacing w:after="0" w:line="240" w:lineRule="auto"/>
        <w:jc w:val="both"/>
        <w:rPr>
          <w:rFonts w:ascii="Times New Roman" w:hAnsi="Times New Roman" w:cs="Times New Roman"/>
          <w:sz w:val="18"/>
          <w:szCs w:val="20"/>
        </w:rPr>
      </w:pPr>
    </w:p>
    <w:p w14:paraId="4787BBF1" w14:textId="06F0F159" w:rsidR="000626DF" w:rsidRPr="00DC3B33" w:rsidRDefault="000626DF" w:rsidP="00BE7309">
      <w:pPr>
        <w:spacing w:before="230" w:after="100" w:line="200" w:lineRule="exact"/>
        <w:ind w:left="227" w:hanging="227"/>
        <w:rPr>
          <w:rFonts w:ascii="Times New Roman" w:hAnsi="Times New Roman" w:cs="Times New Roman"/>
          <w:b/>
        </w:rPr>
      </w:pPr>
      <w:r w:rsidRPr="00DC3B33">
        <w:rPr>
          <w:rFonts w:ascii="Times New Roman" w:hAnsi="Times New Roman" w:cs="Times New Roman"/>
          <w:b/>
        </w:rPr>
        <w:t xml:space="preserve">1. </w:t>
      </w:r>
      <w:r w:rsidR="00792845" w:rsidRPr="00DC3B33">
        <w:rPr>
          <w:rFonts w:ascii="Times New Roman" w:hAnsi="Times New Roman" w:cs="Times New Roman"/>
          <w:b/>
        </w:rPr>
        <w:t>Introduction and Background</w:t>
      </w:r>
    </w:p>
    <w:p w14:paraId="6E986627" w14:textId="188EA445" w:rsidR="006F05BE" w:rsidRDefault="00877CC9" w:rsidP="00B4738B">
      <w:pPr>
        <w:spacing w:after="0" w:line="220" w:lineRule="atLeast"/>
        <w:jc w:val="both"/>
        <w:rPr>
          <w:rFonts w:ascii="Times New Roman" w:hAnsi="Times New Roman" w:cs="Times New Roman"/>
        </w:rPr>
      </w:pPr>
      <w:r w:rsidRPr="00DC3B33">
        <w:rPr>
          <w:rFonts w:ascii="Times New Roman" w:hAnsi="Times New Roman" w:cs="Times New Roman"/>
        </w:rPr>
        <w:t xml:space="preserve">There is a need to reduce field development costs in the Norwegian offshore sector in the future, so </w:t>
      </w:r>
      <w:r w:rsidR="002E5ACE">
        <w:rPr>
          <w:rFonts w:ascii="Times New Roman" w:hAnsi="Times New Roman" w:cs="Times New Roman"/>
        </w:rPr>
        <w:t xml:space="preserve">that </w:t>
      </w:r>
      <w:r w:rsidRPr="00DC3B33">
        <w:rPr>
          <w:rFonts w:ascii="Times New Roman" w:hAnsi="Times New Roman" w:cs="Times New Roman"/>
        </w:rPr>
        <w:t>smaller reservoirs may be developed economi</w:t>
      </w:r>
      <w:r w:rsidR="004C3469" w:rsidRPr="00DC3B33">
        <w:rPr>
          <w:rFonts w:ascii="Times New Roman" w:hAnsi="Times New Roman" w:cs="Times New Roman"/>
        </w:rPr>
        <w:softHyphen/>
      </w:r>
      <w:r w:rsidRPr="00DC3B33">
        <w:rPr>
          <w:rFonts w:ascii="Times New Roman" w:hAnsi="Times New Roman" w:cs="Times New Roman"/>
        </w:rPr>
        <w:t>cally</w:t>
      </w:r>
      <w:r w:rsidR="00025373" w:rsidRPr="00DC3B33">
        <w:rPr>
          <w:rFonts w:ascii="Times New Roman" w:hAnsi="Times New Roman" w:cs="Times New Roman"/>
        </w:rPr>
        <w:t xml:space="preserve"> (Bye et al</w:t>
      </w:r>
      <w:r w:rsidR="00197972" w:rsidRPr="00DC3B33">
        <w:rPr>
          <w:rFonts w:ascii="Times New Roman" w:hAnsi="Times New Roman" w:cs="Times New Roman"/>
        </w:rPr>
        <w:t>., 2018)</w:t>
      </w:r>
      <w:r w:rsidRPr="00DC3B33">
        <w:rPr>
          <w:rFonts w:ascii="Times New Roman" w:hAnsi="Times New Roman" w:cs="Times New Roman"/>
        </w:rPr>
        <w:t>. Several studies have indicated that the use of simpler, normally un</w:t>
      </w:r>
      <w:r w:rsidR="004C3469" w:rsidRPr="00DC3B33">
        <w:rPr>
          <w:rFonts w:ascii="Times New Roman" w:hAnsi="Times New Roman" w:cs="Times New Roman"/>
        </w:rPr>
        <w:softHyphen/>
      </w:r>
      <w:r w:rsidRPr="00DC3B33">
        <w:rPr>
          <w:rFonts w:ascii="Times New Roman" w:hAnsi="Times New Roman" w:cs="Times New Roman"/>
        </w:rPr>
        <w:t xml:space="preserve">manned facilities (NUI) with minimal equipment is expected to increase with simpler facilities. </w:t>
      </w:r>
      <w:r w:rsidR="006C37D7">
        <w:rPr>
          <w:rFonts w:ascii="Times New Roman" w:hAnsi="Times New Roman" w:cs="Times New Roman"/>
        </w:rPr>
        <w:t>This need was</w:t>
      </w:r>
      <w:r w:rsidR="00F61A1F">
        <w:rPr>
          <w:rFonts w:ascii="Times New Roman" w:hAnsi="Times New Roman" w:cs="Times New Roman"/>
        </w:rPr>
        <w:t xml:space="preserve"> initially triggered by the fall of the oil price</w:t>
      </w:r>
      <w:r w:rsidR="003205F6">
        <w:rPr>
          <w:rFonts w:ascii="Times New Roman" w:hAnsi="Times New Roman" w:cs="Times New Roman"/>
        </w:rPr>
        <w:t xml:space="preserve"> in 2014 from about 110 USD to about 30 USD.</w:t>
      </w:r>
      <w:r w:rsidR="004852ED">
        <w:rPr>
          <w:rFonts w:ascii="Times New Roman" w:hAnsi="Times New Roman" w:cs="Times New Roman"/>
        </w:rPr>
        <w:t xml:space="preserve"> With the </w:t>
      </w:r>
      <w:r w:rsidR="007068FF">
        <w:rPr>
          <w:rFonts w:ascii="Times New Roman" w:hAnsi="Times New Roman" w:cs="Times New Roman"/>
        </w:rPr>
        <w:t xml:space="preserve">new fall of the oil price in 2020 due to the </w:t>
      </w:r>
      <w:r w:rsidR="0044686C">
        <w:rPr>
          <w:rFonts w:ascii="Times New Roman" w:hAnsi="Times New Roman" w:cs="Times New Roman"/>
        </w:rPr>
        <w:t xml:space="preserve">Corona virus and other </w:t>
      </w:r>
      <w:r w:rsidR="002E5ACE">
        <w:rPr>
          <w:rFonts w:ascii="Times New Roman" w:hAnsi="Times New Roman" w:cs="Times New Roman"/>
        </w:rPr>
        <w:t>factors</w:t>
      </w:r>
      <w:r w:rsidR="00856245">
        <w:rPr>
          <w:rFonts w:ascii="Times New Roman" w:hAnsi="Times New Roman" w:cs="Times New Roman"/>
        </w:rPr>
        <w:t xml:space="preserve">, it is expected that the focus on </w:t>
      </w:r>
      <w:r w:rsidR="000D46C4">
        <w:rPr>
          <w:rFonts w:ascii="Times New Roman" w:hAnsi="Times New Roman" w:cs="Times New Roman"/>
        </w:rPr>
        <w:t xml:space="preserve">simplification will </w:t>
      </w:r>
      <w:r w:rsidR="00B87363">
        <w:rPr>
          <w:rFonts w:ascii="Times New Roman" w:hAnsi="Times New Roman" w:cs="Times New Roman"/>
        </w:rPr>
        <w:t>become</w:t>
      </w:r>
      <w:r w:rsidR="0089539F">
        <w:rPr>
          <w:rFonts w:ascii="Times New Roman" w:hAnsi="Times New Roman" w:cs="Times New Roman"/>
        </w:rPr>
        <w:t xml:space="preserve"> even more </w:t>
      </w:r>
      <w:r w:rsidR="00B87363">
        <w:rPr>
          <w:rFonts w:ascii="Times New Roman" w:hAnsi="Times New Roman" w:cs="Times New Roman"/>
        </w:rPr>
        <w:t>intense</w:t>
      </w:r>
      <w:r w:rsidR="0089539F">
        <w:rPr>
          <w:rFonts w:ascii="Times New Roman" w:hAnsi="Times New Roman" w:cs="Times New Roman"/>
        </w:rPr>
        <w:t>.</w:t>
      </w:r>
      <w:r w:rsidR="00BC77EC">
        <w:rPr>
          <w:rFonts w:ascii="Times New Roman" w:hAnsi="Times New Roman" w:cs="Times New Roman"/>
        </w:rPr>
        <w:t xml:space="preserve"> </w:t>
      </w:r>
      <w:r w:rsidR="003B316B">
        <w:rPr>
          <w:rFonts w:ascii="Times New Roman" w:hAnsi="Times New Roman" w:cs="Times New Roman"/>
        </w:rPr>
        <w:t>Recent plans have confirmed thi</w:t>
      </w:r>
      <w:r w:rsidR="00D73DB1">
        <w:rPr>
          <w:rFonts w:ascii="Times New Roman" w:hAnsi="Times New Roman" w:cs="Times New Roman"/>
        </w:rPr>
        <w:t>s</w:t>
      </w:r>
      <w:r w:rsidR="006416D5">
        <w:rPr>
          <w:rFonts w:ascii="Times New Roman" w:hAnsi="Times New Roman" w:cs="Times New Roman"/>
        </w:rPr>
        <w:t xml:space="preserve"> (AkerBP, 2020)</w:t>
      </w:r>
      <w:r w:rsidR="007012B5">
        <w:rPr>
          <w:rFonts w:ascii="Times New Roman" w:hAnsi="Times New Roman" w:cs="Times New Roman"/>
        </w:rPr>
        <w:t xml:space="preserve">, </w:t>
      </w:r>
      <w:r w:rsidR="00B87363">
        <w:rPr>
          <w:rFonts w:ascii="Times New Roman" w:hAnsi="Times New Roman" w:cs="Times New Roman"/>
        </w:rPr>
        <w:t xml:space="preserve">and </w:t>
      </w:r>
      <w:r w:rsidR="002614B1">
        <w:rPr>
          <w:rFonts w:ascii="Times New Roman" w:hAnsi="Times New Roman" w:cs="Times New Roman"/>
        </w:rPr>
        <w:t xml:space="preserve">oil companies are also </w:t>
      </w:r>
      <w:r w:rsidR="00A50D82">
        <w:rPr>
          <w:rFonts w:ascii="Times New Roman" w:hAnsi="Times New Roman" w:cs="Times New Roman"/>
        </w:rPr>
        <w:t xml:space="preserve">giving out contracts </w:t>
      </w:r>
      <w:r w:rsidR="00606F8B">
        <w:rPr>
          <w:rFonts w:ascii="Times New Roman" w:hAnsi="Times New Roman" w:cs="Times New Roman"/>
        </w:rPr>
        <w:t>for engineering studies</w:t>
      </w:r>
      <w:r w:rsidR="009E3333">
        <w:rPr>
          <w:rFonts w:ascii="Times New Roman" w:hAnsi="Times New Roman" w:cs="Times New Roman"/>
        </w:rPr>
        <w:t xml:space="preserve"> in order to develop their plans further.</w:t>
      </w:r>
    </w:p>
    <w:p w14:paraId="67768DE5" w14:textId="77777777" w:rsidR="00924890" w:rsidRDefault="00924890" w:rsidP="00B4738B">
      <w:pPr>
        <w:spacing w:after="0" w:line="220" w:lineRule="atLeast"/>
        <w:jc w:val="both"/>
        <w:rPr>
          <w:rFonts w:ascii="Times New Roman" w:hAnsi="Times New Roman" w:cs="Times New Roman"/>
        </w:rPr>
      </w:pPr>
    </w:p>
    <w:p w14:paraId="6EED26AF" w14:textId="40BE2DE6" w:rsidR="00F15527" w:rsidRDefault="00877CC9" w:rsidP="00B4738B">
      <w:pPr>
        <w:spacing w:after="0" w:line="220" w:lineRule="atLeast"/>
        <w:ind w:firstLine="227"/>
        <w:jc w:val="both"/>
        <w:rPr>
          <w:rFonts w:ascii="Times New Roman" w:hAnsi="Times New Roman" w:cs="Times New Roman"/>
        </w:rPr>
      </w:pPr>
      <w:r w:rsidRPr="00DC3B33">
        <w:rPr>
          <w:rFonts w:ascii="Times New Roman" w:hAnsi="Times New Roman" w:cs="Times New Roman"/>
        </w:rPr>
        <w:t>Walk-to-work</w:t>
      </w:r>
      <w:r w:rsidR="002E5ACE">
        <w:rPr>
          <w:rFonts w:ascii="Times New Roman" w:hAnsi="Times New Roman" w:cs="Times New Roman"/>
        </w:rPr>
        <w:t xml:space="preserve"> </w:t>
      </w:r>
      <w:r w:rsidRPr="00DC3B33">
        <w:rPr>
          <w:rFonts w:ascii="Times New Roman" w:hAnsi="Times New Roman" w:cs="Times New Roman"/>
        </w:rPr>
        <w:t>vessels (W2W</w:t>
      </w:r>
      <w:r w:rsidR="002E5ACE">
        <w:rPr>
          <w:rFonts w:ascii="Times New Roman" w:hAnsi="Times New Roman" w:cs="Times New Roman"/>
        </w:rPr>
        <w:t xml:space="preserve"> </w:t>
      </w:r>
      <w:r w:rsidR="009F3122">
        <w:rPr>
          <w:rFonts w:ascii="Times New Roman" w:hAnsi="Times New Roman" w:cs="Times New Roman"/>
        </w:rPr>
        <w:t>vessels</w:t>
      </w:r>
      <w:r w:rsidRPr="00DC3B33">
        <w:rPr>
          <w:rFonts w:ascii="Times New Roman" w:hAnsi="Times New Roman" w:cs="Times New Roman"/>
        </w:rPr>
        <w:t>) will provide the accommodation facilities for the crew and work</w:t>
      </w:r>
      <w:r w:rsidR="00E44253" w:rsidRPr="00DC3B33">
        <w:rPr>
          <w:rFonts w:ascii="Times New Roman" w:hAnsi="Times New Roman" w:cs="Times New Roman"/>
        </w:rPr>
        <w:softHyphen/>
      </w:r>
      <w:r w:rsidRPr="00DC3B33">
        <w:rPr>
          <w:rFonts w:ascii="Times New Roman" w:hAnsi="Times New Roman" w:cs="Times New Roman"/>
        </w:rPr>
        <w:t>shop facilities</w:t>
      </w:r>
      <w:r w:rsidR="00291815">
        <w:rPr>
          <w:rFonts w:ascii="Times New Roman" w:hAnsi="Times New Roman" w:cs="Times New Roman"/>
        </w:rPr>
        <w:t xml:space="preserve"> for unmanned facilities</w:t>
      </w:r>
      <w:r w:rsidRPr="00DC3B33">
        <w:rPr>
          <w:rFonts w:ascii="Times New Roman" w:hAnsi="Times New Roman" w:cs="Times New Roman"/>
        </w:rPr>
        <w:t xml:space="preserve">. </w:t>
      </w:r>
      <w:r w:rsidR="002A5FD8">
        <w:rPr>
          <w:rFonts w:ascii="Times New Roman" w:hAnsi="Times New Roman" w:cs="Times New Roman"/>
        </w:rPr>
        <w:t xml:space="preserve">The </w:t>
      </w:r>
      <w:r w:rsidR="008753E4">
        <w:rPr>
          <w:rFonts w:ascii="Times New Roman" w:hAnsi="Times New Roman" w:cs="Times New Roman"/>
        </w:rPr>
        <w:t xml:space="preserve">vessel will be connected to the </w:t>
      </w:r>
      <w:r w:rsidR="000B6673">
        <w:rPr>
          <w:rFonts w:ascii="Times New Roman" w:hAnsi="Times New Roman" w:cs="Times New Roman"/>
        </w:rPr>
        <w:t>NUI through a telescopic gangway</w:t>
      </w:r>
      <w:r w:rsidR="00372E4A">
        <w:rPr>
          <w:rFonts w:ascii="Times New Roman" w:hAnsi="Times New Roman" w:cs="Times New Roman"/>
        </w:rPr>
        <w:t xml:space="preserve">, </w:t>
      </w:r>
      <w:r w:rsidR="00A3652B">
        <w:rPr>
          <w:rFonts w:ascii="Times New Roman" w:hAnsi="Times New Roman" w:cs="Times New Roman"/>
        </w:rPr>
        <w:t xml:space="preserve">which will allow connection to be maintained </w:t>
      </w:r>
      <w:r w:rsidR="00D87B82">
        <w:rPr>
          <w:rFonts w:ascii="Times New Roman" w:hAnsi="Times New Roman" w:cs="Times New Roman"/>
        </w:rPr>
        <w:t xml:space="preserve">up to a </w:t>
      </w:r>
      <w:r w:rsidR="007D237C">
        <w:rPr>
          <w:rFonts w:ascii="Times New Roman" w:hAnsi="Times New Roman" w:cs="Times New Roman"/>
        </w:rPr>
        <w:t>certain sea-state</w:t>
      </w:r>
      <w:r w:rsidR="00C44003">
        <w:rPr>
          <w:rFonts w:ascii="Times New Roman" w:hAnsi="Times New Roman" w:cs="Times New Roman"/>
        </w:rPr>
        <w:t>.</w:t>
      </w:r>
    </w:p>
    <w:p w14:paraId="52CDA748" w14:textId="77777777" w:rsidR="00F15527" w:rsidRDefault="00F15527" w:rsidP="00B4738B">
      <w:pPr>
        <w:spacing w:after="0" w:line="220" w:lineRule="atLeast"/>
        <w:ind w:firstLine="227"/>
        <w:jc w:val="both"/>
        <w:rPr>
          <w:rFonts w:ascii="Times New Roman" w:hAnsi="Times New Roman" w:cs="Times New Roman"/>
        </w:rPr>
      </w:pPr>
    </w:p>
    <w:p w14:paraId="0164F919" w14:textId="14A6D169" w:rsidR="00582077" w:rsidRDefault="00877CC9" w:rsidP="00B4738B">
      <w:pPr>
        <w:spacing w:after="0" w:line="220" w:lineRule="atLeast"/>
        <w:ind w:firstLine="227"/>
        <w:jc w:val="both"/>
        <w:rPr>
          <w:rFonts w:ascii="Times New Roman" w:hAnsi="Times New Roman" w:cs="Times New Roman"/>
        </w:rPr>
      </w:pPr>
      <w:r w:rsidRPr="00DC3B33">
        <w:rPr>
          <w:rFonts w:ascii="Times New Roman" w:hAnsi="Times New Roman" w:cs="Times New Roman"/>
        </w:rPr>
        <w:t>Future production concepts will extend the present concepts with simple well</w:t>
      </w:r>
      <w:r w:rsidR="00E44253" w:rsidRPr="00DC3B33">
        <w:rPr>
          <w:rFonts w:ascii="Times New Roman" w:hAnsi="Times New Roman" w:cs="Times New Roman"/>
        </w:rPr>
        <w:softHyphen/>
      </w:r>
      <w:r w:rsidRPr="00DC3B33">
        <w:rPr>
          <w:rFonts w:ascii="Times New Roman" w:hAnsi="Times New Roman" w:cs="Times New Roman"/>
        </w:rPr>
        <w:t>head instal</w:t>
      </w:r>
      <w:r w:rsidR="00573129">
        <w:rPr>
          <w:rFonts w:ascii="Times New Roman" w:hAnsi="Times New Roman" w:cs="Times New Roman"/>
        </w:rPr>
        <w:softHyphen/>
      </w:r>
      <w:r w:rsidRPr="00DC3B33">
        <w:rPr>
          <w:rFonts w:ascii="Times New Roman" w:hAnsi="Times New Roman" w:cs="Times New Roman"/>
        </w:rPr>
        <w:t>lations to more complex installations, where separation of oil, gas and water may take place, as well as drying, cooling and compression of gas for export or injection</w:t>
      </w:r>
      <w:r w:rsidR="008000C1" w:rsidRPr="00DC3B33">
        <w:rPr>
          <w:rFonts w:ascii="Times New Roman" w:hAnsi="Times New Roman" w:cs="Times New Roman"/>
        </w:rPr>
        <w:t xml:space="preserve"> </w:t>
      </w:r>
      <w:r w:rsidR="00027900" w:rsidRPr="00DC3B33">
        <w:rPr>
          <w:rFonts w:ascii="Times New Roman" w:hAnsi="Times New Roman" w:cs="Times New Roman"/>
        </w:rPr>
        <w:t>(Samuelsberg, 2017)</w:t>
      </w:r>
      <w:r w:rsidRPr="00DC3B33">
        <w:rPr>
          <w:rFonts w:ascii="Times New Roman" w:hAnsi="Times New Roman" w:cs="Times New Roman"/>
        </w:rPr>
        <w:t>.</w:t>
      </w:r>
      <w:r w:rsidR="007B339D" w:rsidRPr="00DC3B33">
        <w:rPr>
          <w:rFonts w:ascii="Times New Roman" w:hAnsi="Times New Roman" w:cs="Times New Roman"/>
        </w:rPr>
        <w:t xml:space="preserve"> </w:t>
      </w:r>
      <w:r w:rsidR="000E12B8">
        <w:rPr>
          <w:rFonts w:ascii="Times New Roman" w:hAnsi="Times New Roman" w:cs="Times New Roman"/>
        </w:rPr>
        <w:t xml:space="preserve">These are often referred to as Unmanned Production Platforms (UPPs). </w:t>
      </w:r>
      <w:r w:rsidR="007B339D" w:rsidRPr="00DC3B33">
        <w:rPr>
          <w:rFonts w:ascii="Times New Roman" w:hAnsi="Times New Roman" w:cs="Times New Roman"/>
        </w:rPr>
        <w:t>This was described in some detail in</w:t>
      </w:r>
      <w:r w:rsidR="007E6393" w:rsidRPr="00DC3B33">
        <w:rPr>
          <w:rFonts w:ascii="Times New Roman" w:hAnsi="Times New Roman" w:cs="Times New Roman"/>
        </w:rPr>
        <w:t xml:space="preserve"> Vinnem </w:t>
      </w:r>
      <w:r w:rsidR="001E49F5">
        <w:rPr>
          <w:rFonts w:ascii="Times New Roman" w:hAnsi="Times New Roman" w:cs="Times New Roman"/>
        </w:rPr>
        <w:t>and</w:t>
      </w:r>
      <w:r w:rsidR="007E6393" w:rsidRPr="00DC3B33">
        <w:rPr>
          <w:rFonts w:ascii="Times New Roman" w:hAnsi="Times New Roman" w:cs="Times New Roman"/>
        </w:rPr>
        <w:t xml:space="preserve"> Budde (2019)</w:t>
      </w:r>
      <w:r w:rsidR="008D0E35">
        <w:rPr>
          <w:rFonts w:ascii="Times New Roman" w:hAnsi="Times New Roman" w:cs="Times New Roman"/>
        </w:rPr>
        <w:t xml:space="preserve">, which </w:t>
      </w:r>
      <w:r w:rsidR="00007DD4" w:rsidRPr="00DC3B33">
        <w:rPr>
          <w:rFonts w:ascii="Times New Roman" w:hAnsi="Times New Roman" w:cs="Times New Roman"/>
        </w:rPr>
        <w:t xml:space="preserve">also described the </w:t>
      </w:r>
      <w:r w:rsidR="0021440F" w:rsidRPr="00DC3B33">
        <w:rPr>
          <w:rFonts w:ascii="Times New Roman" w:hAnsi="Times New Roman" w:cs="Times New Roman"/>
        </w:rPr>
        <w:t xml:space="preserve">regulatory </w:t>
      </w:r>
      <w:r w:rsidR="0021440F" w:rsidRPr="00DC3B33">
        <w:rPr>
          <w:rFonts w:ascii="Times New Roman" w:hAnsi="Times New Roman" w:cs="Times New Roman"/>
        </w:rPr>
        <w:lastRenderedPageBreak/>
        <w:t>status</w:t>
      </w:r>
      <w:r w:rsidR="00092A7F" w:rsidRPr="00DC3B33">
        <w:rPr>
          <w:rFonts w:ascii="Times New Roman" w:hAnsi="Times New Roman" w:cs="Times New Roman"/>
        </w:rPr>
        <w:t xml:space="preserve">, indicating that </w:t>
      </w:r>
      <w:r w:rsidR="00BB2ADB" w:rsidRPr="00DC3B33">
        <w:rPr>
          <w:rFonts w:ascii="Times New Roman" w:hAnsi="Times New Roman" w:cs="Times New Roman"/>
        </w:rPr>
        <w:t>the require</w:t>
      </w:r>
      <w:r w:rsidR="005A4D1E" w:rsidRPr="00DC3B33">
        <w:rPr>
          <w:rFonts w:ascii="Times New Roman" w:hAnsi="Times New Roman" w:cs="Times New Roman"/>
        </w:rPr>
        <w:softHyphen/>
      </w:r>
      <w:r w:rsidR="00BB2ADB" w:rsidRPr="00DC3B33">
        <w:rPr>
          <w:rFonts w:ascii="Times New Roman" w:hAnsi="Times New Roman" w:cs="Times New Roman"/>
        </w:rPr>
        <w:t>ments are general and vague</w:t>
      </w:r>
      <w:r w:rsidR="00A06DF4" w:rsidRPr="00DC3B33">
        <w:rPr>
          <w:rFonts w:ascii="Times New Roman" w:hAnsi="Times New Roman" w:cs="Times New Roman"/>
        </w:rPr>
        <w:t>, and mainly appli</w:t>
      </w:r>
      <w:r w:rsidR="005A4D1E" w:rsidRPr="00DC3B33">
        <w:rPr>
          <w:rFonts w:ascii="Times New Roman" w:hAnsi="Times New Roman" w:cs="Times New Roman"/>
        </w:rPr>
        <w:softHyphen/>
      </w:r>
      <w:r w:rsidR="00A06DF4" w:rsidRPr="00DC3B33">
        <w:rPr>
          <w:rFonts w:ascii="Times New Roman" w:hAnsi="Times New Roman" w:cs="Times New Roman"/>
        </w:rPr>
        <w:t xml:space="preserve">cable to </w:t>
      </w:r>
      <w:r w:rsidR="00813B33" w:rsidRPr="00DC3B33">
        <w:rPr>
          <w:rFonts w:ascii="Times New Roman" w:hAnsi="Times New Roman" w:cs="Times New Roman"/>
        </w:rPr>
        <w:t>so-called ‘simpler</w:t>
      </w:r>
      <w:r w:rsidR="00A329B2" w:rsidRPr="00DC3B33">
        <w:rPr>
          <w:rFonts w:ascii="Times New Roman" w:hAnsi="Times New Roman" w:cs="Times New Roman"/>
        </w:rPr>
        <w:t xml:space="preserve"> installations’ without </w:t>
      </w:r>
      <w:r w:rsidR="00582077" w:rsidRPr="00DC3B33">
        <w:rPr>
          <w:rFonts w:ascii="Times New Roman" w:hAnsi="Times New Roman" w:cs="Times New Roman"/>
        </w:rPr>
        <w:t>living quarters on the installation.</w:t>
      </w:r>
    </w:p>
    <w:p w14:paraId="5EBC5AD2" w14:textId="7AF51489" w:rsidR="000E12B8" w:rsidRDefault="000E12B8" w:rsidP="00B4738B">
      <w:pPr>
        <w:spacing w:after="0" w:line="220" w:lineRule="atLeast"/>
        <w:ind w:firstLine="227"/>
        <w:jc w:val="both"/>
        <w:rPr>
          <w:rFonts w:ascii="Times New Roman" w:hAnsi="Times New Roman" w:cs="Times New Roman"/>
        </w:rPr>
      </w:pPr>
    </w:p>
    <w:p w14:paraId="2721BB57" w14:textId="4E75744F" w:rsidR="000E12B8" w:rsidRPr="00DC3B33" w:rsidRDefault="000E12B8" w:rsidP="00B4738B">
      <w:pPr>
        <w:spacing w:after="0" w:line="220" w:lineRule="atLeast"/>
        <w:ind w:firstLine="227"/>
        <w:jc w:val="both"/>
        <w:rPr>
          <w:rFonts w:ascii="Times New Roman" w:hAnsi="Times New Roman" w:cs="Times New Roman"/>
        </w:rPr>
      </w:pPr>
      <w:r>
        <w:rPr>
          <w:rFonts w:ascii="Times New Roman" w:hAnsi="Times New Roman" w:cs="Times New Roman"/>
        </w:rPr>
        <w:t>Risk assessment studies for offshore petroleum installations are never in the public domain, unlike for several other industries, such as marine, nuclear, etc. A fictitious case study was therefore presented by Vinnem and Budde (2019), in order to illustrate typical solutions and risk aspects. The present paper is based on that same case study.</w:t>
      </w:r>
    </w:p>
    <w:p w14:paraId="1891017B" w14:textId="77777777" w:rsidR="009642DE" w:rsidRDefault="009642DE" w:rsidP="00B4738B">
      <w:pPr>
        <w:spacing w:after="0" w:line="220" w:lineRule="atLeast"/>
        <w:ind w:firstLine="227"/>
        <w:jc w:val="both"/>
        <w:rPr>
          <w:rFonts w:ascii="Times New Roman" w:hAnsi="Times New Roman" w:cs="Times New Roman"/>
          <w:lang w:val="en-US"/>
        </w:rPr>
      </w:pPr>
    </w:p>
    <w:p w14:paraId="5975C2D1" w14:textId="5AF3B88E" w:rsidR="00695E67" w:rsidRDefault="00695E67" w:rsidP="00B4738B">
      <w:pPr>
        <w:spacing w:after="0" w:line="220" w:lineRule="atLeast"/>
        <w:ind w:firstLine="227"/>
        <w:jc w:val="both"/>
        <w:rPr>
          <w:rFonts w:ascii="Times New Roman" w:hAnsi="Times New Roman" w:cs="Times New Roman"/>
          <w:lang w:val="en-US"/>
        </w:rPr>
      </w:pPr>
      <w:r>
        <w:rPr>
          <w:rFonts w:ascii="Times New Roman" w:hAnsi="Times New Roman" w:cs="Times New Roman"/>
          <w:lang w:val="en-US"/>
        </w:rPr>
        <w:t xml:space="preserve">Normally unmanned installations </w:t>
      </w:r>
      <w:r w:rsidR="00C2721E">
        <w:rPr>
          <w:rFonts w:ascii="Times New Roman" w:hAnsi="Times New Roman" w:cs="Times New Roman"/>
          <w:lang w:val="en-US"/>
        </w:rPr>
        <w:t xml:space="preserve">are supposed to be manned </w:t>
      </w:r>
      <w:r w:rsidR="00B87363">
        <w:rPr>
          <w:rFonts w:ascii="Times New Roman" w:hAnsi="Times New Roman" w:cs="Times New Roman"/>
          <w:lang w:val="en-US"/>
        </w:rPr>
        <w:t xml:space="preserve">for </w:t>
      </w:r>
      <w:r w:rsidR="00C2721E">
        <w:rPr>
          <w:rFonts w:ascii="Times New Roman" w:hAnsi="Times New Roman" w:cs="Times New Roman"/>
          <w:lang w:val="en-US"/>
        </w:rPr>
        <w:t>only a few</w:t>
      </w:r>
      <w:r w:rsidR="00C74950">
        <w:rPr>
          <w:rFonts w:ascii="Times New Roman" w:hAnsi="Times New Roman" w:cs="Times New Roman"/>
          <w:lang w:val="en-US"/>
        </w:rPr>
        <w:t xml:space="preserve"> periods each year, for maintenance purposes, and possibly for </w:t>
      </w:r>
      <w:r w:rsidR="00414580">
        <w:rPr>
          <w:rFonts w:ascii="Times New Roman" w:hAnsi="Times New Roman" w:cs="Times New Roman"/>
          <w:lang w:val="en-US"/>
        </w:rPr>
        <w:t xml:space="preserve">restarting in the case of </w:t>
      </w:r>
      <w:r w:rsidR="00D82A34">
        <w:rPr>
          <w:rFonts w:ascii="Times New Roman" w:hAnsi="Times New Roman" w:cs="Times New Roman"/>
          <w:lang w:val="en-US"/>
        </w:rPr>
        <w:t xml:space="preserve">shutdown due to </w:t>
      </w:r>
      <w:r w:rsidR="002E5ACE">
        <w:rPr>
          <w:rFonts w:ascii="Times New Roman" w:hAnsi="Times New Roman" w:cs="Times New Roman"/>
          <w:lang w:val="en-US"/>
        </w:rPr>
        <w:t xml:space="preserve">the </w:t>
      </w:r>
      <w:r w:rsidR="007B28EA">
        <w:rPr>
          <w:rFonts w:ascii="Times New Roman" w:hAnsi="Times New Roman" w:cs="Times New Roman"/>
          <w:lang w:val="en-US"/>
        </w:rPr>
        <w:t>occur</w:t>
      </w:r>
      <w:r w:rsidR="00CB42CF">
        <w:rPr>
          <w:rFonts w:ascii="Times New Roman" w:hAnsi="Times New Roman" w:cs="Times New Roman"/>
          <w:lang w:val="en-US"/>
        </w:rPr>
        <w:softHyphen/>
      </w:r>
      <w:r w:rsidR="007B28EA">
        <w:rPr>
          <w:rFonts w:ascii="Times New Roman" w:hAnsi="Times New Roman" w:cs="Times New Roman"/>
          <w:lang w:val="en-US"/>
        </w:rPr>
        <w:t>rence of incidents or accidents.</w:t>
      </w:r>
      <w:r w:rsidR="00B8462D">
        <w:rPr>
          <w:rFonts w:ascii="Times New Roman" w:hAnsi="Times New Roman" w:cs="Times New Roman"/>
          <w:lang w:val="en-US"/>
        </w:rPr>
        <w:t xml:space="preserve"> This implies that </w:t>
      </w:r>
      <w:r w:rsidR="007F4B90">
        <w:rPr>
          <w:rFonts w:ascii="Times New Roman" w:hAnsi="Times New Roman" w:cs="Times New Roman"/>
          <w:lang w:val="en-US"/>
        </w:rPr>
        <w:t xml:space="preserve">installations need to be </w:t>
      </w:r>
      <w:r w:rsidR="00CB42CF">
        <w:rPr>
          <w:rFonts w:ascii="Times New Roman" w:hAnsi="Times New Roman" w:cs="Times New Roman"/>
          <w:lang w:val="en-US"/>
        </w:rPr>
        <w:t>designed and con</w:t>
      </w:r>
      <w:r w:rsidR="00CB42CF">
        <w:rPr>
          <w:rFonts w:ascii="Times New Roman" w:hAnsi="Times New Roman" w:cs="Times New Roman"/>
          <w:lang w:val="en-US"/>
        </w:rPr>
        <w:softHyphen/>
        <w:t xml:space="preserve">structed with </w:t>
      </w:r>
      <w:r w:rsidR="00B87363">
        <w:rPr>
          <w:rFonts w:ascii="Times New Roman" w:hAnsi="Times New Roman" w:cs="Times New Roman"/>
          <w:lang w:val="en-US"/>
        </w:rPr>
        <w:t xml:space="preserve">the </w:t>
      </w:r>
      <w:r w:rsidR="00CB42CF">
        <w:rPr>
          <w:rFonts w:ascii="Times New Roman" w:hAnsi="Times New Roman" w:cs="Times New Roman"/>
          <w:lang w:val="en-US"/>
        </w:rPr>
        <w:t xml:space="preserve">minimum maintenance </w:t>
      </w:r>
      <w:r w:rsidR="00B87363">
        <w:rPr>
          <w:rFonts w:ascii="Times New Roman" w:hAnsi="Times New Roman" w:cs="Times New Roman"/>
          <w:lang w:val="en-US"/>
        </w:rPr>
        <w:t>requirements</w:t>
      </w:r>
      <w:r w:rsidR="007E5E4F">
        <w:rPr>
          <w:rFonts w:ascii="Times New Roman" w:hAnsi="Times New Roman" w:cs="Times New Roman"/>
          <w:lang w:val="en-US"/>
        </w:rPr>
        <w:t xml:space="preserve"> in order to comply </w:t>
      </w:r>
      <w:r w:rsidR="00AD28A3">
        <w:rPr>
          <w:rFonts w:ascii="Times New Roman" w:hAnsi="Times New Roman" w:cs="Times New Roman"/>
          <w:lang w:val="en-US"/>
        </w:rPr>
        <w:t xml:space="preserve">with the limited </w:t>
      </w:r>
      <w:r w:rsidR="00D6159B">
        <w:rPr>
          <w:rFonts w:ascii="Times New Roman" w:hAnsi="Times New Roman" w:cs="Times New Roman"/>
          <w:lang w:val="en-US"/>
        </w:rPr>
        <w:t>periods avail</w:t>
      </w:r>
      <w:r w:rsidR="00695F48">
        <w:rPr>
          <w:rFonts w:ascii="Times New Roman" w:hAnsi="Times New Roman" w:cs="Times New Roman"/>
          <w:lang w:val="en-US"/>
        </w:rPr>
        <w:softHyphen/>
      </w:r>
      <w:r w:rsidR="00D6159B">
        <w:rPr>
          <w:rFonts w:ascii="Times New Roman" w:hAnsi="Times New Roman" w:cs="Times New Roman"/>
          <w:lang w:val="en-US"/>
        </w:rPr>
        <w:t>able for maintenance work</w:t>
      </w:r>
      <w:r w:rsidR="00CB42CF">
        <w:rPr>
          <w:rFonts w:ascii="Times New Roman" w:hAnsi="Times New Roman" w:cs="Times New Roman"/>
          <w:lang w:val="en-US"/>
        </w:rPr>
        <w:t>.</w:t>
      </w:r>
    </w:p>
    <w:p w14:paraId="78ADEF2D" w14:textId="77777777" w:rsidR="00695E67" w:rsidRDefault="00695E67" w:rsidP="00B4738B">
      <w:pPr>
        <w:spacing w:after="0" w:line="220" w:lineRule="atLeast"/>
        <w:ind w:firstLine="227"/>
        <w:jc w:val="both"/>
        <w:rPr>
          <w:rFonts w:ascii="Times New Roman" w:hAnsi="Times New Roman" w:cs="Times New Roman"/>
          <w:lang w:val="en-US"/>
        </w:rPr>
      </w:pPr>
    </w:p>
    <w:p w14:paraId="7E256CDC" w14:textId="52FBFDEB" w:rsidR="00F90239" w:rsidRPr="00DC3B33" w:rsidRDefault="00F90239" w:rsidP="00B4738B">
      <w:pPr>
        <w:spacing w:after="0" w:line="220" w:lineRule="atLeast"/>
        <w:ind w:firstLine="227"/>
        <w:jc w:val="both"/>
        <w:rPr>
          <w:rFonts w:ascii="Times New Roman" w:hAnsi="Times New Roman" w:cs="Times New Roman"/>
        </w:rPr>
      </w:pPr>
      <w:r w:rsidRPr="00DC3B33">
        <w:rPr>
          <w:rFonts w:ascii="Times New Roman" w:hAnsi="Times New Roman" w:cs="Times New Roman"/>
          <w:lang w:val="en-US"/>
        </w:rPr>
        <w:t>The main safety protection philosophy of nor</w:t>
      </w:r>
      <w:r w:rsidR="000C6FA5" w:rsidRPr="00DC3B33">
        <w:rPr>
          <w:rFonts w:ascii="Times New Roman" w:hAnsi="Times New Roman" w:cs="Times New Roman"/>
          <w:lang w:val="en-US"/>
        </w:rPr>
        <w:softHyphen/>
      </w:r>
      <w:r w:rsidRPr="00DC3B33">
        <w:rPr>
          <w:rFonts w:ascii="Times New Roman" w:hAnsi="Times New Roman" w:cs="Times New Roman"/>
          <w:lang w:val="en-US"/>
        </w:rPr>
        <w:t xml:space="preserve">mally unmanned installations which has been adopted by the industry so far </w:t>
      </w:r>
      <w:r w:rsidR="00074836" w:rsidRPr="00DC3B33">
        <w:rPr>
          <w:rFonts w:ascii="Times New Roman" w:hAnsi="Times New Roman" w:cs="Times New Roman"/>
          <w:lang w:val="en-US"/>
        </w:rPr>
        <w:t xml:space="preserve">was also outlined </w:t>
      </w:r>
      <w:r w:rsidR="00C57A84" w:rsidRPr="00DC3B33">
        <w:rPr>
          <w:rFonts w:ascii="Times New Roman" w:hAnsi="Times New Roman" w:cs="Times New Roman"/>
          <w:lang w:val="en-US"/>
        </w:rPr>
        <w:t>in Vinnem &amp; Budde (2019)</w:t>
      </w:r>
      <w:r w:rsidR="000E7B9B" w:rsidRPr="00DC3B33">
        <w:rPr>
          <w:rFonts w:ascii="Times New Roman" w:hAnsi="Times New Roman" w:cs="Times New Roman"/>
          <w:lang w:val="en-US"/>
        </w:rPr>
        <w:t>, a</w:t>
      </w:r>
      <w:r w:rsidR="00393040" w:rsidRPr="00DC3B33">
        <w:rPr>
          <w:rFonts w:ascii="Times New Roman" w:hAnsi="Times New Roman" w:cs="Times New Roman"/>
          <w:lang w:val="en-US"/>
        </w:rPr>
        <w:t xml:space="preserve">s </w:t>
      </w:r>
      <w:r w:rsidRPr="00DC3B33">
        <w:rPr>
          <w:rFonts w:ascii="Times New Roman" w:hAnsi="Times New Roman" w:cs="Times New Roman"/>
          <w:lang w:val="en-US"/>
        </w:rPr>
        <w:t>follow</w:t>
      </w:r>
      <w:r w:rsidR="00393040" w:rsidRPr="00DC3B33">
        <w:rPr>
          <w:rFonts w:ascii="Times New Roman" w:hAnsi="Times New Roman" w:cs="Times New Roman"/>
          <w:lang w:val="en-US"/>
        </w:rPr>
        <w:t>s</w:t>
      </w:r>
      <w:r w:rsidRPr="00DC3B33">
        <w:rPr>
          <w:rFonts w:ascii="Times New Roman" w:hAnsi="Times New Roman" w:cs="Times New Roman"/>
          <w:lang w:val="en-US"/>
        </w:rPr>
        <w:t>:</w:t>
      </w:r>
    </w:p>
    <w:p w14:paraId="0C1773CB" w14:textId="0EED38F9" w:rsidR="00F90239" w:rsidRPr="00DC3B33" w:rsidRDefault="00F90239" w:rsidP="00B4738B">
      <w:pPr>
        <w:pStyle w:val="Listeavsnitt"/>
        <w:numPr>
          <w:ilvl w:val="0"/>
          <w:numId w:val="1"/>
        </w:numPr>
        <w:spacing w:before="80" w:after="80" w:line="220" w:lineRule="atLeast"/>
        <w:ind w:left="357" w:hanging="357"/>
        <w:rPr>
          <w:rFonts w:ascii="Times New Roman" w:hAnsi="Times New Roman" w:cs="Times New Roman"/>
        </w:rPr>
      </w:pPr>
      <w:r w:rsidRPr="00DC3B33">
        <w:rPr>
          <w:rFonts w:ascii="Times New Roman" w:hAnsi="Times New Roman" w:cs="Times New Roman"/>
        </w:rPr>
        <w:t>Manned mode:</w:t>
      </w:r>
    </w:p>
    <w:p w14:paraId="7AC1F3B5" w14:textId="28491483" w:rsidR="00F90239" w:rsidRPr="00DC3B33" w:rsidRDefault="00F90239" w:rsidP="00B4738B">
      <w:pPr>
        <w:pStyle w:val="Listeavsnitt"/>
        <w:numPr>
          <w:ilvl w:val="0"/>
          <w:numId w:val="1"/>
        </w:numPr>
        <w:spacing w:before="80" w:after="80" w:line="220" w:lineRule="atLeast"/>
        <w:jc w:val="both"/>
        <w:rPr>
          <w:rFonts w:ascii="Times New Roman" w:hAnsi="Times New Roman" w:cs="Times New Roman"/>
        </w:rPr>
      </w:pPr>
      <w:r w:rsidRPr="00DC3B33">
        <w:rPr>
          <w:rFonts w:ascii="Times New Roman" w:hAnsi="Times New Roman" w:cs="Times New Roman"/>
        </w:rPr>
        <w:t>Get people off the installation as quick</w:t>
      </w:r>
      <w:r w:rsidR="005678C8" w:rsidRPr="00DC3B33">
        <w:rPr>
          <w:rFonts w:ascii="Times New Roman" w:hAnsi="Times New Roman" w:cs="Times New Roman"/>
        </w:rPr>
        <w:softHyphen/>
      </w:r>
      <w:r w:rsidRPr="00DC3B33">
        <w:rPr>
          <w:rFonts w:ascii="Times New Roman" w:hAnsi="Times New Roman" w:cs="Times New Roman"/>
        </w:rPr>
        <w:t>ly as possible using the gangway to the W2W</w:t>
      </w:r>
      <w:r w:rsidR="002E5ACE">
        <w:rPr>
          <w:rFonts w:ascii="Times New Roman" w:hAnsi="Times New Roman" w:cs="Times New Roman"/>
        </w:rPr>
        <w:t xml:space="preserve"> </w:t>
      </w:r>
      <w:r w:rsidRPr="00DC3B33">
        <w:rPr>
          <w:rFonts w:ascii="Times New Roman" w:hAnsi="Times New Roman" w:cs="Times New Roman"/>
        </w:rPr>
        <w:t>vessel, with protection of the routes to the gangway if needed.</w:t>
      </w:r>
    </w:p>
    <w:p w14:paraId="7DAF5319" w14:textId="35B6FBCE" w:rsidR="00F90239" w:rsidRDefault="00F90239" w:rsidP="00B4738B">
      <w:pPr>
        <w:pStyle w:val="Listeavsnitt"/>
        <w:numPr>
          <w:ilvl w:val="0"/>
          <w:numId w:val="1"/>
        </w:numPr>
        <w:spacing w:before="80" w:after="80" w:line="220" w:lineRule="atLeast"/>
        <w:jc w:val="both"/>
        <w:rPr>
          <w:rFonts w:ascii="Times New Roman" w:hAnsi="Times New Roman" w:cs="Times New Roman"/>
        </w:rPr>
      </w:pPr>
      <w:r w:rsidRPr="00DC3B33">
        <w:rPr>
          <w:rFonts w:ascii="Times New Roman" w:hAnsi="Times New Roman" w:cs="Times New Roman"/>
        </w:rPr>
        <w:t>After removal of people</w:t>
      </w:r>
      <w:r w:rsidR="00B87363">
        <w:rPr>
          <w:rFonts w:ascii="Times New Roman" w:hAnsi="Times New Roman" w:cs="Times New Roman"/>
        </w:rPr>
        <w:t>,</w:t>
      </w:r>
      <w:r w:rsidRPr="00DC3B33">
        <w:rPr>
          <w:rFonts w:ascii="Times New Roman" w:hAnsi="Times New Roman" w:cs="Times New Roman"/>
        </w:rPr>
        <w:t xml:space="preserve"> the installation may be treated as unmanned</w:t>
      </w:r>
      <w:r w:rsidR="00B87363">
        <w:rPr>
          <w:rFonts w:ascii="Times New Roman" w:hAnsi="Times New Roman" w:cs="Times New Roman"/>
        </w:rPr>
        <w:t>.</w:t>
      </w:r>
    </w:p>
    <w:p w14:paraId="62ED4777" w14:textId="77777777" w:rsidR="00D322C1" w:rsidRPr="00DC3B33" w:rsidRDefault="00D322C1" w:rsidP="00D322C1">
      <w:pPr>
        <w:pStyle w:val="Listeavsnitt"/>
        <w:spacing w:before="80" w:after="80" w:line="220" w:lineRule="atLeast"/>
        <w:jc w:val="both"/>
        <w:rPr>
          <w:rFonts w:ascii="Times New Roman" w:hAnsi="Times New Roman" w:cs="Times New Roman"/>
        </w:rPr>
      </w:pPr>
    </w:p>
    <w:p w14:paraId="4A13D919" w14:textId="1954DB0E" w:rsidR="00F90239" w:rsidRPr="00DC3B33" w:rsidRDefault="00F90239" w:rsidP="00B4738B">
      <w:pPr>
        <w:pStyle w:val="Listeavsnitt"/>
        <w:keepNext/>
        <w:numPr>
          <w:ilvl w:val="0"/>
          <w:numId w:val="1"/>
        </w:numPr>
        <w:spacing w:before="80" w:after="80" w:line="220" w:lineRule="atLeast"/>
        <w:ind w:left="357" w:hanging="357"/>
        <w:rPr>
          <w:rFonts w:ascii="Times New Roman" w:hAnsi="Times New Roman" w:cs="Times New Roman"/>
        </w:rPr>
      </w:pPr>
      <w:r w:rsidRPr="00DC3B33">
        <w:rPr>
          <w:rFonts w:ascii="Times New Roman" w:hAnsi="Times New Roman" w:cs="Times New Roman"/>
        </w:rPr>
        <w:t>Unmanned mode:</w:t>
      </w:r>
    </w:p>
    <w:p w14:paraId="767C6706" w14:textId="14860208" w:rsidR="00F90239" w:rsidRPr="00DC3B33" w:rsidRDefault="00F90239" w:rsidP="00B4738B">
      <w:pPr>
        <w:pStyle w:val="Listeavsnitt"/>
        <w:numPr>
          <w:ilvl w:val="0"/>
          <w:numId w:val="1"/>
        </w:numPr>
        <w:spacing w:before="80" w:after="80" w:line="220" w:lineRule="atLeast"/>
        <w:jc w:val="both"/>
        <w:rPr>
          <w:rFonts w:ascii="Times New Roman" w:hAnsi="Times New Roman" w:cs="Times New Roman"/>
        </w:rPr>
      </w:pPr>
      <w:r w:rsidRPr="00DC3B33">
        <w:rPr>
          <w:rFonts w:ascii="Times New Roman" w:hAnsi="Times New Roman" w:cs="Times New Roman"/>
        </w:rPr>
        <w:t>Protect against environmental spills and escalation of asset damage.</w:t>
      </w:r>
    </w:p>
    <w:p w14:paraId="653D14D0" w14:textId="77777777" w:rsidR="00B15ADF" w:rsidRDefault="00B15ADF" w:rsidP="00B4738B">
      <w:pPr>
        <w:spacing w:after="0" w:line="220" w:lineRule="atLeast"/>
        <w:ind w:firstLine="227"/>
        <w:jc w:val="both"/>
        <w:rPr>
          <w:rFonts w:ascii="Times New Roman" w:hAnsi="Times New Roman" w:cs="Times New Roman"/>
        </w:rPr>
      </w:pPr>
    </w:p>
    <w:p w14:paraId="38740961" w14:textId="1CC54B63" w:rsidR="00F90239" w:rsidRPr="00DC3B33" w:rsidRDefault="00F90239" w:rsidP="00B4738B">
      <w:pPr>
        <w:spacing w:after="0" w:line="220" w:lineRule="atLeast"/>
        <w:ind w:firstLine="227"/>
        <w:jc w:val="both"/>
        <w:rPr>
          <w:rFonts w:ascii="Times New Roman" w:hAnsi="Times New Roman" w:cs="Times New Roman"/>
        </w:rPr>
      </w:pPr>
      <w:r w:rsidRPr="00DC3B33">
        <w:rPr>
          <w:rFonts w:ascii="Times New Roman" w:hAnsi="Times New Roman" w:cs="Times New Roman"/>
        </w:rPr>
        <w:t xml:space="preserve">Such philosophy is very different from </w:t>
      </w:r>
      <w:r w:rsidR="00B87363">
        <w:rPr>
          <w:rFonts w:ascii="Times New Roman" w:hAnsi="Times New Roman" w:cs="Times New Roman"/>
        </w:rPr>
        <w:t xml:space="preserve">the </w:t>
      </w:r>
      <w:r w:rsidRPr="00DC3B33">
        <w:rPr>
          <w:rFonts w:ascii="Times New Roman" w:hAnsi="Times New Roman" w:cs="Times New Roman"/>
        </w:rPr>
        <w:t xml:space="preserve">current philosophy for manned installations, which </w:t>
      </w:r>
      <w:r w:rsidR="00166E1D">
        <w:rPr>
          <w:rFonts w:ascii="Times New Roman" w:hAnsi="Times New Roman" w:cs="Times New Roman"/>
        </w:rPr>
        <w:t xml:space="preserve">under Norwegian regulations </w:t>
      </w:r>
      <w:r w:rsidRPr="00DC3B33">
        <w:rPr>
          <w:rFonts w:ascii="Times New Roman" w:hAnsi="Times New Roman" w:cs="Times New Roman"/>
        </w:rPr>
        <w:t>is focused on extensive protection of personnel, at least for a period</w:t>
      </w:r>
      <w:r w:rsidR="000C06B8" w:rsidRPr="00DC3B33">
        <w:rPr>
          <w:rFonts w:ascii="Times New Roman" w:hAnsi="Times New Roman" w:cs="Times New Roman"/>
        </w:rPr>
        <w:t xml:space="preserve"> </w:t>
      </w:r>
      <w:r w:rsidR="004D73D4" w:rsidRPr="00DC3B33">
        <w:rPr>
          <w:rFonts w:ascii="Times New Roman" w:hAnsi="Times New Roman" w:cs="Times New Roman"/>
        </w:rPr>
        <w:t xml:space="preserve">up to two hours </w:t>
      </w:r>
      <w:r w:rsidR="000C06B8" w:rsidRPr="00DC3B33">
        <w:rPr>
          <w:rFonts w:ascii="Times New Roman" w:hAnsi="Times New Roman" w:cs="Times New Roman"/>
        </w:rPr>
        <w:t>after the start of the accident</w:t>
      </w:r>
      <w:r w:rsidRPr="00DC3B33">
        <w:rPr>
          <w:rFonts w:ascii="Times New Roman" w:hAnsi="Times New Roman" w:cs="Times New Roman"/>
        </w:rPr>
        <w:t xml:space="preserve"> to allow safe rescue and evacu</w:t>
      </w:r>
      <w:r w:rsidR="00E72B45" w:rsidRPr="00DC3B33">
        <w:rPr>
          <w:rFonts w:ascii="Times New Roman" w:hAnsi="Times New Roman" w:cs="Times New Roman"/>
        </w:rPr>
        <w:softHyphen/>
      </w:r>
      <w:r w:rsidRPr="00DC3B33">
        <w:rPr>
          <w:rFonts w:ascii="Times New Roman" w:hAnsi="Times New Roman" w:cs="Times New Roman"/>
        </w:rPr>
        <w:t xml:space="preserve">ation of survivors. </w:t>
      </w:r>
      <w:r w:rsidR="00395203">
        <w:rPr>
          <w:rFonts w:ascii="Times New Roman" w:hAnsi="Times New Roman" w:cs="Times New Roman"/>
        </w:rPr>
        <w:t xml:space="preserve">This is achieved through application of </w:t>
      </w:r>
      <w:r w:rsidR="00B43AC6">
        <w:rPr>
          <w:rFonts w:ascii="Times New Roman" w:hAnsi="Times New Roman" w:cs="Times New Roman"/>
        </w:rPr>
        <w:t xml:space="preserve">several layers of protection with the aim to avoid exposure of personnel to the effects major hazards. </w:t>
      </w:r>
      <w:r w:rsidR="00561C39">
        <w:rPr>
          <w:rFonts w:ascii="Times New Roman" w:hAnsi="Times New Roman" w:cs="Times New Roman"/>
        </w:rPr>
        <w:t>Th</w:t>
      </w:r>
      <w:r w:rsidR="00F67B67">
        <w:rPr>
          <w:rFonts w:ascii="Times New Roman" w:hAnsi="Times New Roman" w:cs="Times New Roman"/>
        </w:rPr>
        <w:t xml:space="preserve">e application of </w:t>
      </w:r>
      <w:r w:rsidR="0095477C">
        <w:rPr>
          <w:rFonts w:ascii="Times New Roman" w:hAnsi="Times New Roman" w:cs="Times New Roman"/>
        </w:rPr>
        <w:t xml:space="preserve">several layers of protection </w:t>
      </w:r>
      <w:r w:rsidR="00324CD1">
        <w:rPr>
          <w:rFonts w:ascii="Times New Roman" w:hAnsi="Times New Roman" w:cs="Times New Roman"/>
        </w:rPr>
        <w:t xml:space="preserve">of personnel </w:t>
      </w:r>
      <w:r w:rsidR="0095477C">
        <w:rPr>
          <w:rFonts w:ascii="Times New Roman" w:hAnsi="Times New Roman" w:cs="Times New Roman"/>
        </w:rPr>
        <w:t xml:space="preserve">on manned installations </w:t>
      </w:r>
      <w:r w:rsidR="00561C39">
        <w:rPr>
          <w:rFonts w:ascii="Times New Roman" w:hAnsi="Times New Roman" w:cs="Times New Roman"/>
        </w:rPr>
        <w:t>is often referred to as ‘defence</w:t>
      </w:r>
      <w:r w:rsidR="002E5ACE">
        <w:rPr>
          <w:rFonts w:ascii="Times New Roman" w:hAnsi="Times New Roman" w:cs="Times New Roman"/>
        </w:rPr>
        <w:t xml:space="preserve"> </w:t>
      </w:r>
      <w:r w:rsidR="00561C39">
        <w:rPr>
          <w:rFonts w:ascii="Times New Roman" w:hAnsi="Times New Roman" w:cs="Times New Roman"/>
        </w:rPr>
        <w:t>in</w:t>
      </w:r>
      <w:r w:rsidR="002E5ACE">
        <w:rPr>
          <w:rFonts w:ascii="Times New Roman" w:hAnsi="Times New Roman" w:cs="Times New Roman"/>
        </w:rPr>
        <w:t xml:space="preserve"> </w:t>
      </w:r>
      <w:r w:rsidR="00561C39">
        <w:rPr>
          <w:rFonts w:ascii="Times New Roman" w:hAnsi="Times New Roman" w:cs="Times New Roman"/>
        </w:rPr>
        <w:t>depth’ (Rasmus</w:t>
      </w:r>
      <w:r w:rsidR="008912B2">
        <w:rPr>
          <w:rFonts w:ascii="Times New Roman" w:hAnsi="Times New Roman" w:cs="Times New Roman"/>
        </w:rPr>
        <w:t>s</w:t>
      </w:r>
      <w:r w:rsidR="00561C39">
        <w:rPr>
          <w:rFonts w:ascii="Times New Roman" w:hAnsi="Times New Roman" w:cs="Times New Roman"/>
        </w:rPr>
        <w:t xml:space="preserve">en, 1997). </w:t>
      </w:r>
      <w:r w:rsidRPr="00DC3B33">
        <w:rPr>
          <w:rFonts w:ascii="Times New Roman" w:hAnsi="Times New Roman" w:cs="Times New Roman"/>
        </w:rPr>
        <w:t>‘</w:t>
      </w:r>
      <w:r w:rsidR="00A4390E">
        <w:rPr>
          <w:rFonts w:ascii="Times New Roman" w:hAnsi="Times New Roman" w:cs="Times New Roman"/>
        </w:rPr>
        <w:t>S</w:t>
      </w:r>
      <w:r w:rsidRPr="00DC3B33">
        <w:rPr>
          <w:rFonts w:ascii="Times New Roman" w:hAnsi="Times New Roman" w:cs="Times New Roman"/>
        </w:rPr>
        <w:t>impler facili</w:t>
      </w:r>
      <w:r w:rsidR="00266D2A" w:rsidRPr="00DC3B33">
        <w:rPr>
          <w:rFonts w:ascii="Times New Roman" w:hAnsi="Times New Roman" w:cs="Times New Roman"/>
        </w:rPr>
        <w:softHyphen/>
      </w:r>
      <w:r w:rsidRPr="00DC3B33">
        <w:rPr>
          <w:rFonts w:ascii="Times New Roman" w:hAnsi="Times New Roman" w:cs="Times New Roman"/>
        </w:rPr>
        <w:t xml:space="preserve">ties’ imply </w:t>
      </w:r>
      <w:r w:rsidR="00427776">
        <w:rPr>
          <w:rFonts w:ascii="Times New Roman" w:hAnsi="Times New Roman" w:cs="Times New Roman"/>
        </w:rPr>
        <w:t xml:space="preserve">at present </w:t>
      </w:r>
      <w:r w:rsidRPr="00DC3B33">
        <w:rPr>
          <w:rFonts w:ascii="Times New Roman" w:hAnsi="Times New Roman" w:cs="Times New Roman"/>
        </w:rPr>
        <w:t xml:space="preserve">quite basic wellhead installations without any treatment of the well-stream. </w:t>
      </w:r>
      <w:r w:rsidR="002D238C">
        <w:rPr>
          <w:rFonts w:ascii="Times New Roman" w:hAnsi="Times New Roman" w:cs="Times New Roman"/>
        </w:rPr>
        <w:t xml:space="preserve">These </w:t>
      </w:r>
      <w:r w:rsidR="0072181F">
        <w:rPr>
          <w:rFonts w:ascii="Times New Roman" w:hAnsi="Times New Roman" w:cs="Times New Roman"/>
        </w:rPr>
        <w:t>installations are very basic</w:t>
      </w:r>
      <w:r w:rsidR="00751480">
        <w:rPr>
          <w:rFonts w:ascii="Times New Roman" w:hAnsi="Times New Roman" w:cs="Times New Roman"/>
        </w:rPr>
        <w:t xml:space="preserve"> and </w:t>
      </w:r>
      <w:r w:rsidR="000F04E9">
        <w:rPr>
          <w:rFonts w:ascii="Times New Roman" w:hAnsi="Times New Roman" w:cs="Times New Roman"/>
        </w:rPr>
        <w:t xml:space="preserve">therefore not in need </w:t>
      </w:r>
      <w:r w:rsidR="00B87363">
        <w:rPr>
          <w:rFonts w:ascii="Times New Roman" w:hAnsi="Times New Roman" w:cs="Times New Roman"/>
        </w:rPr>
        <w:t>of</w:t>
      </w:r>
      <w:r w:rsidR="000F04E9">
        <w:rPr>
          <w:rFonts w:ascii="Times New Roman" w:hAnsi="Times New Roman" w:cs="Times New Roman"/>
        </w:rPr>
        <w:t xml:space="preserve"> </w:t>
      </w:r>
      <w:r w:rsidR="00C5650D">
        <w:rPr>
          <w:rFonts w:ascii="Times New Roman" w:hAnsi="Times New Roman" w:cs="Times New Roman"/>
        </w:rPr>
        <w:t>prevention or protective systems beyond the most basic systems.</w:t>
      </w:r>
    </w:p>
    <w:p w14:paraId="00C8F49D" w14:textId="77777777" w:rsidR="00117775" w:rsidRDefault="00117775" w:rsidP="00B4738B">
      <w:pPr>
        <w:spacing w:after="0" w:line="220" w:lineRule="atLeast"/>
        <w:ind w:firstLine="227"/>
        <w:jc w:val="both"/>
        <w:rPr>
          <w:rFonts w:ascii="Times New Roman" w:hAnsi="Times New Roman" w:cs="Times New Roman"/>
        </w:rPr>
      </w:pPr>
    </w:p>
    <w:p w14:paraId="5698AE4C" w14:textId="58A175D8" w:rsidR="00F90239" w:rsidRDefault="00F90239" w:rsidP="00B4738B">
      <w:pPr>
        <w:spacing w:after="0" w:line="220" w:lineRule="atLeast"/>
        <w:ind w:firstLine="227"/>
        <w:jc w:val="both"/>
        <w:rPr>
          <w:rFonts w:ascii="Times New Roman" w:hAnsi="Times New Roman" w:cs="Times New Roman"/>
        </w:rPr>
      </w:pPr>
      <w:r w:rsidRPr="00DC3B33">
        <w:rPr>
          <w:rFonts w:ascii="Times New Roman" w:hAnsi="Times New Roman" w:cs="Times New Roman"/>
        </w:rPr>
        <w:t xml:space="preserve">Some safety systems will be needed in order to protect personnel </w:t>
      </w:r>
      <w:r w:rsidR="005936F0">
        <w:rPr>
          <w:rFonts w:ascii="Times New Roman" w:hAnsi="Times New Roman" w:cs="Times New Roman"/>
        </w:rPr>
        <w:t>before</w:t>
      </w:r>
      <w:r w:rsidR="004468C8">
        <w:rPr>
          <w:rFonts w:ascii="Times New Roman" w:hAnsi="Times New Roman" w:cs="Times New Roman"/>
        </w:rPr>
        <w:t xml:space="preserve"> </w:t>
      </w:r>
      <w:r w:rsidRPr="00DC3B33">
        <w:rPr>
          <w:rFonts w:ascii="Times New Roman" w:hAnsi="Times New Roman" w:cs="Times New Roman"/>
        </w:rPr>
        <w:t xml:space="preserve">leaving </w:t>
      </w:r>
      <w:r w:rsidR="00593C90">
        <w:rPr>
          <w:rFonts w:ascii="Times New Roman" w:hAnsi="Times New Roman" w:cs="Times New Roman"/>
        </w:rPr>
        <w:t xml:space="preserve">and during the abandonment of </w:t>
      </w:r>
      <w:r w:rsidRPr="00DC3B33">
        <w:rPr>
          <w:rFonts w:ascii="Times New Roman" w:hAnsi="Times New Roman" w:cs="Times New Roman"/>
        </w:rPr>
        <w:t xml:space="preserve">the installation and </w:t>
      </w:r>
      <w:r w:rsidR="00B87363">
        <w:rPr>
          <w:rFonts w:ascii="Times New Roman" w:hAnsi="Times New Roman" w:cs="Times New Roman"/>
        </w:rPr>
        <w:t xml:space="preserve">to </w:t>
      </w:r>
      <w:r w:rsidRPr="00DC3B33">
        <w:rPr>
          <w:rFonts w:ascii="Times New Roman" w:hAnsi="Times New Roman" w:cs="Times New Roman"/>
        </w:rPr>
        <w:t>protect the environment and assets in un</w:t>
      </w:r>
      <w:r w:rsidR="00424905" w:rsidRPr="00DC3B33">
        <w:rPr>
          <w:rFonts w:ascii="Times New Roman" w:hAnsi="Times New Roman" w:cs="Times New Roman"/>
        </w:rPr>
        <w:softHyphen/>
      </w:r>
      <w:r w:rsidRPr="00DC3B33">
        <w:rPr>
          <w:rFonts w:ascii="Times New Roman" w:hAnsi="Times New Roman" w:cs="Times New Roman"/>
        </w:rPr>
        <w:t>manned mode. In this case</w:t>
      </w:r>
      <w:r w:rsidR="00B87363">
        <w:rPr>
          <w:rFonts w:ascii="Times New Roman" w:hAnsi="Times New Roman" w:cs="Times New Roman"/>
        </w:rPr>
        <w:t>,</w:t>
      </w:r>
      <w:r w:rsidRPr="00DC3B33">
        <w:rPr>
          <w:rFonts w:ascii="Times New Roman" w:hAnsi="Times New Roman" w:cs="Times New Roman"/>
        </w:rPr>
        <w:t xml:space="preserve"> however, safety systems with lower reliability</w:t>
      </w:r>
      <w:r w:rsidR="002E5ACE">
        <w:rPr>
          <w:rFonts w:ascii="Times New Roman" w:hAnsi="Times New Roman" w:cs="Times New Roman"/>
        </w:rPr>
        <w:t xml:space="preserve"> may be acceptable</w:t>
      </w:r>
      <w:r w:rsidRPr="00DC3B33">
        <w:rPr>
          <w:rFonts w:ascii="Times New Roman" w:hAnsi="Times New Roman" w:cs="Times New Roman"/>
        </w:rPr>
        <w:t xml:space="preserve">, such as </w:t>
      </w:r>
      <w:r w:rsidR="002E5ACE">
        <w:rPr>
          <w:rFonts w:ascii="Times New Roman" w:hAnsi="Times New Roman" w:cs="Times New Roman"/>
        </w:rPr>
        <w:t xml:space="preserve">with </w:t>
      </w:r>
      <w:r w:rsidRPr="00DC3B33">
        <w:rPr>
          <w:rFonts w:ascii="Times New Roman" w:hAnsi="Times New Roman" w:cs="Times New Roman"/>
        </w:rPr>
        <w:t xml:space="preserve">less </w:t>
      </w:r>
      <w:r w:rsidR="00BC1EF4">
        <w:rPr>
          <w:rFonts w:ascii="Times New Roman" w:hAnsi="Times New Roman" w:cs="Times New Roman"/>
        </w:rPr>
        <w:t xml:space="preserve">robustness and </w:t>
      </w:r>
      <w:r w:rsidRPr="00DC3B33">
        <w:rPr>
          <w:rFonts w:ascii="Times New Roman" w:hAnsi="Times New Roman" w:cs="Times New Roman"/>
        </w:rPr>
        <w:t>redundancy. The degree of simplification of safety systems is particularly crucial, because safety systems with high maintenance need</w:t>
      </w:r>
      <w:r w:rsidR="00B87363">
        <w:rPr>
          <w:rFonts w:ascii="Times New Roman" w:hAnsi="Times New Roman" w:cs="Times New Roman"/>
        </w:rPr>
        <w:t>s</w:t>
      </w:r>
      <w:r w:rsidRPr="00DC3B33">
        <w:rPr>
          <w:rFonts w:ascii="Times New Roman" w:hAnsi="Times New Roman" w:cs="Times New Roman"/>
        </w:rPr>
        <w:t xml:space="preserve"> ha</w:t>
      </w:r>
      <w:r w:rsidR="00B87363">
        <w:rPr>
          <w:rFonts w:ascii="Times New Roman" w:hAnsi="Times New Roman" w:cs="Times New Roman"/>
        </w:rPr>
        <w:t>ve</w:t>
      </w:r>
      <w:r w:rsidRPr="00DC3B33">
        <w:rPr>
          <w:rFonts w:ascii="Times New Roman" w:hAnsi="Times New Roman" w:cs="Times New Roman"/>
        </w:rPr>
        <w:t xml:space="preserve"> a strong influence on the </w:t>
      </w:r>
      <w:r w:rsidR="00B87363">
        <w:rPr>
          <w:rFonts w:ascii="Times New Roman" w:hAnsi="Times New Roman" w:cs="Times New Roman"/>
        </w:rPr>
        <w:t xml:space="preserve">number </w:t>
      </w:r>
      <w:r w:rsidRPr="00DC3B33">
        <w:rPr>
          <w:rFonts w:ascii="Times New Roman" w:hAnsi="Times New Roman" w:cs="Times New Roman"/>
        </w:rPr>
        <w:t xml:space="preserve">of manhours needed, and </w:t>
      </w:r>
      <w:r w:rsidR="00A912DC">
        <w:rPr>
          <w:rFonts w:ascii="Times New Roman" w:hAnsi="Times New Roman" w:cs="Times New Roman"/>
        </w:rPr>
        <w:t xml:space="preserve">simplification </w:t>
      </w:r>
      <w:r w:rsidR="00B87363">
        <w:rPr>
          <w:rFonts w:ascii="Times New Roman" w:hAnsi="Times New Roman" w:cs="Times New Roman"/>
        </w:rPr>
        <w:t xml:space="preserve">is </w:t>
      </w:r>
      <w:r w:rsidRPr="00DC3B33">
        <w:rPr>
          <w:rFonts w:ascii="Times New Roman" w:hAnsi="Times New Roman" w:cs="Times New Roman"/>
        </w:rPr>
        <w:t>thus vital for the manning level and the frequency of man</w:t>
      </w:r>
      <w:r w:rsidR="000B3895">
        <w:rPr>
          <w:rFonts w:ascii="Times New Roman" w:hAnsi="Times New Roman" w:cs="Times New Roman"/>
        </w:rPr>
        <w:softHyphen/>
      </w:r>
      <w:r w:rsidRPr="00DC3B33">
        <w:rPr>
          <w:rFonts w:ascii="Times New Roman" w:hAnsi="Times New Roman" w:cs="Times New Roman"/>
        </w:rPr>
        <w:t>ned periods.</w:t>
      </w:r>
      <w:r w:rsidR="00EE2CD2">
        <w:rPr>
          <w:rFonts w:ascii="Times New Roman" w:hAnsi="Times New Roman" w:cs="Times New Roman"/>
        </w:rPr>
        <w:t xml:space="preserve"> </w:t>
      </w:r>
      <w:r w:rsidR="00761E79">
        <w:rPr>
          <w:rFonts w:ascii="Times New Roman" w:hAnsi="Times New Roman" w:cs="Times New Roman"/>
        </w:rPr>
        <w:t xml:space="preserve">Some of the maintenance work </w:t>
      </w:r>
      <w:r w:rsidR="009B36DC">
        <w:rPr>
          <w:rFonts w:ascii="Times New Roman" w:hAnsi="Times New Roman" w:cs="Times New Roman"/>
        </w:rPr>
        <w:t xml:space="preserve">is also a potential source of </w:t>
      </w:r>
      <w:r w:rsidR="006E7B02">
        <w:rPr>
          <w:rFonts w:ascii="Times New Roman" w:hAnsi="Times New Roman" w:cs="Times New Roman"/>
        </w:rPr>
        <w:t>incidents</w:t>
      </w:r>
      <w:r w:rsidR="001D31F9">
        <w:rPr>
          <w:rFonts w:ascii="Times New Roman" w:hAnsi="Times New Roman" w:cs="Times New Roman"/>
        </w:rPr>
        <w:t xml:space="preserve"> during execution</w:t>
      </w:r>
      <w:r w:rsidR="00E1483C">
        <w:rPr>
          <w:rFonts w:ascii="Times New Roman" w:hAnsi="Times New Roman" w:cs="Times New Roman"/>
        </w:rPr>
        <w:t xml:space="preserve"> (Okoh et al., 2016).</w:t>
      </w:r>
    </w:p>
    <w:p w14:paraId="10EDAFF8" w14:textId="1B7903E6" w:rsidR="00A665D5" w:rsidRDefault="00A665D5" w:rsidP="00B4738B">
      <w:pPr>
        <w:spacing w:after="0" w:line="220" w:lineRule="atLeast"/>
        <w:ind w:firstLine="227"/>
        <w:jc w:val="both"/>
        <w:rPr>
          <w:rFonts w:ascii="Times New Roman" w:hAnsi="Times New Roman" w:cs="Times New Roman"/>
        </w:rPr>
      </w:pPr>
    </w:p>
    <w:p w14:paraId="155513E7" w14:textId="77777777" w:rsidR="009F2745" w:rsidRDefault="00B6522D" w:rsidP="00B4738B">
      <w:pPr>
        <w:spacing w:after="0" w:line="220" w:lineRule="atLeast"/>
        <w:ind w:firstLine="227"/>
        <w:jc w:val="both"/>
        <w:rPr>
          <w:rFonts w:ascii="Times New Roman" w:hAnsi="Times New Roman" w:cs="Times New Roman"/>
        </w:rPr>
      </w:pPr>
      <w:r>
        <w:rPr>
          <w:rFonts w:ascii="Times New Roman" w:hAnsi="Times New Roman" w:cs="Times New Roman"/>
        </w:rPr>
        <w:t>The Norwegian legislation</w:t>
      </w:r>
      <w:r w:rsidR="006B0E75">
        <w:rPr>
          <w:rFonts w:ascii="Times New Roman" w:hAnsi="Times New Roman" w:cs="Times New Roman"/>
        </w:rPr>
        <w:t xml:space="preserve"> for offshore petroleum facilities has been under scrutiny </w:t>
      </w:r>
      <w:r w:rsidR="00FE07D8">
        <w:rPr>
          <w:rFonts w:ascii="Times New Roman" w:hAnsi="Times New Roman" w:cs="Times New Roman"/>
        </w:rPr>
        <w:t>for several years</w:t>
      </w:r>
      <w:r w:rsidR="000E0EF9">
        <w:rPr>
          <w:rFonts w:ascii="Times New Roman" w:hAnsi="Times New Roman" w:cs="Times New Roman"/>
        </w:rPr>
        <w:t xml:space="preserve">, starting with </w:t>
      </w:r>
      <w:r w:rsidR="00F90EE1">
        <w:rPr>
          <w:rFonts w:ascii="Times New Roman" w:hAnsi="Times New Roman" w:cs="Times New Roman"/>
        </w:rPr>
        <w:t>a study by an expert group</w:t>
      </w:r>
      <w:r w:rsidR="00271982">
        <w:rPr>
          <w:rFonts w:ascii="Times New Roman" w:hAnsi="Times New Roman" w:cs="Times New Roman"/>
        </w:rPr>
        <w:t xml:space="preserve"> (ASD, 2013) </w:t>
      </w:r>
      <w:r w:rsidR="000F7A3F">
        <w:rPr>
          <w:rFonts w:ascii="Times New Roman" w:hAnsi="Times New Roman" w:cs="Times New Roman"/>
        </w:rPr>
        <w:t>which looked at the regu</w:t>
      </w:r>
      <w:r w:rsidR="006C2C5B">
        <w:rPr>
          <w:rFonts w:ascii="Times New Roman" w:hAnsi="Times New Roman" w:cs="Times New Roman"/>
        </w:rPr>
        <w:softHyphen/>
        <w:t xml:space="preserve">lations adopted by the Petroleum Safety </w:t>
      </w:r>
      <w:r w:rsidR="00061A3F">
        <w:rPr>
          <w:rFonts w:ascii="Times New Roman" w:hAnsi="Times New Roman" w:cs="Times New Roman"/>
        </w:rPr>
        <w:t>A</w:t>
      </w:r>
      <w:r w:rsidR="006C2C5B">
        <w:rPr>
          <w:rFonts w:ascii="Times New Roman" w:hAnsi="Times New Roman" w:cs="Times New Roman"/>
        </w:rPr>
        <w:t xml:space="preserve">uthority (PSA) [Norway] on behalf of the </w:t>
      </w:r>
      <w:r w:rsidR="00865C7F">
        <w:rPr>
          <w:rFonts w:ascii="Times New Roman" w:hAnsi="Times New Roman" w:cs="Times New Roman"/>
        </w:rPr>
        <w:t>Ministry of Labour and Social Affairs (ASD)</w:t>
      </w:r>
      <w:r w:rsidR="00061A3F">
        <w:rPr>
          <w:rFonts w:ascii="Times New Roman" w:hAnsi="Times New Roman" w:cs="Times New Roman"/>
        </w:rPr>
        <w:t>.</w:t>
      </w:r>
      <w:r w:rsidR="007406A1">
        <w:rPr>
          <w:rFonts w:ascii="Times New Roman" w:hAnsi="Times New Roman" w:cs="Times New Roman"/>
        </w:rPr>
        <w:t xml:space="preserve"> </w:t>
      </w:r>
      <w:r w:rsidR="00827068">
        <w:rPr>
          <w:rFonts w:ascii="Times New Roman" w:hAnsi="Times New Roman" w:cs="Times New Roman"/>
        </w:rPr>
        <w:t xml:space="preserve">The Ministry of Labour and Social Affairs issued a white paper </w:t>
      </w:r>
      <w:r w:rsidR="00601ABB">
        <w:rPr>
          <w:rFonts w:ascii="Times New Roman" w:hAnsi="Times New Roman" w:cs="Times New Roman"/>
        </w:rPr>
        <w:t xml:space="preserve">to the </w:t>
      </w:r>
      <w:r w:rsidR="00032EAD">
        <w:rPr>
          <w:rFonts w:ascii="Times New Roman" w:hAnsi="Times New Roman" w:cs="Times New Roman"/>
        </w:rPr>
        <w:t>parliament (‘Storting</w:t>
      </w:r>
      <w:r w:rsidR="00AC3974">
        <w:rPr>
          <w:rFonts w:ascii="Times New Roman" w:hAnsi="Times New Roman" w:cs="Times New Roman"/>
        </w:rPr>
        <w:t>’</w:t>
      </w:r>
      <w:r w:rsidR="00032EAD">
        <w:rPr>
          <w:rFonts w:ascii="Times New Roman" w:hAnsi="Times New Roman" w:cs="Times New Roman"/>
        </w:rPr>
        <w:t>)</w:t>
      </w:r>
      <w:r w:rsidR="00AC3974">
        <w:rPr>
          <w:rFonts w:ascii="Times New Roman" w:hAnsi="Times New Roman" w:cs="Times New Roman"/>
        </w:rPr>
        <w:t xml:space="preserve"> </w:t>
      </w:r>
      <w:r w:rsidR="00827068">
        <w:rPr>
          <w:rFonts w:ascii="Times New Roman" w:hAnsi="Times New Roman" w:cs="Times New Roman"/>
        </w:rPr>
        <w:t xml:space="preserve">on </w:t>
      </w:r>
      <w:r w:rsidR="002E5ACE">
        <w:rPr>
          <w:rFonts w:ascii="Times New Roman" w:hAnsi="Times New Roman" w:cs="Times New Roman"/>
        </w:rPr>
        <w:t>p</w:t>
      </w:r>
      <w:r w:rsidR="00170E0B">
        <w:rPr>
          <w:rFonts w:ascii="Times New Roman" w:hAnsi="Times New Roman" w:cs="Times New Roman"/>
        </w:rPr>
        <w:t>etroleum health, environment and safety (AS</w:t>
      </w:r>
      <w:r w:rsidR="00C73444">
        <w:rPr>
          <w:rFonts w:ascii="Times New Roman" w:hAnsi="Times New Roman" w:cs="Times New Roman"/>
        </w:rPr>
        <w:t>D</w:t>
      </w:r>
      <w:r w:rsidR="00170E0B">
        <w:rPr>
          <w:rFonts w:ascii="Times New Roman" w:hAnsi="Times New Roman" w:cs="Times New Roman"/>
        </w:rPr>
        <w:t xml:space="preserve">; </w:t>
      </w:r>
      <w:r w:rsidR="00170E0B">
        <w:rPr>
          <w:rFonts w:ascii="Times New Roman" w:hAnsi="Times New Roman" w:cs="Times New Roman"/>
        </w:rPr>
        <w:lastRenderedPageBreak/>
        <w:t>2018) in 2018</w:t>
      </w:r>
      <w:r w:rsidR="000324E8">
        <w:rPr>
          <w:rFonts w:ascii="Times New Roman" w:hAnsi="Times New Roman" w:cs="Times New Roman"/>
        </w:rPr>
        <w:t xml:space="preserve">, </w:t>
      </w:r>
      <w:r w:rsidR="008D1223">
        <w:rPr>
          <w:rFonts w:ascii="Times New Roman" w:hAnsi="Times New Roman" w:cs="Times New Roman"/>
        </w:rPr>
        <w:t xml:space="preserve">which also reiterated the </w:t>
      </w:r>
      <w:r w:rsidR="00AF2E96">
        <w:rPr>
          <w:rFonts w:ascii="Times New Roman" w:hAnsi="Times New Roman" w:cs="Times New Roman"/>
        </w:rPr>
        <w:t>official goal for Norway to be world</w:t>
      </w:r>
      <w:r w:rsidR="00A912DC">
        <w:rPr>
          <w:rFonts w:ascii="Times New Roman" w:hAnsi="Times New Roman" w:cs="Times New Roman"/>
        </w:rPr>
        <w:t>-</w:t>
      </w:r>
      <w:r w:rsidR="00AF2E96">
        <w:rPr>
          <w:rFonts w:ascii="Times New Roman" w:hAnsi="Times New Roman" w:cs="Times New Roman"/>
        </w:rPr>
        <w:t>leadin</w:t>
      </w:r>
      <w:r w:rsidR="00C132E8">
        <w:rPr>
          <w:rFonts w:ascii="Times New Roman" w:hAnsi="Times New Roman" w:cs="Times New Roman"/>
        </w:rPr>
        <w:t>g</w:t>
      </w:r>
      <w:r w:rsidR="00AF2E96">
        <w:rPr>
          <w:rFonts w:ascii="Times New Roman" w:hAnsi="Times New Roman" w:cs="Times New Roman"/>
        </w:rPr>
        <w:t xml:space="preserve"> on offshore</w:t>
      </w:r>
      <w:r w:rsidR="003C00E8">
        <w:rPr>
          <w:rFonts w:ascii="Times New Roman" w:hAnsi="Times New Roman" w:cs="Times New Roman"/>
        </w:rPr>
        <w:t xml:space="preserve"> health, environment and safety</w:t>
      </w:r>
      <w:r w:rsidR="00C132E8">
        <w:rPr>
          <w:rFonts w:ascii="Times New Roman" w:hAnsi="Times New Roman" w:cs="Times New Roman"/>
        </w:rPr>
        <w:t xml:space="preserve">, which was first formulated in 2001. </w:t>
      </w:r>
      <w:r w:rsidR="00D458B2">
        <w:rPr>
          <w:rFonts w:ascii="Times New Roman" w:hAnsi="Times New Roman" w:cs="Times New Roman"/>
        </w:rPr>
        <w:t>T</w:t>
      </w:r>
      <w:r w:rsidR="000324E8">
        <w:rPr>
          <w:rFonts w:ascii="Times New Roman" w:hAnsi="Times New Roman" w:cs="Times New Roman"/>
        </w:rPr>
        <w:t xml:space="preserve">he Auditor General in Norway issued an independent study of the </w:t>
      </w:r>
      <w:r w:rsidR="00D62AFB">
        <w:rPr>
          <w:rFonts w:ascii="Times New Roman" w:hAnsi="Times New Roman" w:cs="Times New Roman"/>
        </w:rPr>
        <w:t xml:space="preserve">performance of </w:t>
      </w:r>
      <w:r w:rsidR="007A2EA2">
        <w:rPr>
          <w:rFonts w:ascii="Times New Roman" w:hAnsi="Times New Roman" w:cs="Times New Roman"/>
        </w:rPr>
        <w:t xml:space="preserve">supervisory activities by </w:t>
      </w:r>
      <w:r w:rsidR="00D62AFB">
        <w:rPr>
          <w:rFonts w:ascii="Times New Roman" w:hAnsi="Times New Roman" w:cs="Times New Roman"/>
        </w:rPr>
        <w:t>the PSA</w:t>
      </w:r>
      <w:r w:rsidR="007A2EA2">
        <w:rPr>
          <w:rFonts w:ascii="Times New Roman" w:hAnsi="Times New Roman" w:cs="Times New Roman"/>
        </w:rPr>
        <w:t xml:space="preserve"> in 2019 (Auditor General, 2019).</w:t>
      </w:r>
      <w:r w:rsidR="009754A0">
        <w:rPr>
          <w:rFonts w:ascii="Times New Roman" w:hAnsi="Times New Roman" w:cs="Times New Roman"/>
        </w:rPr>
        <w:t xml:space="preserve"> </w:t>
      </w:r>
      <w:r w:rsidR="00A267EC">
        <w:rPr>
          <w:rFonts w:ascii="Times New Roman" w:hAnsi="Times New Roman" w:cs="Times New Roman"/>
        </w:rPr>
        <w:t xml:space="preserve">All relevant reports have </w:t>
      </w:r>
      <w:r w:rsidR="005E1A53">
        <w:rPr>
          <w:rFonts w:ascii="Times New Roman" w:hAnsi="Times New Roman" w:cs="Times New Roman"/>
        </w:rPr>
        <w:t xml:space="preserve">concluded that the Norwegian system is </w:t>
      </w:r>
      <w:r w:rsidR="00463F31">
        <w:rPr>
          <w:rFonts w:ascii="Times New Roman" w:hAnsi="Times New Roman" w:cs="Times New Roman"/>
        </w:rPr>
        <w:t xml:space="preserve">basically good </w:t>
      </w:r>
      <w:r w:rsidR="000D34C6">
        <w:rPr>
          <w:rFonts w:ascii="Times New Roman" w:hAnsi="Times New Roman" w:cs="Times New Roman"/>
        </w:rPr>
        <w:t xml:space="preserve">but </w:t>
      </w:r>
      <w:r w:rsidR="00163079">
        <w:rPr>
          <w:rFonts w:ascii="Times New Roman" w:hAnsi="Times New Roman" w:cs="Times New Roman"/>
        </w:rPr>
        <w:t xml:space="preserve">needs </w:t>
      </w:r>
      <w:r w:rsidR="00982CA6">
        <w:rPr>
          <w:rFonts w:ascii="Times New Roman" w:hAnsi="Times New Roman" w:cs="Times New Roman"/>
        </w:rPr>
        <w:t>some minor improvements.</w:t>
      </w:r>
      <w:r w:rsidR="001272FC">
        <w:rPr>
          <w:rFonts w:ascii="Times New Roman" w:hAnsi="Times New Roman" w:cs="Times New Roman"/>
        </w:rPr>
        <w:t xml:space="preserve"> </w:t>
      </w:r>
    </w:p>
    <w:p w14:paraId="4036090F" w14:textId="77777777" w:rsidR="009F2745" w:rsidRDefault="009F2745" w:rsidP="00B4738B">
      <w:pPr>
        <w:spacing w:after="0" w:line="220" w:lineRule="atLeast"/>
        <w:ind w:firstLine="227"/>
        <w:jc w:val="both"/>
        <w:rPr>
          <w:rFonts w:ascii="Times New Roman" w:hAnsi="Times New Roman" w:cs="Times New Roman"/>
        </w:rPr>
      </w:pPr>
    </w:p>
    <w:p w14:paraId="0C974435" w14:textId="5CA9F66B" w:rsidR="00A665D5" w:rsidRPr="00DC3B33" w:rsidRDefault="001272FC" w:rsidP="00B4738B">
      <w:pPr>
        <w:spacing w:after="0" w:line="220" w:lineRule="atLeast"/>
        <w:ind w:firstLine="227"/>
        <w:jc w:val="both"/>
        <w:rPr>
          <w:rFonts w:ascii="Times New Roman" w:hAnsi="Times New Roman" w:cs="Times New Roman"/>
        </w:rPr>
      </w:pPr>
      <w:r>
        <w:rPr>
          <w:rFonts w:ascii="Times New Roman" w:hAnsi="Times New Roman" w:cs="Times New Roman"/>
        </w:rPr>
        <w:t>A more general comparison of Brazilian and Norwegian offshore legislation is presented by Almeida and Vinnem (2020).</w:t>
      </w:r>
      <w:r w:rsidR="009F2745">
        <w:rPr>
          <w:rFonts w:ascii="Times New Roman" w:hAnsi="Times New Roman" w:cs="Times New Roman"/>
        </w:rPr>
        <w:t xml:space="preserve"> </w:t>
      </w:r>
      <w:r w:rsidR="00120BF8">
        <w:rPr>
          <w:rFonts w:ascii="Times New Roman" w:hAnsi="Times New Roman" w:cs="Times New Roman"/>
        </w:rPr>
        <w:t>This study found significant challenges in both Brazil and Norway with respect to learning from previous accidents and incidents</w:t>
      </w:r>
      <w:r w:rsidR="00BF00E1">
        <w:rPr>
          <w:rFonts w:ascii="Times New Roman" w:hAnsi="Times New Roman" w:cs="Times New Roman"/>
        </w:rPr>
        <w:t xml:space="preserve">, especially for prevention of reoccurrence of </w:t>
      </w:r>
      <w:r w:rsidR="00BF00E1" w:rsidRPr="00DC3B33">
        <w:rPr>
          <w:rFonts w:ascii="Times New Roman" w:hAnsi="Times New Roman" w:cs="Times New Roman"/>
          <w:lang w:val="en-US"/>
        </w:rPr>
        <w:t>hydrocarbon (HC) leaks from process components</w:t>
      </w:r>
      <w:r w:rsidR="00BF00E1">
        <w:rPr>
          <w:rFonts w:ascii="Times New Roman" w:hAnsi="Times New Roman" w:cs="Times New Roman"/>
          <w:lang w:val="en-US"/>
        </w:rPr>
        <w:t>.</w:t>
      </w:r>
    </w:p>
    <w:p w14:paraId="5FB123AA" w14:textId="77777777" w:rsidR="00117775" w:rsidRDefault="00117775" w:rsidP="00B4738B">
      <w:pPr>
        <w:spacing w:after="0" w:line="220" w:lineRule="atLeast"/>
        <w:ind w:firstLine="227"/>
        <w:jc w:val="both"/>
        <w:rPr>
          <w:rFonts w:ascii="Times New Roman" w:hAnsi="Times New Roman" w:cs="Times New Roman"/>
        </w:rPr>
      </w:pPr>
    </w:p>
    <w:p w14:paraId="502050D9" w14:textId="7394CA49" w:rsidR="007E065D" w:rsidRDefault="00AB3AC2" w:rsidP="00B4738B">
      <w:pPr>
        <w:spacing w:after="0" w:line="220" w:lineRule="atLeast"/>
        <w:ind w:firstLine="227"/>
        <w:jc w:val="both"/>
        <w:rPr>
          <w:rFonts w:ascii="Times New Roman" w:hAnsi="Times New Roman" w:cs="Times New Roman"/>
        </w:rPr>
      </w:pPr>
      <w:r w:rsidRPr="00DC3B33">
        <w:rPr>
          <w:rFonts w:ascii="Times New Roman" w:hAnsi="Times New Roman" w:cs="Times New Roman"/>
        </w:rPr>
        <w:t xml:space="preserve">The objective of the paper is to </w:t>
      </w:r>
      <w:r w:rsidR="0044492D" w:rsidRPr="00DC3B33">
        <w:rPr>
          <w:rFonts w:ascii="Times New Roman" w:hAnsi="Times New Roman" w:cs="Times New Roman"/>
        </w:rPr>
        <w:t xml:space="preserve">consider </w:t>
      </w:r>
      <w:r w:rsidR="003B162A">
        <w:rPr>
          <w:rFonts w:ascii="Times New Roman" w:hAnsi="Times New Roman" w:cs="Times New Roman"/>
        </w:rPr>
        <w:t xml:space="preserve">principles for </w:t>
      </w:r>
      <w:r w:rsidR="00250F92" w:rsidRPr="00DC3B33">
        <w:rPr>
          <w:rFonts w:ascii="Times New Roman" w:hAnsi="Times New Roman" w:cs="Times New Roman"/>
        </w:rPr>
        <w:t xml:space="preserve">risk tolerance </w:t>
      </w:r>
      <w:r w:rsidR="005A638F">
        <w:rPr>
          <w:rFonts w:ascii="Times New Roman" w:hAnsi="Times New Roman" w:cs="Times New Roman"/>
        </w:rPr>
        <w:t xml:space="preserve">assessment </w:t>
      </w:r>
      <w:r w:rsidR="00250F92" w:rsidRPr="00DC3B33">
        <w:rPr>
          <w:rFonts w:ascii="Times New Roman" w:hAnsi="Times New Roman" w:cs="Times New Roman"/>
        </w:rPr>
        <w:t>of future autono</w:t>
      </w:r>
      <w:r w:rsidR="00A92A1C">
        <w:rPr>
          <w:rFonts w:ascii="Times New Roman" w:hAnsi="Times New Roman" w:cs="Times New Roman"/>
        </w:rPr>
        <w:softHyphen/>
      </w:r>
      <w:r w:rsidR="00250F92" w:rsidRPr="00DC3B33">
        <w:rPr>
          <w:rFonts w:ascii="Times New Roman" w:hAnsi="Times New Roman" w:cs="Times New Roman"/>
        </w:rPr>
        <w:t>mous offshore installations</w:t>
      </w:r>
      <w:r w:rsidR="008A458C" w:rsidRPr="00DC3B33">
        <w:rPr>
          <w:rFonts w:ascii="Times New Roman" w:hAnsi="Times New Roman" w:cs="Times New Roman"/>
        </w:rPr>
        <w:t xml:space="preserve"> </w:t>
      </w:r>
      <w:r w:rsidR="002806CC" w:rsidRPr="00DC3B33">
        <w:rPr>
          <w:rFonts w:ascii="Times New Roman" w:hAnsi="Times New Roman" w:cs="Times New Roman"/>
        </w:rPr>
        <w:t xml:space="preserve">under </w:t>
      </w:r>
      <w:r w:rsidR="00433EB4">
        <w:rPr>
          <w:rFonts w:ascii="Times New Roman" w:hAnsi="Times New Roman" w:cs="Times New Roman"/>
        </w:rPr>
        <w:t xml:space="preserve">the present </w:t>
      </w:r>
      <w:r w:rsidR="002806CC" w:rsidRPr="00DC3B33">
        <w:rPr>
          <w:rFonts w:ascii="Times New Roman" w:hAnsi="Times New Roman" w:cs="Times New Roman"/>
        </w:rPr>
        <w:t>Norwegian legislation</w:t>
      </w:r>
      <w:r w:rsidR="00A74D7A" w:rsidRPr="00DC3B33">
        <w:rPr>
          <w:rFonts w:ascii="Times New Roman" w:hAnsi="Times New Roman" w:cs="Times New Roman"/>
        </w:rPr>
        <w:t>, which is strongly based on risk-infor</w:t>
      </w:r>
      <w:r w:rsidR="0008100B" w:rsidRPr="00DC3B33">
        <w:rPr>
          <w:rFonts w:ascii="Times New Roman" w:hAnsi="Times New Roman" w:cs="Times New Roman"/>
        </w:rPr>
        <w:softHyphen/>
      </w:r>
      <w:r w:rsidR="00A74D7A" w:rsidRPr="00DC3B33">
        <w:rPr>
          <w:rFonts w:ascii="Times New Roman" w:hAnsi="Times New Roman" w:cs="Times New Roman"/>
        </w:rPr>
        <w:t>med decision-making in all life cycle phases</w:t>
      </w:r>
      <w:r w:rsidR="004B4D6F" w:rsidRPr="00DC3B33">
        <w:rPr>
          <w:rFonts w:ascii="Times New Roman" w:hAnsi="Times New Roman" w:cs="Times New Roman"/>
        </w:rPr>
        <w:t>.</w:t>
      </w:r>
      <w:r w:rsidR="006A60AD">
        <w:rPr>
          <w:rFonts w:ascii="Times New Roman" w:hAnsi="Times New Roman" w:cs="Times New Roman"/>
        </w:rPr>
        <w:t xml:space="preserve"> Secondly, the objective is to establish if the </w:t>
      </w:r>
      <w:r w:rsidR="009844DF">
        <w:rPr>
          <w:rFonts w:ascii="Times New Roman" w:hAnsi="Times New Roman" w:cs="Times New Roman"/>
        </w:rPr>
        <w:t xml:space="preserve">risk tolerance principles and practices </w:t>
      </w:r>
      <w:r w:rsidR="00220B56">
        <w:rPr>
          <w:rFonts w:ascii="Times New Roman" w:hAnsi="Times New Roman" w:cs="Times New Roman"/>
        </w:rPr>
        <w:t xml:space="preserve">are suitable for efficient </w:t>
      </w:r>
      <w:r w:rsidR="00C212E9">
        <w:rPr>
          <w:rFonts w:ascii="Times New Roman" w:hAnsi="Times New Roman" w:cs="Times New Roman"/>
        </w:rPr>
        <w:t>risk tolerance assessments</w:t>
      </w:r>
      <w:r w:rsidR="007232B0">
        <w:rPr>
          <w:rFonts w:ascii="Times New Roman" w:hAnsi="Times New Roman" w:cs="Times New Roman"/>
        </w:rPr>
        <w:t xml:space="preserve"> </w:t>
      </w:r>
      <w:r w:rsidR="000E12B8">
        <w:rPr>
          <w:rFonts w:ascii="Times New Roman" w:hAnsi="Times New Roman" w:cs="Times New Roman"/>
        </w:rPr>
        <w:t>of future unmanned production installations.</w:t>
      </w:r>
    </w:p>
    <w:p w14:paraId="6560EDF8" w14:textId="52961F8E" w:rsidR="000E12B8" w:rsidRDefault="000E12B8" w:rsidP="00B4738B">
      <w:pPr>
        <w:spacing w:after="0" w:line="220" w:lineRule="atLeast"/>
        <w:ind w:firstLine="227"/>
        <w:jc w:val="both"/>
        <w:rPr>
          <w:rFonts w:ascii="Times New Roman" w:hAnsi="Times New Roman" w:cs="Times New Roman"/>
        </w:rPr>
      </w:pPr>
    </w:p>
    <w:p w14:paraId="644569F8" w14:textId="2C800909" w:rsidR="000E12B8" w:rsidRDefault="000E12B8" w:rsidP="00B4738B">
      <w:pPr>
        <w:spacing w:after="0" w:line="220" w:lineRule="atLeast"/>
        <w:ind w:firstLine="227"/>
        <w:jc w:val="both"/>
        <w:rPr>
          <w:rFonts w:ascii="Times New Roman" w:hAnsi="Times New Roman" w:cs="Times New Roman"/>
        </w:rPr>
      </w:pPr>
      <w:r>
        <w:rPr>
          <w:rFonts w:ascii="Times New Roman" w:hAnsi="Times New Roman" w:cs="Times New Roman"/>
        </w:rPr>
        <w:t xml:space="preserve">Following the introduction, Chapter 2 </w:t>
      </w:r>
      <w:r w:rsidR="00BF00E1">
        <w:rPr>
          <w:rFonts w:ascii="Times New Roman" w:hAnsi="Times New Roman" w:cs="Times New Roman"/>
        </w:rPr>
        <w:t xml:space="preserve">presents an overview of </w:t>
      </w:r>
      <w:r>
        <w:rPr>
          <w:rFonts w:ascii="Times New Roman" w:hAnsi="Times New Roman" w:cs="Times New Roman"/>
        </w:rPr>
        <w:t>the case study (Vinnem and Budde, 2019)</w:t>
      </w:r>
      <w:r w:rsidR="00BF00E1">
        <w:rPr>
          <w:rFonts w:ascii="Times New Roman" w:hAnsi="Times New Roman" w:cs="Times New Roman"/>
        </w:rPr>
        <w:t xml:space="preserve">. </w:t>
      </w:r>
      <w:r>
        <w:rPr>
          <w:rFonts w:ascii="Times New Roman" w:hAnsi="Times New Roman" w:cs="Times New Roman"/>
        </w:rPr>
        <w:t xml:space="preserve">Chapter 3 </w:t>
      </w:r>
      <w:r w:rsidR="00BF00E1">
        <w:rPr>
          <w:rFonts w:ascii="Times New Roman" w:hAnsi="Times New Roman" w:cs="Times New Roman"/>
        </w:rPr>
        <w:t xml:space="preserve">presents </w:t>
      </w:r>
      <w:r>
        <w:rPr>
          <w:rFonts w:ascii="Times New Roman" w:hAnsi="Times New Roman" w:cs="Times New Roman"/>
        </w:rPr>
        <w:t>risk tolerance criteria and the requirements in Norwegian legislation</w:t>
      </w:r>
      <w:r w:rsidR="004242CD">
        <w:rPr>
          <w:rFonts w:ascii="Times New Roman" w:hAnsi="Times New Roman" w:cs="Times New Roman"/>
        </w:rPr>
        <w:t xml:space="preserve"> in general</w:t>
      </w:r>
      <w:r w:rsidR="00BF00E1">
        <w:rPr>
          <w:rFonts w:ascii="Times New Roman" w:hAnsi="Times New Roman" w:cs="Times New Roman"/>
        </w:rPr>
        <w:t xml:space="preserve"> and discusses the suitability of present criteria.</w:t>
      </w:r>
      <w:r w:rsidR="004242CD">
        <w:rPr>
          <w:rFonts w:ascii="Times New Roman" w:hAnsi="Times New Roman" w:cs="Times New Roman"/>
        </w:rPr>
        <w:t xml:space="preserve"> </w:t>
      </w:r>
      <w:r w:rsidR="00BF00E1">
        <w:rPr>
          <w:rFonts w:ascii="Times New Roman" w:hAnsi="Times New Roman" w:cs="Times New Roman"/>
        </w:rPr>
        <w:t>Chapter 4 presents case study risk results and an evaluation of the results. Chapter 5 considers RTC for unmanned installations and potential principles for improvements.</w:t>
      </w:r>
      <w:r w:rsidR="004242CD">
        <w:rPr>
          <w:rFonts w:ascii="Times New Roman" w:hAnsi="Times New Roman" w:cs="Times New Roman"/>
        </w:rPr>
        <w:t xml:space="preserve"> Th</w:t>
      </w:r>
      <w:r w:rsidR="00BF00E1">
        <w:rPr>
          <w:rFonts w:ascii="Times New Roman" w:hAnsi="Times New Roman" w:cs="Times New Roman"/>
        </w:rPr>
        <w:t xml:space="preserve">is is </w:t>
      </w:r>
      <w:r w:rsidR="004242CD">
        <w:rPr>
          <w:rFonts w:ascii="Times New Roman" w:hAnsi="Times New Roman" w:cs="Times New Roman"/>
        </w:rPr>
        <w:t xml:space="preserve">followed by a general discussion of the findings in Chapter </w:t>
      </w:r>
      <w:r w:rsidR="00BF00E1">
        <w:rPr>
          <w:rFonts w:ascii="Times New Roman" w:hAnsi="Times New Roman" w:cs="Times New Roman"/>
        </w:rPr>
        <w:t>6</w:t>
      </w:r>
      <w:r w:rsidR="004242CD">
        <w:rPr>
          <w:rFonts w:ascii="Times New Roman" w:hAnsi="Times New Roman" w:cs="Times New Roman"/>
        </w:rPr>
        <w:t xml:space="preserve">, and conclusions in Chapter </w:t>
      </w:r>
      <w:r w:rsidR="00BF00E1">
        <w:rPr>
          <w:rFonts w:ascii="Times New Roman" w:hAnsi="Times New Roman" w:cs="Times New Roman"/>
        </w:rPr>
        <w:t>7</w:t>
      </w:r>
      <w:r w:rsidR="004242CD">
        <w:rPr>
          <w:rFonts w:ascii="Times New Roman" w:hAnsi="Times New Roman" w:cs="Times New Roman"/>
        </w:rPr>
        <w:t>.</w:t>
      </w:r>
    </w:p>
    <w:p w14:paraId="754CF95E" w14:textId="77777777" w:rsidR="004242CD" w:rsidRPr="00DC3B33" w:rsidRDefault="004242CD" w:rsidP="00B4738B">
      <w:pPr>
        <w:spacing w:after="0" w:line="220" w:lineRule="atLeast"/>
        <w:ind w:firstLine="227"/>
        <w:jc w:val="both"/>
        <w:rPr>
          <w:rFonts w:ascii="Times New Roman" w:hAnsi="Times New Roman" w:cs="Times New Roman"/>
        </w:rPr>
      </w:pPr>
    </w:p>
    <w:p w14:paraId="70E36696" w14:textId="46E7624E" w:rsidR="00D42C3C" w:rsidRPr="00DC3B33" w:rsidRDefault="00CB75E7" w:rsidP="00B4738B">
      <w:pPr>
        <w:keepNext/>
        <w:spacing w:before="230" w:after="100" w:line="220" w:lineRule="atLeast"/>
        <w:ind w:left="227" w:hanging="227"/>
        <w:rPr>
          <w:rFonts w:ascii="Times New Roman" w:hAnsi="Times New Roman" w:cs="Times New Roman"/>
          <w:b/>
        </w:rPr>
      </w:pPr>
      <w:r w:rsidRPr="00DC3B33">
        <w:rPr>
          <w:rFonts w:ascii="Times New Roman" w:hAnsi="Times New Roman" w:cs="Times New Roman"/>
          <w:b/>
        </w:rPr>
        <w:t xml:space="preserve">2. </w:t>
      </w:r>
      <w:r w:rsidR="00D42C3C" w:rsidRPr="00DC3B33">
        <w:rPr>
          <w:rFonts w:ascii="Times New Roman" w:hAnsi="Times New Roman" w:cs="Times New Roman"/>
          <w:b/>
        </w:rPr>
        <w:t>Case Study Overview</w:t>
      </w:r>
      <w:r w:rsidR="003E4396" w:rsidRPr="00DC3B33">
        <w:rPr>
          <w:rFonts w:ascii="Times New Roman" w:hAnsi="Times New Roman" w:cs="Times New Roman"/>
          <w:b/>
        </w:rPr>
        <w:t xml:space="preserve"> </w:t>
      </w:r>
    </w:p>
    <w:p w14:paraId="3E40998E" w14:textId="3F7DF402" w:rsidR="00CB75E7" w:rsidRPr="00DC3B33" w:rsidRDefault="00CB75E7" w:rsidP="00B4738B">
      <w:pPr>
        <w:spacing w:after="0" w:line="220" w:lineRule="atLeast"/>
        <w:jc w:val="both"/>
        <w:rPr>
          <w:rFonts w:ascii="Times New Roman" w:hAnsi="Times New Roman" w:cs="Times New Roman"/>
          <w:lang w:val="en-US"/>
        </w:rPr>
      </w:pPr>
      <w:r w:rsidRPr="00DC3B33">
        <w:rPr>
          <w:rFonts w:ascii="Times New Roman" w:hAnsi="Times New Roman" w:cs="Times New Roman"/>
          <w:lang w:val="en-US"/>
        </w:rPr>
        <w:t xml:space="preserve">The case study </w:t>
      </w:r>
      <w:r w:rsidR="00AF6730" w:rsidRPr="00DC3B33">
        <w:rPr>
          <w:rFonts w:ascii="Times New Roman" w:hAnsi="Times New Roman" w:cs="Times New Roman"/>
          <w:lang w:val="en-US"/>
        </w:rPr>
        <w:t xml:space="preserve">(Vinnem &amp; Budde, 2019) </w:t>
      </w:r>
      <w:r w:rsidR="00E7334E" w:rsidRPr="00DC3B33">
        <w:rPr>
          <w:rFonts w:ascii="Times New Roman" w:hAnsi="Times New Roman" w:cs="Times New Roman"/>
          <w:lang w:val="en-US"/>
        </w:rPr>
        <w:t>wa</w:t>
      </w:r>
      <w:r w:rsidRPr="00DC3B33">
        <w:rPr>
          <w:rFonts w:ascii="Times New Roman" w:hAnsi="Times New Roman" w:cs="Times New Roman"/>
          <w:lang w:val="en-US"/>
        </w:rPr>
        <w:t xml:space="preserve">s performed for a fictitious unmanned </w:t>
      </w:r>
      <w:r w:rsidR="004242CD">
        <w:rPr>
          <w:rFonts w:ascii="Times New Roman" w:hAnsi="Times New Roman" w:cs="Times New Roman"/>
          <w:lang w:val="en-US"/>
        </w:rPr>
        <w:t xml:space="preserve">oil and gas </w:t>
      </w:r>
      <w:r w:rsidRPr="00DC3B33">
        <w:rPr>
          <w:rFonts w:ascii="Times New Roman" w:hAnsi="Times New Roman" w:cs="Times New Roman"/>
          <w:lang w:val="en-US"/>
        </w:rPr>
        <w:t>processing installation</w:t>
      </w:r>
      <w:r w:rsidR="004242CD">
        <w:rPr>
          <w:rFonts w:ascii="Times New Roman" w:hAnsi="Times New Roman" w:cs="Times New Roman"/>
          <w:lang w:val="en-US"/>
        </w:rPr>
        <w:t xml:space="preserve"> in the Norwegian offshore sector under Norwegian legislation</w:t>
      </w:r>
      <w:r w:rsidRPr="00DC3B33">
        <w:rPr>
          <w:rFonts w:ascii="Times New Roman" w:hAnsi="Times New Roman" w:cs="Times New Roman"/>
          <w:lang w:val="en-US"/>
        </w:rPr>
        <w:t xml:space="preserve">. </w:t>
      </w:r>
      <w:r w:rsidR="00C42336">
        <w:rPr>
          <w:rFonts w:ascii="Times New Roman" w:hAnsi="Times New Roman" w:cs="Times New Roman"/>
          <w:lang w:val="en-US"/>
        </w:rPr>
        <w:t>As concerns</w:t>
      </w:r>
      <w:r w:rsidRPr="00DC3B33">
        <w:rPr>
          <w:rFonts w:ascii="Times New Roman" w:hAnsi="Times New Roman" w:cs="Times New Roman"/>
          <w:lang w:val="en-US"/>
        </w:rPr>
        <w:t xml:space="preserve"> safety systems, there are three cases which have been quantified in this case study for comparison, as follows:</w:t>
      </w:r>
    </w:p>
    <w:p w14:paraId="4F4FAE8F" w14:textId="0480CDB0" w:rsidR="00CB75E7" w:rsidRPr="00DC3B33" w:rsidRDefault="00CB75E7" w:rsidP="00B4738B">
      <w:pPr>
        <w:pStyle w:val="Listeavsnitt"/>
        <w:numPr>
          <w:ilvl w:val="0"/>
          <w:numId w:val="1"/>
        </w:numPr>
        <w:spacing w:before="80" w:after="80" w:line="220" w:lineRule="atLeast"/>
        <w:ind w:left="357" w:hanging="357"/>
        <w:rPr>
          <w:rFonts w:ascii="Times New Roman" w:hAnsi="Times New Roman" w:cs="Times New Roman"/>
        </w:rPr>
      </w:pPr>
      <w:r w:rsidRPr="00DC3B33">
        <w:rPr>
          <w:rFonts w:ascii="Times New Roman" w:hAnsi="Times New Roman" w:cs="Times New Roman"/>
        </w:rPr>
        <w:t>Case max: all safety systems as if it was manned</w:t>
      </w:r>
      <w:r w:rsidR="004242CD">
        <w:rPr>
          <w:rFonts w:ascii="Times New Roman" w:hAnsi="Times New Roman" w:cs="Times New Roman"/>
        </w:rPr>
        <w:t>, fulfilling all regulatory requirements</w:t>
      </w:r>
    </w:p>
    <w:p w14:paraId="3EE872D9" w14:textId="2CA78582" w:rsidR="00CB75E7" w:rsidRPr="00DC3B33" w:rsidRDefault="00CB75E7" w:rsidP="00B4738B">
      <w:pPr>
        <w:pStyle w:val="Listeavsnitt"/>
        <w:numPr>
          <w:ilvl w:val="0"/>
          <w:numId w:val="1"/>
        </w:numPr>
        <w:spacing w:before="80" w:after="80" w:line="220" w:lineRule="atLeast"/>
        <w:ind w:left="357" w:hanging="357"/>
        <w:rPr>
          <w:rFonts w:ascii="Times New Roman" w:hAnsi="Times New Roman" w:cs="Times New Roman"/>
        </w:rPr>
      </w:pPr>
      <w:r w:rsidRPr="00DC3B33">
        <w:rPr>
          <w:rFonts w:ascii="Times New Roman" w:hAnsi="Times New Roman" w:cs="Times New Roman"/>
        </w:rPr>
        <w:t>Case min: an absolute minimum set of safety systems</w:t>
      </w:r>
    </w:p>
    <w:p w14:paraId="768AD2EF" w14:textId="3966F462" w:rsidR="00CB75E7" w:rsidRPr="00DC3B33" w:rsidRDefault="00CB75E7" w:rsidP="00B4738B">
      <w:pPr>
        <w:pStyle w:val="Listeavsnitt"/>
        <w:numPr>
          <w:ilvl w:val="0"/>
          <w:numId w:val="1"/>
        </w:numPr>
        <w:spacing w:before="80" w:after="80" w:line="220" w:lineRule="atLeast"/>
        <w:ind w:left="357" w:hanging="357"/>
        <w:rPr>
          <w:rFonts w:ascii="Times New Roman" w:hAnsi="Times New Roman" w:cs="Times New Roman"/>
        </w:rPr>
      </w:pPr>
      <w:r w:rsidRPr="00DC3B33">
        <w:rPr>
          <w:rFonts w:ascii="Times New Roman" w:hAnsi="Times New Roman" w:cs="Times New Roman"/>
        </w:rPr>
        <w:t>Case limited: limited extent of safety systems, but more than minimum</w:t>
      </w:r>
    </w:p>
    <w:p w14:paraId="0A510A80" w14:textId="77777777" w:rsidR="004242CD" w:rsidRDefault="004242CD" w:rsidP="00B4738B">
      <w:pPr>
        <w:spacing w:after="0" w:line="220" w:lineRule="atLeast"/>
        <w:ind w:firstLine="227"/>
        <w:jc w:val="both"/>
        <w:rPr>
          <w:rFonts w:ascii="Times New Roman" w:hAnsi="Times New Roman" w:cs="Times New Roman"/>
          <w:lang w:val="en-US"/>
        </w:rPr>
      </w:pPr>
    </w:p>
    <w:p w14:paraId="46CB0E70" w14:textId="49196C8E" w:rsidR="00CB75E7" w:rsidRDefault="008D03B7" w:rsidP="00B4738B">
      <w:pPr>
        <w:spacing w:after="0" w:line="220" w:lineRule="atLeast"/>
        <w:ind w:firstLine="227"/>
        <w:jc w:val="both"/>
        <w:rPr>
          <w:rFonts w:ascii="Times New Roman" w:hAnsi="Times New Roman" w:cs="Times New Roman"/>
          <w:lang w:val="en-US"/>
        </w:rPr>
      </w:pPr>
      <w:r w:rsidRPr="00DC3B33">
        <w:rPr>
          <w:rFonts w:ascii="Times New Roman" w:hAnsi="Times New Roman" w:cs="Times New Roman"/>
          <w:lang w:val="en-US"/>
        </w:rPr>
        <w:t xml:space="preserve">The </w:t>
      </w:r>
      <w:r w:rsidR="00CB75E7" w:rsidRPr="00DC3B33">
        <w:rPr>
          <w:rFonts w:ascii="Times New Roman" w:hAnsi="Times New Roman" w:cs="Times New Roman"/>
          <w:lang w:val="en-US"/>
        </w:rPr>
        <w:t>well control barrier elements are included in all three cases</w:t>
      </w:r>
      <w:r w:rsidR="004242CD">
        <w:rPr>
          <w:rFonts w:ascii="Times New Roman" w:hAnsi="Times New Roman" w:cs="Times New Roman"/>
          <w:lang w:val="en-US"/>
        </w:rPr>
        <w:t xml:space="preserve"> according to regulations and accepted practice worldwide</w:t>
      </w:r>
      <w:r w:rsidR="00CB75E7" w:rsidRPr="00DC3B33">
        <w:rPr>
          <w:rFonts w:ascii="Times New Roman" w:hAnsi="Times New Roman" w:cs="Times New Roman"/>
          <w:lang w:val="en-US"/>
        </w:rPr>
        <w:t>, but there are significant differences when it comes to barrier elements in the process area. The ‘Case min’ has very few safety systems (barrier elements). The ‘Case limited’ has several additional safety systems</w:t>
      </w:r>
      <w:r w:rsidR="00BF00E1">
        <w:rPr>
          <w:rFonts w:ascii="Times New Roman" w:hAnsi="Times New Roman" w:cs="Times New Roman"/>
          <w:lang w:val="en-US"/>
        </w:rPr>
        <w:t>.</w:t>
      </w:r>
      <w:r w:rsidR="00CB75E7" w:rsidRPr="00DC3B33">
        <w:rPr>
          <w:rFonts w:ascii="Times New Roman" w:hAnsi="Times New Roman" w:cs="Times New Roman"/>
          <w:lang w:val="en-US"/>
        </w:rPr>
        <w:t xml:space="preserve"> </w:t>
      </w:r>
      <w:r w:rsidR="003D32FA" w:rsidRPr="00DC3B33">
        <w:rPr>
          <w:rFonts w:ascii="Times New Roman" w:hAnsi="Times New Roman" w:cs="Times New Roman"/>
          <w:lang w:val="en-US"/>
        </w:rPr>
        <w:t>T</w:t>
      </w:r>
      <w:r w:rsidR="00CB75E7" w:rsidRPr="00DC3B33">
        <w:rPr>
          <w:rFonts w:ascii="Times New Roman" w:hAnsi="Times New Roman" w:cs="Times New Roman"/>
          <w:lang w:val="en-US"/>
        </w:rPr>
        <w:t xml:space="preserve">he case study </w:t>
      </w:r>
      <w:r w:rsidR="003D32FA" w:rsidRPr="00DC3B33">
        <w:rPr>
          <w:rFonts w:ascii="Times New Roman" w:hAnsi="Times New Roman" w:cs="Times New Roman"/>
          <w:lang w:val="en-US"/>
        </w:rPr>
        <w:t>wa</w:t>
      </w:r>
      <w:r w:rsidR="00CB75E7" w:rsidRPr="00DC3B33">
        <w:rPr>
          <w:rFonts w:ascii="Times New Roman" w:hAnsi="Times New Roman" w:cs="Times New Roman"/>
          <w:lang w:val="en-US"/>
        </w:rPr>
        <w:t xml:space="preserve">s limited to hazards related to the process area, i.e. fire and explosion risk due to HC leaks from process components, which may have effects for personnel if the leaks occur during manned periods. </w:t>
      </w:r>
      <w:r w:rsidR="00D43626">
        <w:rPr>
          <w:rFonts w:ascii="Times New Roman" w:hAnsi="Times New Roman" w:cs="Times New Roman"/>
          <w:lang w:val="en-US"/>
        </w:rPr>
        <w:t>Table 1</w:t>
      </w:r>
      <w:r w:rsidR="00A86B8E">
        <w:rPr>
          <w:rFonts w:ascii="Times New Roman" w:hAnsi="Times New Roman" w:cs="Times New Roman"/>
          <w:lang w:val="en-US"/>
        </w:rPr>
        <w:t xml:space="preserve"> is adapted from </w:t>
      </w:r>
      <w:r w:rsidR="00A66DAD">
        <w:rPr>
          <w:rFonts w:ascii="Times New Roman" w:hAnsi="Times New Roman" w:cs="Times New Roman"/>
          <w:lang w:val="en-US"/>
        </w:rPr>
        <w:t>Vinnem and Røed (2020).</w:t>
      </w:r>
    </w:p>
    <w:p w14:paraId="20344C8C" w14:textId="116960E4" w:rsidR="00CE4ED7" w:rsidRDefault="00CE4ED7" w:rsidP="00B4738B">
      <w:pPr>
        <w:spacing w:after="0" w:line="220" w:lineRule="atLeast"/>
        <w:ind w:firstLine="227"/>
        <w:jc w:val="both"/>
        <w:rPr>
          <w:rFonts w:ascii="Times New Roman" w:hAnsi="Times New Roman" w:cs="Times New Roman"/>
          <w:lang w:val="en-US"/>
        </w:rPr>
      </w:pPr>
    </w:p>
    <w:p w14:paraId="0A55E97E" w14:textId="36C20C5A" w:rsidR="00CE4ED7" w:rsidRPr="0064658B" w:rsidRDefault="00CE4ED7" w:rsidP="00CE4ED7">
      <w:pPr>
        <w:pStyle w:val="Bildetekst"/>
        <w:keepNext/>
        <w:jc w:val="left"/>
        <w:rPr>
          <w:rFonts w:ascii="Palatino" w:hAnsi="Palatino"/>
          <w:bCs/>
        </w:rPr>
      </w:pPr>
      <w:bookmarkStart w:id="0" w:name="_Ref527099201"/>
      <w:r>
        <w:t xml:space="preserve">Table </w:t>
      </w:r>
      <w:r>
        <w:fldChar w:fldCharType="begin"/>
      </w:r>
      <w:r>
        <w:instrText xml:space="preserve"> SEQ Table \* ARABIC </w:instrText>
      </w:r>
      <w:r>
        <w:fldChar w:fldCharType="separate"/>
      </w:r>
      <w:r w:rsidR="00DE14CA">
        <w:rPr>
          <w:noProof/>
        </w:rPr>
        <w:t>1</w:t>
      </w:r>
      <w:r>
        <w:fldChar w:fldCharType="end"/>
      </w:r>
      <w:bookmarkEnd w:id="0"/>
      <w:r w:rsidRPr="0064658B">
        <w:rPr>
          <w:rFonts w:ascii="Palatino" w:hAnsi="Palatino"/>
          <w:bCs/>
        </w:rPr>
        <w:t xml:space="preserve"> </w:t>
      </w:r>
      <w:r w:rsidRPr="0064658B">
        <w:rPr>
          <w:rFonts w:ascii="Palatino" w:hAnsi="Palatino"/>
          <w:b w:val="0"/>
          <w:bCs/>
        </w:rPr>
        <w:t>Overview of study cases for risk quantification with barrier elements included</w:t>
      </w:r>
      <w:r w:rsidR="00A86B8E">
        <w:rPr>
          <w:rFonts w:ascii="Palatino" w:hAnsi="Palatino"/>
          <w:b w:val="0"/>
          <w:bCs/>
        </w:rPr>
        <w:t xml:space="preserve"> (Adapted f</w:t>
      </w:r>
      <w:r w:rsidR="008E3E55">
        <w:rPr>
          <w:rFonts w:ascii="Palatino" w:hAnsi="Palatino"/>
          <w:b w:val="0"/>
          <w:bCs/>
        </w:rPr>
        <w:t>rom Vinnem And Røed, 2020)</w:t>
      </w:r>
    </w:p>
    <w:tbl>
      <w:tblPr>
        <w:tblStyle w:val="Tabellrutenet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7"/>
        <w:gridCol w:w="1337"/>
        <w:gridCol w:w="1516"/>
        <w:gridCol w:w="1552"/>
      </w:tblGrid>
      <w:tr w:rsidR="00CE4ED7" w:rsidRPr="002C2D42" w14:paraId="77F22250" w14:textId="77777777" w:rsidTr="00CD3B0E">
        <w:trPr>
          <w:tblHeader/>
        </w:trPr>
        <w:tc>
          <w:tcPr>
            <w:tcW w:w="2227" w:type="dxa"/>
            <w:tcBorders>
              <w:top w:val="single" w:sz="4" w:space="0" w:color="auto"/>
              <w:bottom w:val="single" w:sz="4" w:space="0" w:color="auto"/>
            </w:tcBorders>
          </w:tcPr>
          <w:p w14:paraId="1CEB2C51"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Safety system/ element</w:t>
            </w:r>
          </w:p>
        </w:tc>
        <w:tc>
          <w:tcPr>
            <w:tcW w:w="1337" w:type="dxa"/>
            <w:tcBorders>
              <w:top w:val="single" w:sz="4" w:space="0" w:color="auto"/>
              <w:bottom w:val="single" w:sz="4" w:space="0" w:color="auto"/>
            </w:tcBorders>
          </w:tcPr>
          <w:p w14:paraId="050FD2FB"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Case max</w:t>
            </w:r>
          </w:p>
        </w:tc>
        <w:tc>
          <w:tcPr>
            <w:tcW w:w="1516" w:type="dxa"/>
            <w:tcBorders>
              <w:top w:val="single" w:sz="4" w:space="0" w:color="auto"/>
              <w:bottom w:val="single" w:sz="4" w:space="0" w:color="auto"/>
            </w:tcBorders>
          </w:tcPr>
          <w:p w14:paraId="4B1D9976"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Case min</w:t>
            </w:r>
          </w:p>
        </w:tc>
        <w:tc>
          <w:tcPr>
            <w:tcW w:w="1552" w:type="dxa"/>
            <w:tcBorders>
              <w:top w:val="single" w:sz="4" w:space="0" w:color="auto"/>
              <w:bottom w:val="single" w:sz="4" w:space="0" w:color="auto"/>
            </w:tcBorders>
          </w:tcPr>
          <w:p w14:paraId="49951923"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Case limited</w:t>
            </w:r>
          </w:p>
        </w:tc>
      </w:tr>
      <w:tr w:rsidR="00CE4ED7" w:rsidRPr="002C2D42" w14:paraId="5AA2F53D" w14:textId="77777777" w:rsidTr="00CD3B0E">
        <w:tc>
          <w:tcPr>
            <w:tcW w:w="2227" w:type="dxa"/>
            <w:tcBorders>
              <w:top w:val="single" w:sz="4" w:space="0" w:color="auto"/>
              <w:bottom w:val="single" w:sz="4" w:space="0" w:color="auto"/>
            </w:tcBorders>
            <w:shd w:val="clear" w:color="auto" w:fill="auto"/>
          </w:tcPr>
          <w:p w14:paraId="1F1B45A9"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Well control (MV, WV, DHSV)</w:t>
            </w:r>
          </w:p>
        </w:tc>
        <w:tc>
          <w:tcPr>
            <w:tcW w:w="1337" w:type="dxa"/>
            <w:tcBorders>
              <w:top w:val="single" w:sz="4" w:space="0" w:color="auto"/>
              <w:bottom w:val="single" w:sz="4" w:space="0" w:color="auto"/>
            </w:tcBorders>
            <w:shd w:val="clear" w:color="auto" w:fill="auto"/>
          </w:tcPr>
          <w:p w14:paraId="744C1BC4"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tcBorders>
              <w:top w:val="single" w:sz="4" w:space="0" w:color="auto"/>
              <w:bottom w:val="single" w:sz="4" w:space="0" w:color="auto"/>
            </w:tcBorders>
            <w:shd w:val="clear" w:color="auto" w:fill="auto"/>
          </w:tcPr>
          <w:p w14:paraId="26D210F6"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c>
          <w:tcPr>
            <w:tcW w:w="1552" w:type="dxa"/>
            <w:tcBorders>
              <w:top w:val="single" w:sz="4" w:space="0" w:color="auto"/>
              <w:bottom w:val="single" w:sz="4" w:space="0" w:color="auto"/>
            </w:tcBorders>
          </w:tcPr>
          <w:p w14:paraId="63E1706D"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r>
      <w:tr w:rsidR="00CE4ED7" w:rsidRPr="002C2D42" w14:paraId="7C9BFD56" w14:textId="77777777" w:rsidTr="00CD3B0E">
        <w:tc>
          <w:tcPr>
            <w:tcW w:w="2227" w:type="dxa"/>
            <w:tcBorders>
              <w:top w:val="single" w:sz="4" w:space="0" w:color="auto"/>
              <w:bottom w:val="nil"/>
            </w:tcBorders>
            <w:shd w:val="clear" w:color="auto" w:fill="auto"/>
          </w:tcPr>
          <w:p w14:paraId="38A717BA" w14:textId="77777777" w:rsidR="00CE4ED7" w:rsidRPr="00A75975" w:rsidRDefault="00CE4ED7" w:rsidP="00CD3B0E">
            <w:pPr>
              <w:pStyle w:val="avsnitt"/>
              <w:ind w:firstLine="0"/>
              <w:jc w:val="left"/>
              <w:rPr>
                <w:rFonts w:ascii="Times New Roman" w:hAnsi="Times New Roman"/>
                <w:b/>
                <w:bCs/>
                <w:sz w:val="16"/>
                <w:szCs w:val="16"/>
              </w:rPr>
            </w:pPr>
            <w:r w:rsidRPr="00A75975">
              <w:rPr>
                <w:rFonts w:ascii="Times New Roman" w:hAnsi="Times New Roman"/>
                <w:b/>
                <w:bCs/>
                <w:sz w:val="16"/>
                <w:szCs w:val="16"/>
              </w:rPr>
              <w:t xml:space="preserve">Prevent LoC </w:t>
            </w:r>
          </w:p>
        </w:tc>
        <w:tc>
          <w:tcPr>
            <w:tcW w:w="1337" w:type="dxa"/>
            <w:tcBorders>
              <w:top w:val="single" w:sz="4" w:space="0" w:color="auto"/>
              <w:bottom w:val="nil"/>
            </w:tcBorders>
            <w:shd w:val="clear" w:color="auto" w:fill="auto"/>
          </w:tcPr>
          <w:p w14:paraId="7D4609FE" w14:textId="77777777" w:rsidR="00CE4ED7" w:rsidRPr="00507FE2" w:rsidRDefault="00CE4ED7" w:rsidP="00CD3B0E">
            <w:pPr>
              <w:pStyle w:val="avsnitt"/>
              <w:ind w:firstLine="0"/>
              <w:rPr>
                <w:rFonts w:ascii="Times New Roman" w:hAnsi="Times New Roman"/>
                <w:sz w:val="16"/>
                <w:szCs w:val="16"/>
              </w:rPr>
            </w:pPr>
          </w:p>
        </w:tc>
        <w:tc>
          <w:tcPr>
            <w:tcW w:w="1516" w:type="dxa"/>
            <w:tcBorders>
              <w:top w:val="single" w:sz="4" w:space="0" w:color="auto"/>
              <w:bottom w:val="nil"/>
            </w:tcBorders>
            <w:shd w:val="clear" w:color="auto" w:fill="auto"/>
          </w:tcPr>
          <w:p w14:paraId="02FA43CC" w14:textId="77777777" w:rsidR="00CE4ED7" w:rsidRPr="00507FE2" w:rsidRDefault="00CE4ED7" w:rsidP="00CD3B0E">
            <w:pPr>
              <w:pStyle w:val="avsnitt"/>
              <w:ind w:firstLine="0"/>
              <w:jc w:val="left"/>
              <w:rPr>
                <w:rFonts w:ascii="Times New Roman" w:hAnsi="Times New Roman"/>
                <w:sz w:val="16"/>
                <w:szCs w:val="16"/>
              </w:rPr>
            </w:pPr>
          </w:p>
        </w:tc>
        <w:tc>
          <w:tcPr>
            <w:tcW w:w="1552" w:type="dxa"/>
            <w:tcBorders>
              <w:top w:val="single" w:sz="4" w:space="0" w:color="auto"/>
              <w:bottom w:val="nil"/>
            </w:tcBorders>
          </w:tcPr>
          <w:p w14:paraId="56079996" w14:textId="77777777" w:rsidR="00CE4ED7" w:rsidRPr="00507FE2" w:rsidRDefault="00CE4ED7" w:rsidP="00CD3B0E">
            <w:pPr>
              <w:pStyle w:val="avsnitt"/>
              <w:ind w:firstLine="0"/>
              <w:jc w:val="left"/>
              <w:rPr>
                <w:rFonts w:ascii="Times New Roman" w:hAnsi="Times New Roman"/>
                <w:sz w:val="16"/>
                <w:szCs w:val="16"/>
              </w:rPr>
            </w:pPr>
          </w:p>
        </w:tc>
      </w:tr>
      <w:tr w:rsidR="00CE4ED7" w:rsidRPr="002C2D42" w14:paraId="5B5D72FF" w14:textId="77777777" w:rsidTr="00CD3B0E">
        <w:tc>
          <w:tcPr>
            <w:tcW w:w="2227" w:type="dxa"/>
            <w:tcBorders>
              <w:top w:val="nil"/>
              <w:bottom w:val="nil"/>
            </w:tcBorders>
            <w:shd w:val="clear" w:color="auto" w:fill="auto"/>
          </w:tcPr>
          <w:p w14:paraId="0752C807" w14:textId="77777777" w:rsidR="00CE4ED7" w:rsidRPr="00507FE2" w:rsidRDefault="00CE4ED7" w:rsidP="00CD3B0E">
            <w:pPr>
              <w:pStyle w:val="avsnitt"/>
              <w:ind w:firstLine="0"/>
              <w:jc w:val="left"/>
              <w:rPr>
                <w:rFonts w:ascii="Times New Roman" w:hAnsi="Times New Roman"/>
                <w:sz w:val="16"/>
                <w:szCs w:val="16"/>
                <w:lang w:val="nb-NO"/>
              </w:rPr>
            </w:pPr>
            <w:r w:rsidRPr="00507FE2">
              <w:rPr>
                <w:rFonts w:ascii="Times New Roman" w:hAnsi="Times New Roman"/>
                <w:sz w:val="16"/>
                <w:szCs w:val="16"/>
                <w:lang w:val="nb-NO"/>
              </w:rPr>
              <w:t xml:space="preserve">RP14C (PSH, PSL, PSV, etc) </w:t>
            </w:r>
          </w:p>
        </w:tc>
        <w:tc>
          <w:tcPr>
            <w:tcW w:w="1337" w:type="dxa"/>
            <w:tcBorders>
              <w:top w:val="nil"/>
              <w:bottom w:val="nil"/>
            </w:tcBorders>
            <w:shd w:val="clear" w:color="auto" w:fill="auto"/>
          </w:tcPr>
          <w:p w14:paraId="0DD06AB8"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tcBorders>
              <w:top w:val="nil"/>
              <w:bottom w:val="nil"/>
            </w:tcBorders>
            <w:shd w:val="clear" w:color="auto" w:fill="auto"/>
          </w:tcPr>
          <w:p w14:paraId="0F9AD4D6"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c>
          <w:tcPr>
            <w:tcW w:w="1552" w:type="dxa"/>
            <w:tcBorders>
              <w:top w:val="nil"/>
              <w:bottom w:val="nil"/>
            </w:tcBorders>
          </w:tcPr>
          <w:p w14:paraId="41E3CDDD"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r>
      <w:tr w:rsidR="00CE4ED7" w:rsidRPr="002C2D42" w14:paraId="27ADB84B" w14:textId="77777777" w:rsidTr="00CD3B0E">
        <w:tc>
          <w:tcPr>
            <w:tcW w:w="2227" w:type="dxa"/>
            <w:tcBorders>
              <w:top w:val="nil"/>
            </w:tcBorders>
            <w:shd w:val="clear" w:color="auto" w:fill="auto"/>
          </w:tcPr>
          <w:p w14:paraId="2B118711"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Blowdown and flare systems</w:t>
            </w:r>
          </w:p>
        </w:tc>
        <w:tc>
          <w:tcPr>
            <w:tcW w:w="1337" w:type="dxa"/>
            <w:tcBorders>
              <w:top w:val="nil"/>
            </w:tcBorders>
            <w:shd w:val="clear" w:color="auto" w:fill="auto"/>
          </w:tcPr>
          <w:p w14:paraId="5A775644"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tcBorders>
              <w:top w:val="nil"/>
            </w:tcBorders>
            <w:shd w:val="clear" w:color="auto" w:fill="auto"/>
          </w:tcPr>
          <w:p w14:paraId="2F35464C"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Flare</w:t>
            </w:r>
          </w:p>
        </w:tc>
        <w:tc>
          <w:tcPr>
            <w:tcW w:w="1552" w:type="dxa"/>
            <w:tcBorders>
              <w:top w:val="nil"/>
            </w:tcBorders>
          </w:tcPr>
          <w:p w14:paraId="29D6920D"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Flare</w:t>
            </w:r>
          </w:p>
        </w:tc>
      </w:tr>
      <w:tr w:rsidR="00CE4ED7" w:rsidRPr="002C2D42" w14:paraId="675BC21D" w14:textId="77777777" w:rsidTr="00CD3B0E">
        <w:tc>
          <w:tcPr>
            <w:tcW w:w="2227" w:type="dxa"/>
            <w:tcBorders>
              <w:top w:val="nil"/>
            </w:tcBorders>
            <w:shd w:val="clear" w:color="auto" w:fill="auto"/>
          </w:tcPr>
          <w:p w14:paraId="4E83D83B"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Drain system</w:t>
            </w:r>
          </w:p>
        </w:tc>
        <w:tc>
          <w:tcPr>
            <w:tcW w:w="1337" w:type="dxa"/>
            <w:tcBorders>
              <w:top w:val="nil"/>
            </w:tcBorders>
            <w:shd w:val="clear" w:color="auto" w:fill="auto"/>
          </w:tcPr>
          <w:p w14:paraId="330B381C"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tcBorders>
              <w:top w:val="nil"/>
            </w:tcBorders>
            <w:shd w:val="clear" w:color="auto" w:fill="auto"/>
          </w:tcPr>
          <w:p w14:paraId="50745A7F"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c>
          <w:tcPr>
            <w:tcW w:w="1552" w:type="dxa"/>
            <w:tcBorders>
              <w:top w:val="nil"/>
            </w:tcBorders>
          </w:tcPr>
          <w:p w14:paraId="1AC08930"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r>
      <w:tr w:rsidR="00CE4ED7" w:rsidRPr="002C2D42" w14:paraId="1E12856C" w14:textId="77777777" w:rsidTr="00CD3B0E">
        <w:tc>
          <w:tcPr>
            <w:tcW w:w="2227" w:type="dxa"/>
            <w:tcBorders>
              <w:top w:val="nil"/>
            </w:tcBorders>
            <w:shd w:val="clear" w:color="auto" w:fill="auto"/>
          </w:tcPr>
          <w:p w14:paraId="4632BDE8"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Process ESD valves</w:t>
            </w:r>
          </w:p>
        </w:tc>
        <w:tc>
          <w:tcPr>
            <w:tcW w:w="1337" w:type="dxa"/>
            <w:tcBorders>
              <w:top w:val="nil"/>
            </w:tcBorders>
            <w:shd w:val="clear" w:color="auto" w:fill="auto"/>
          </w:tcPr>
          <w:p w14:paraId="23AC5249"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tcBorders>
              <w:top w:val="nil"/>
            </w:tcBorders>
            <w:shd w:val="clear" w:color="auto" w:fill="auto"/>
          </w:tcPr>
          <w:p w14:paraId="24DD8EAA" w14:textId="77777777" w:rsidR="00CE4ED7" w:rsidRPr="00507FE2" w:rsidRDefault="00CE4ED7" w:rsidP="00CD3B0E">
            <w:pPr>
              <w:pStyle w:val="avsnitt"/>
              <w:ind w:firstLine="0"/>
              <w:jc w:val="left"/>
              <w:rPr>
                <w:rFonts w:ascii="Times New Roman" w:hAnsi="Times New Roman"/>
                <w:sz w:val="16"/>
                <w:szCs w:val="16"/>
              </w:rPr>
            </w:pPr>
          </w:p>
        </w:tc>
        <w:tc>
          <w:tcPr>
            <w:tcW w:w="1552" w:type="dxa"/>
            <w:tcBorders>
              <w:top w:val="nil"/>
            </w:tcBorders>
          </w:tcPr>
          <w:p w14:paraId="62B6E8EC" w14:textId="77777777" w:rsidR="00CE4ED7" w:rsidRPr="00507FE2" w:rsidRDefault="00CE4ED7" w:rsidP="00CD3B0E">
            <w:pPr>
              <w:pStyle w:val="avsnitt"/>
              <w:ind w:firstLine="0"/>
              <w:jc w:val="left"/>
              <w:rPr>
                <w:rFonts w:ascii="Times New Roman" w:hAnsi="Times New Roman"/>
                <w:sz w:val="16"/>
                <w:szCs w:val="16"/>
              </w:rPr>
            </w:pPr>
          </w:p>
        </w:tc>
      </w:tr>
      <w:tr w:rsidR="00CE4ED7" w:rsidRPr="002C2D42" w14:paraId="623E66DF" w14:textId="77777777" w:rsidTr="00CD3B0E">
        <w:tc>
          <w:tcPr>
            <w:tcW w:w="2227" w:type="dxa"/>
            <w:shd w:val="clear" w:color="auto" w:fill="auto"/>
          </w:tcPr>
          <w:p w14:paraId="479531FD"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Gas detection</w:t>
            </w:r>
          </w:p>
        </w:tc>
        <w:tc>
          <w:tcPr>
            <w:tcW w:w="1337" w:type="dxa"/>
            <w:shd w:val="clear" w:color="auto" w:fill="auto"/>
          </w:tcPr>
          <w:p w14:paraId="41AB81C4"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shd w:val="clear" w:color="auto" w:fill="auto"/>
          </w:tcPr>
          <w:p w14:paraId="6B9E0149" w14:textId="77777777" w:rsidR="00CE4ED7" w:rsidRPr="00507FE2" w:rsidRDefault="00CE4ED7" w:rsidP="00CD3B0E">
            <w:pPr>
              <w:pStyle w:val="avsnitt"/>
              <w:ind w:firstLine="0"/>
              <w:jc w:val="left"/>
              <w:rPr>
                <w:rFonts w:ascii="Times New Roman" w:hAnsi="Times New Roman"/>
                <w:sz w:val="16"/>
                <w:szCs w:val="16"/>
              </w:rPr>
            </w:pPr>
          </w:p>
        </w:tc>
        <w:tc>
          <w:tcPr>
            <w:tcW w:w="1552" w:type="dxa"/>
          </w:tcPr>
          <w:p w14:paraId="27A4397E"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r>
      <w:tr w:rsidR="00CE4ED7" w:rsidRPr="002C2D42" w14:paraId="4FA58884" w14:textId="77777777" w:rsidTr="00CD3B0E">
        <w:tc>
          <w:tcPr>
            <w:tcW w:w="2227" w:type="dxa"/>
            <w:tcBorders>
              <w:bottom w:val="single" w:sz="4" w:space="0" w:color="auto"/>
            </w:tcBorders>
            <w:shd w:val="clear" w:color="auto" w:fill="auto"/>
          </w:tcPr>
          <w:p w14:paraId="0EFD5986"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Gas riser ESV</w:t>
            </w:r>
          </w:p>
        </w:tc>
        <w:tc>
          <w:tcPr>
            <w:tcW w:w="1337" w:type="dxa"/>
            <w:tcBorders>
              <w:bottom w:val="single" w:sz="4" w:space="0" w:color="auto"/>
            </w:tcBorders>
            <w:shd w:val="clear" w:color="auto" w:fill="auto"/>
          </w:tcPr>
          <w:p w14:paraId="28601B5C"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tcBorders>
              <w:bottom w:val="single" w:sz="4" w:space="0" w:color="auto"/>
            </w:tcBorders>
            <w:shd w:val="clear" w:color="auto" w:fill="auto"/>
          </w:tcPr>
          <w:p w14:paraId="0A065C4F"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c>
          <w:tcPr>
            <w:tcW w:w="1552" w:type="dxa"/>
            <w:tcBorders>
              <w:bottom w:val="single" w:sz="4" w:space="0" w:color="auto"/>
            </w:tcBorders>
          </w:tcPr>
          <w:p w14:paraId="31100BE8"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r>
      <w:tr w:rsidR="00CE4ED7" w:rsidRPr="002C2D42" w14:paraId="1D494F6F" w14:textId="77777777" w:rsidTr="00CD3B0E">
        <w:tc>
          <w:tcPr>
            <w:tcW w:w="2227" w:type="dxa"/>
            <w:tcBorders>
              <w:top w:val="single" w:sz="4" w:space="0" w:color="auto"/>
              <w:bottom w:val="nil"/>
            </w:tcBorders>
            <w:shd w:val="clear" w:color="auto" w:fill="auto"/>
          </w:tcPr>
          <w:p w14:paraId="1C730380" w14:textId="77777777" w:rsidR="00CE4ED7" w:rsidRPr="00A75975" w:rsidRDefault="00CE4ED7" w:rsidP="00CD3B0E">
            <w:pPr>
              <w:pStyle w:val="avsnitt"/>
              <w:ind w:firstLine="0"/>
              <w:jc w:val="left"/>
              <w:rPr>
                <w:rFonts w:ascii="Times New Roman" w:hAnsi="Times New Roman"/>
                <w:b/>
                <w:bCs/>
                <w:sz w:val="16"/>
                <w:szCs w:val="16"/>
              </w:rPr>
            </w:pPr>
            <w:r w:rsidRPr="00A75975">
              <w:rPr>
                <w:rFonts w:ascii="Times New Roman" w:hAnsi="Times New Roman"/>
                <w:b/>
                <w:bCs/>
                <w:sz w:val="16"/>
                <w:szCs w:val="16"/>
              </w:rPr>
              <w:t>Prevent ignition</w:t>
            </w:r>
          </w:p>
        </w:tc>
        <w:tc>
          <w:tcPr>
            <w:tcW w:w="1337" w:type="dxa"/>
            <w:tcBorders>
              <w:top w:val="single" w:sz="4" w:space="0" w:color="auto"/>
              <w:bottom w:val="nil"/>
            </w:tcBorders>
            <w:shd w:val="clear" w:color="auto" w:fill="auto"/>
          </w:tcPr>
          <w:p w14:paraId="035A0D49" w14:textId="77777777" w:rsidR="00CE4ED7" w:rsidRPr="00507FE2" w:rsidRDefault="00CE4ED7" w:rsidP="00CD3B0E">
            <w:pPr>
              <w:pStyle w:val="avsnitt"/>
              <w:ind w:firstLine="0"/>
              <w:rPr>
                <w:rFonts w:ascii="Times New Roman" w:hAnsi="Times New Roman"/>
                <w:sz w:val="16"/>
                <w:szCs w:val="16"/>
              </w:rPr>
            </w:pPr>
          </w:p>
        </w:tc>
        <w:tc>
          <w:tcPr>
            <w:tcW w:w="1516" w:type="dxa"/>
            <w:tcBorders>
              <w:top w:val="single" w:sz="4" w:space="0" w:color="auto"/>
              <w:bottom w:val="nil"/>
            </w:tcBorders>
            <w:shd w:val="clear" w:color="auto" w:fill="auto"/>
          </w:tcPr>
          <w:p w14:paraId="30BC5D72" w14:textId="77777777" w:rsidR="00CE4ED7" w:rsidRPr="00507FE2" w:rsidRDefault="00CE4ED7" w:rsidP="00CD3B0E">
            <w:pPr>
              <w:pStyle w:val="avsnitt"/>
              <w:ind w:firstLine="0"/>
              <w:jc w:val="left"/>
              <w:rPr>
                <w:rFonts w:ascii="Times New Roman" w:hAnsi="Times New Roman"/>
                <w:sz w:val="16"/>
                <w:szCs w:val="16"/>
              </w:rPr>
            </w:pPr>
          </w:p>
        </w:tc>
        <w:tc>
          <w:tcPr>
            <w:tcW w:w="1552" w:type="dxa"/>
            <w:tcBorders>
              <w:top w:val="single" w:sz="4" w:space="0" w:color="auto"/>
              <w:bottom w:val="nil"/>
            </w:tcBorders>
          </w:tcPr>
          <w:p w14:paraId="4559B388" w14:textId="77777777" w:rsidR="00CE4ED7" w:rsidRPr="00507FE2" w:rsidRDefault="00CE4ED7" w:rsidP="00CD3B0E">
            <w:pPr>
              <w:pStyle w:val="avsnitt"/>
              <w:ind w:firstLine="0"/>
              <w:jc w:val="left"/>
              <w:rPr>
                <w:rFonts w:ascii="Times New Roman" w:hAnsi="Times New Roman"/>
                <w:sz w:val="16"/>
                <w:szCs w:val="16"/>
              </w:rPr>
            </w:pPr>
          </w:p>
        </w:tc>
      </w:tr>
      <w:tr w:rsidR="00CE4ED7" w:rsidRPr="002C2D42" w14:paraId="12F48CF1" w14:textId="77777777" w:rsidTr="00CD3B0E">
        <w:tc>
          <w:tcPr>
            <w:tcW w:w="2227" w:type="dxa"/>
            <w:tcBorders>
              <w:top w:val="nil"/>
              <w:bottom w:val="nil"/>
            </w:tcBorders>
            <w:shd w:val="clear" w:color="auto" w:fill="auto"/>
          </w:tcPr>
          <w:p w14:paraId="207925CD"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Ex-protected equipment</w:t>
            </w:r>
          </w:p>
        </w:tc>
        <w:tc>
          <w:tcPr>
            <w:tcW w:w="1337" w:type="dxa"/>
            <w:tcBorders>
              <w:top w:val="nil"/>
              <w:bottom w:val="nil"/>
            </w:tcBorders>
            <w:shd w:val="clear" w:color="auto" w:fill="auto"/>
          </w:tcPr>
          <w:p w14:paraId="62ABE018"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tcBorders>
              <w:top w:val="nil"/>
              <w:bottom w:val="nil"/>
            </w:tcBorders>
            <w:shd w:val="clear" w:color="auto" w:fill="auto"/>
          </w:tcPr>
          <w:p w14:paraId="76C0E284"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c>
          <w:tcPr>
            <w:tcW w:w="1552" w:type="dxa"/>
            <w:tcBorders>
              <w:top w:val="nil"/>
              <w:bottom w:val="nil"/>
            </w:tcBorders>
          </w:tcPr>
          <w:p w14:paraId="60BECE13"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r>
      <w:tr w:rsidR="00CE4ED7" w:rsidRPr="002C2D42" w14:paraId="03ACB7AB" w14:textId="77777777" w:rsidTr="00CD3B0E">
        <w:tc>
          <w:tcPr>
            <w:tcW w:w="2227" w:type="dxa"/>
            <w:tcBorders>
              <w:top w:val="nil"/>
              <w:bottom w:val="nil"/>
            </w:tcBorders>
            <w:shd w:val="clear" w:color="auto" w:fill="auto"/>
          </w:tcPr>
          <w:p w14:paraId="4ACFAB74"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Hot work activities</w:t>
            </w:r>
          </w:p>
        </w:tc>
        <w:tc>
          <w:tcPr>
            <w:tcW w:w="1337" w:type="dxa"/>
            <w:tcBorders>
              <w:top w:val="nil"/>
              <w:bottom w:val="nil"/>
            </w:tcBorders>
            <w:shd w:val="clear" w:color="auto" w:fill="auto"/>
          </w:tcPr>
          <w:p w14:paraId="1BF159EF"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tcBorders>
              <w:top w:val="nil"/>
              <w:bottom w:val="nil"/>
            </w:tcBorders>
            <w:shd w:val="clear" w:color="auto" w:fill="auto"/>
          </w:tcPr>
          <w:p w14:paraId="1513E2AB" w14:textId="77777777" w:rsidR="00CE4ED7" w:rsidRPr="00507FE2" w:rsidRDefault="00CE4ED7" w:rsidP="00CD3B0E">
            <w:pPr>
              <w:pStyle w:val="avsnitt"/>
              <w:ind w:firstLine="0"/>
              <w:jc w:val="left"/>
              <w:rPr>
                <w:rFonts w:ascii="Times New Roman" w:hAnsi="Times New Roman"/>
                <w:sz w:val="16"/>
                <w:szCs w:val="16"/>
              </w:rPr>
            </w:pPr>
          </w:p>
        </w:tc>
        <w:tc>
          <w:tcPr>
            <w:tcW w:w="1552" w:type="dxa"/>
            <w:tcBorders>
              <w:top w:val="nil"/>
              <w:bottom w:val="nil"/>
            </w:tcBorders>
          </w:tcPr>
          <w:p w14:paraId="36EB807B" w14:textId="77777777" w:rsidR="00CE4ED7" w:rsidRPr="00507FE2" w:rsidRDefault="00CE4ED7" w:rsidP="00CD3B0E">
            <w:pPr>
              <w:pStyle w:val="avsnitt"/>
              <w:ind w:firstLine="0"/>
              <w:jc w:val="left"/>
              <w:rPr>
                <w:rFonts w:ascii="Times New Roman" w:hAnsi="Times New Roman"/>
                <w:sz w:val="16"/>
                <w:szCs w:val="16"/>
              </w:rPr>
            </w:pPr>
          </w:p>
        </w:tc>
      </w:tr>
      <w:tr w:rsidR="00CE4ED7" w:rsidRPr="002C2D42" w14:paraId="56C7331C" w14:textId="77777777" w:rsidTr="00CD3B0E">
        <w:tc>
          <w:tcPr>
            <w:tcW w:w="2227" w:type="dxa"/>
            <w:tcBorders>
              <w:top w:val="nil"/>
              <w:bottom w:val="single" w:sz="4" w:space="0" w:color="auto"/>
            </w:tcBorders>
            <w:shd w:val="clear" w:color="auto" w:fill="auto"/>
          </w:tcPr>
          <w:p w14:paraId="140ECB74"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Fire detection</w:t>
            </w:r>
          </w:p>
        </w:tc>
        <w:tc>
          <w:tcPr>
            <w:tcW w:w="1337" w:type="dxa"/>
            <w:tcBorders>
              <w:top w:val="nil"/>
              <w:bottom w:val="single" w:sz="4" w:space="0" w:color="auto"/>
            </w:tcBorders>
            <w:shd w:val="clear" w:color="auto" w:fill="auto"/>
          </w:tcPr>
          <w:p w14:paraId="169FDAB0"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tcBorders>
              <w:top w:val="nil"/>
              <w:bottom w:val="single" w:sz="4" w:space="0" w:color="auto"/>
            </w:tcBorders>
            <w:shd w:val="clear" w:color="auto" w:fill="auto"/>
          </w:tcPr>
          <w:p w14:paraId="0D955899" w14:textId="77777777" w:rsidR="00CE4ED7" w:rsidRPr="00507FE2" w:rsidRDefault="00CE4ED7" w:rsidP="00CD3B0E">
            <w:pPr>
              <w:pStyle w:val="avsnitt"/>
              <w:ind w:firstLine="0"/>
              <w:jc w:val="left"/>
              <w:rPr>
                <w:rFonts w:ascii="Times New Roman" w:hAnsi="Times New Roman"/>
                <w:sz w:val="16"/>
                <w:szCs w:val="16"/>
              </w:rPr>
            </w:pPr>
          </w:p>
        </w:tc>
        <w:tc>
          <w:tcPr>
            <w:tcW w:w="1552" w:type="dxa"/>
            <w:tcBorders>
              <w:top w:val="nil"/>
              <w:bottom w:val="single" w:sz="4" w:space="0" w:color="auto"/>
            </w:tcBorders>
          </w:tcPr>
          <w:p w14:paraId="3574A413"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r>
      <w:tr w:rsidR="00CE4ED7" w:rsidRPr="002C2D42" w14:paraId="4647816A" w14:textId="77777777" w:rsidTr="00CD3B0E">
        <w:tc>
          <w:tcPr>
            <w:tcW w:w="2227" w:type="dxa"/>
            <w:tcBorders>
              <w:top w:val="single" w:sz="4" w:space="0" w:color="auto"/>
              <w:bottom w:val="nil"/>
            </w:tcBorders>
            <w:shd w:val="clear" w:color="auto" w:fill="auto"/>
          </w:tcPr>
          <w:p w14:paraId="33009A94" w14:textId="77777777" w:rsidR="00CE4ED7" w:rsidRPr="00A75975" w:rsidRDefault="00CE4ED7" w:rsidP="00CD3B0E">
            <w:pPr>
              <w:pStyle w:val="avsnitt"/>
              <w:ind w:firstLine="0"/>
              <w:jc w:val="left"/>
              <w:rPr>
                <w:rFonts w:ascii="Times New Roman" w:hAnsi="Times New Roman"/>
                <w:b/>
                <w:bCs/>
                <w:sz w:val="16"/>
                <w:szCs w:val="16"/>
              </w:rPr>
            </w:pPr>
            <w:r w:rsidRPr="00A75975">
              <w:rPr>
                <w:rFonts w:ascii="Times New Roman" w:hAnsi="Times New Roman"/>
                <w:b/>
                <w:bCs/>
                <w:sz w:val="16"/>
                <w:szCs w:val="16"/>
              </w:rPr>
              <w:t>Prevent escalation</w:t>
            </w:r>
          </w:p>
        </w:tc>
        <w:tc>
          <w:tcPr>
            <w:tcW w:w="1337" w:type="dxa"/>
            <w:tcBorders>
              <w:top w:val="single" w:sz="4" w:space="0" w:color="auto"/>
              <w:bottom w:val="nil"/>
            </w:tcBorders>
            <w:shd w:val="clear" w:color="auto" w:fill="auto"/>
          </w:tcPr>
          <w:p w14:paraId="3936FEB3" w14:textId="77777777" w:rsidR="00CE4ED7" w:rsidRPr="00507FE2" w:rsidRDefault="00CE4ED7" w:rsidP="00CD3B0E">
            <w:pPr>
              <w:pStyle w:val="avsnitt"/>
              <w:ind w:firstLine="0"/>
              <w:rPr>
                <w:rFonts w:ascii="Times New Roman" w:hAnsi="Times New Roman"/>
                <w:sz w:val="16"/>
                <w:szCs w:val="16"/>
              </w:rPr>
            </w:pPr>
          </w:p>
        </w:tc>
        <w:tc>
          <w:tcPr>
            <w:tcW w:w="1516" w:type="dxa"/>
            <w:tcBorders>
              <w:top w:val="single" w:sz="4" w:space="0" w:color="auto"/>
              <w:bottom w:val="nil"/>
            </w:tcBorders>
            <w:shd w:val="clear" w:color="auto" w:fill="auto"/>
          </w:tcPr>
          <w:p w14:paraId="0DD5F831" w14:textId="77777777" w:rsidR="00CE4ED7" w:rsidRPr="00507FE2" w:rsidRDefault="00CE4ED7" w:rsidP="00CD3B0E">
            <w:pPr>
              <w:pStyle w:val="avsnitt"/>
              <w:ind w:firstLine="0"/>
              <w:jc w:val="left"/>
              <w:rPr>
                <w:rFonts w:ascii="Times New Roman" w:hAnsi="Times New Roman"/>
                <w:sz w:val="16"/>
                <w:szCs w:val="16"/>
              </w:rPr>
            </w:pPr>
          </w:p>
        </w:tc>
        <w:tc>
          <w:tcPr>
            <w:tcW w:w="1552" w:type="dxa"/>
            <w:tcBorders>
              <w:top w:val="single" w:sz="4" w:space="0" w:color="auto"/>
              <w:bottom w:val="nil"/>
            </w:tcBorders>
          </w:tcPr>
          <w:p w14:paraId="649F1723" w14:textId="77777777" w:rsidR="00CE4ED7" w:rsidRPr="00507FE2" w:rsidRDefault="00CE4ED7" w:rsidP="00CD3B0E">
            <w:pPr>
              <w:pStyle w:val="avsnitt"/>
              <w:ind w:firstLine="0"/>
              <w:jc w:val="left"/>
              <w:rPr>
                <w:rFonts w:ascii="Times New Roman" w:hAnsi="Times New Roman"/>
                <w:sz w:val="16"/>
                <w:szCs w:val="16"/>
              </w:rPr>
            </w:pPr>
          </w:p>
        </w:tc>
      </w:tr>
      <w:tr w:rsidR="00CE4ED7" w:rsidRPr="002C2D42" w14:paraId="50CB7107" w14:textId="77777777" w:rsidTr="00CD3B0E">
        <w:tc>
          <w:tcPr>
            <w:tcW w:w="2227" w:type="dxa"/>
            <w:tcBorders>
              <w:top w:val="nil"/>
              <w:bottom w:val="nil"/>
            </w:tcBorders>
            <w:shd w:val="clear" w:color="auto" w:fill="auto"/>
          </w:tcPr>
          <w:p w14:paraId="403CA855"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Fire water systems</w:t>
            </w:r>
          </w:p>
        </w:tc>
        <w:tc>
          <w:tcPr>
            <w:tcW w:w="1337" w:type="dxa"/>
            <w:tcBorders>
              <w:top w:val="nil"/>
              <w:bottom w:val="nil"/>
            </w:tcBorders>
            <w:shd w:val="clear" w:color="auto" w:fill="auto"/>
          </w:tcPr>
          <w:p w14:paraId="7212A323"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tcBorders>
              <w:top w:val="nil"/>
              <w:bottom w:val="nil"/>
            </w:tcBorders>
            <w:shd w:val="clear" w:color="auto" w:fill="auto"/>
          </w:tcPr>
          <w:p w14:paraId="500962E2" w14:textId="77777777" w:rsidR="00CE4ED7" w:rsidRPr="00507FE2" w:rsidRDefault="00CE4ED7" w:rsidP="00CD3B0E">
            <w:pPr>
              <w:pStyle w:val="avsnitt"/>
              <w:ind w:firstLine="0"/>
              <w:jc w:val="left"/>
              <w:rPr>
                <w:rFonts w:ascii="Times New Roman" w:hAnsi="Times New Roman"/>
                <w:sz w:val="16"/>
                <w:szCs w:val="16"/>
              </w:rPr>
            </w:pPr>
          </w:p>
        </w:tc>
        <w:tc>
          <w:tcPr>
            <w:tcW w:w="1552" w:type="dxa"/>
            <w:tcBorders>
              <w:top w:val="nil"/>
              <w:bottom w:val="nil"/>
            </w:tcBorders>
          </w:tcPr>
          <w:p w14:paraId="13236AF8"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r>
      <w:tr w:rsidR="00CE4ED7" w:rsidRPr="002C2D42" w14:paraId="70246C3D" w14:textId="77777777" w:rsidTr="00CD3B0E">
        <w:tc>
          <w:tcPr>
            <w:tcW w:w="2227" w:type="dxa"/>
            <w:tcBorders>
              <w:top w:val="nil"/>
              <w:bottom w:val="nil"/>
            </w:tcBorders>
            <w:shd w:val="clear" w:color="auto" w:fill="auto"/>
          </w:tcPr>
          <w:p w14:paraId="27BBF794"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Fire water supply</w:t>
            </w:r>
          </w:p>
        </w:tc>
        <w:tc>
          <w:tcPr>
            <w:tcW w:w="1337" w:type="dxa"/>
            <w:tcBorders>
              <w:top w:val="nil"/>
              <w:bottom w:val="nil"/>
            </w:tcBorders>
            <w:shd w:val="clear" w:color="auto" w:fill="auto"/>
          </w:tcPr>
          <w:p w14:paraId="7115C107"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tcBorders>
              <w:top w:val="nil"/>
              <w:bottom w:val="nil"/>
            </w:tcBorders>
            <w:shd w:val="clear" w:color="auto" w:fill="auto"/>
          </w:tcPr>
          <w:p w14:paraId="6A9B28B2"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c>
          <w:tcPr>
            <w:tcW w:w="1552" w:type="dxa"/>
            <w:tcBorders>
              <w:top w:val="nil"/>
              <w:bottom w:val="nil"/>
            </w:tcBorders>
          </w:tcPr>
          <w:p w14:paraId="5D7517F1"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r>
      <w:tr w:rsidR="00CE4ED7" w:rsidRPr="002C2D42" w14:paraId="54922695" w14:textId="77777777" w:rsidTr="00CD3B0E">
        <w:tc>
          <w:tcPr>
            <w:tcW w:w="2227" w:type="dxa"/>
            <w:tcBorders>
              <w:top w:val="nil"/>
              <w:bottom w:val="nil"/>
            </w:tcBorders>
            <w:shd w:val="clear" w:color="auto" w:fill="auto"/>
          </w:tcPr>
          <w:p w14:paraId="40594B62"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Deluge system</w:t>
            </w:r>
          </w:p>
        </w:tc>
        <w:tc>
          <w:tcPr>
            <w:tcW w:w="1337" w:type="dxa"/>
            <w:tcBorders>
              <w:top w:val="nil"/>
              <w:bottom w:val="nil"/>
            </w:tcBorders>
            <w:shd w:val="clear" w:color="auto" w:fill="auto"/>
          </w:tcPr>
          <w:p w14:paraId="3CADC5BE"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tcBorders>
              <w:top w:val="nil"/>
              <w:bottom w:val="nil"/>
            </w:tcBorders>
            <w:shd w:val="clear" w:color="auto" w:fill="auto"/>
          </w:tcPr>
          <w:p w14:paraId="7187ED60" w14:textId="77777777" w:rsidR="00CE4ED7" w:rsidRPr="00507FE2" w:rsidRDefault="00CE4ED7" w:rsidP="00CD3B0E">
            <w:pPr>
              <w:pStyle w:val="avsnitt"/>
              <w:ind w:firstLine="0"/>
              <w:jc w:val="left"/>
              <w:rPr>
                <w:rFonts w:ascii="Times New Roman" w:hAnsi="Times New Roman"/>
                <w:sz w:val="16"/>
                <w:szCs w:val="16"/>
              </w:rPr>
            </w:pPr>
          </w:p>
        </w:tc>
        <w:tc>
          <w:tcPr>
            <w:tcW w:w="1552" w:type="dxa"/>
            <w:tcBorders>
              <w:top w:val="nil"/>
              <w:bottom w:val="nil"/>
            </w:tcBorders>
          </w:tcPr>
          <w:p w14:paraId="06AA7689"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r>
      <w:tr w:rsidR="00CE4ED7" w:rsidRPr="002C2D42" w14:paraId="72141DAC" w14:textId="77777777" w:rsidTr="00CD3B0E">
        <w:tc>
          <w:tcPr>
            <w:tcW w:w="2227" w:type="dxa"/>
            <w:tcBorders>
              <w:top w:val="nil"/>
              <w:bottom w:val="nil"/>
            </w:tcBorders>
            <w:shd w:val="clear" w:color="auto" w:fill="auto"/>
          </w:tcPr>
          <w:p w14:paraId="05DF008B"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Foam system</w:t>
            </w:r>
          </w:p>
        </w:tc>
        <w:tc>
          <w:tcPr>
            <w:tcW w:w="1337" w:type="dxa"/>
            <w:tcBorders>
              <w:top w:val="nil"/>
              <w:bottom w:val="nil"/>
            </w:tcBorders>
            <w:shd w:val="clear" w:color="auto" w:fill="auto"/>
          </w:tcPr>
          <w:p w14:paraId="572482E0"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tcBorders>
              <w:top w:val="nil"/>
              <w:bottom w:val="nil"/>
            </w:tcBorders>
            <w:shd w:val="clear" w:color="auto" w:fill="auto"/>
          </w:tcPr>
          <w:p w14:paraId="2EBDB5ED" w14:textId="77777777" w:rsidR="00CE4ED7" w:rsidRPr="00507FE2" w:rsidRDefault="00CE4ED7" w:rsidP="00CD3B0E">
            <w:pPr>
              <w:pStyle w:val="avsnitt"/>
              <w:ind w:firstLine="0"/>
              <w:jc w:val="left"/>
              <w:rPr>
                <w:rFonts w:ascii="Times New Roman" w:hAnsi="Times New Roman"/>
                <w:sz w:val="16"/>
                <w:szCs w:val="16"/>
              </w:rPr>
            </w:pPr>
          </w:p>
        </w:tc>
        <w:tc>
          <w:tcPr>
            <w:tcW w:w="1552" w:type="dxa"/>
            <w:tcBorders>
              <w:top w:val="nil"/>
              <w:bottom w:val="nil"/>
            </w:tcBorders>
          </w:tcPr>
          <w:p w14:paraId="3EF903D0" w14:textId="77777777" w:rsidR="00CE4ED7" w:rsidRPr="00507FE2" w:rsidRDefault="00CE4ED7" w:rsidP="00CD3B0E">
            <w:pPr>
              <w:pStyle w:val="avsnitt"/>
              <w:ind w:firstLine="0"/>
              <w:jc w:val="left"/>
              <w:rPr>
                <w:rFonts w:ascii="Times New Roman" w:hAnsi="Times New Roman"/>
                <w:sz w:val="16"/>
                <w:szCs w:val="16"/>
              </w:rPr>
            </w:pPr>
          </w:p>
        </w:tc>
      </w:tr>
      <w:tr w:rsidR="00CE4ED7" w:rsidRPr="002C2D42" w14:paraId="05EEA5FA" w14:textId="77777777" w:rsidTr="00CD3B0E">
        <w:tc>
          <w:tcPr>
            <w:tcW w:w="2227" w:type="dxa"/>
            <w:tcBorders>
              <w:top w:val="nil"/>
              <w:bottom w:val="nil"/>
            </w:tcBorders>
            <w:shd w:val="clear" w:color="auto" w:fill="auto"/>
          </w:tcPr>
          <w:p w14:paraId="08C34AE5"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Monitors and hoses</w:t>
            </w:r>
          </w:p>
        </w:tc>
        <w:tc>
          <w:tcPr>
            <w:tcW w:w="1337" w:type="dxa"/>
            <w:tcBorders>
              <w:top w:val="nil"/>
              <w:bottom w:val="nil"/>
            </w:tcBorders>
            <w:shd w:val="clear" w:color="auto" w:fill="auto"/>
          </w:tcPr>
          <w:p w14:paraId="471CECF6"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tcBorders>
              <w:top w:val="nil"/>
              <w:bottom w:val="nil"/>
            </w:tcBorders>
            <w:shd w:val="clear" w:color="auto" w:fill="auto"/>
          </w:tcPr>
          <w:p w14:paraId="3BBB74EE"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c>
          <w:tcPr>
            <w:tcW w:w="1552" w:type="dxa"/>
            <w:tcBorders>
              <w:top w:val="nil"/>
              <w:bottom w:val="nil"/>
            </w:tcBorders>
          </w:tcPr>
          <w:p w14:paraId="2181A6F4"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r>
      <w:tr w:rsidR="00CE4ED7" w:rsidRPr="002C2D42" w14:paraId="6EC684FB" w14:textId="77777777" w:rsidTr="00CD3B0E">
        <w:tc>
          <w:tcPr>
            <w:tcW w:w="2227" w:type="dxa"/>
            <w:tcBorders>
              <w:top w:val="nil"/>
              <w:bottom w:val="nil"/>
            </w:tcBorders>
            <w:shd w:val="clear" w:color="auto" w:fill="auto"/>
          </w:tcPr>
          <w:p w14:paraId="2F62184D"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Water curtains</w:t>
            </w:r>
          </w:p>
        </w:tc>
        <w:tc>
          <w:tcPr>
            <w:tcW w:w="1337" w:type="dxa"/>
            <w:tcBorders>
              <w:top w:val="nil"/>
              <w:bottom w:val="nil"/>
            </w:tcBorders>
            <w:shd w:val="clear" w:color="auto" w:fill="auto"/>
          </w:tcPr>
          <w:p w14:paraId="614B0974"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tcBorders>
              <w:top w:val="nil"/>
              <w:bottom w:val="nil"/>
            </w:tcBorders>
            <w:shd w:val="clear" w:color="auto" w:fill="auto"/>
          </w:tcPr>
          <w:p w14:paraId="16B68BEC"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c>
          <w:tcPr>
            <w:tcW w:w="1552" w:type="dxa"/>
            <w:tcBorders>
              <w:top w:val="nil"/>
              <w:bottom w:val="nil"/>
            </w:tcBorders>
          </w:tcPr>
          <w:p w14:paraId="74229BF9"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r>
      <w:tr w:rsidR="00CE4ED7" w:rsidRPr="002C2D42" w14:paraId="1213FD58" w14:textId="77777777" w:rsidTr="00CD3B0E">
        <w:tc>
          <w:tcPr>
            <w:tcW w:w="2227" w:type="dxa"/>
            <w:tcBorders>
              <w:top w:val="nil"/>
              <w:bottom w:val="nil"/>
            </w:tcBorders>
            <w:shd w:val="clear" w:color="auto" w:fill="auto"/>
          </w:tcPr>
          <w:p w14:paraId="50E8962E"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Fire protection in electric rooms</w:t>
            </w:r>
          </w:p>
        </w:tc>
        <w:tc>
          <w:tcPr>
            <w:tcW w:w="1337" w:type="dxa"/>
            <w:tcBorders>
              <w:top w:val="nil"/>
              <w:bottom w:val="nil"/>
            </w:tcBorders>
            <w:shd w:val="clear" w:color="auto" w:fill="auto"/>
          </w:tcPr>
          <w:p w14:paraId="05D64C70"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tcBorders>
              <w:top w:val="nil"/>
              <w:bottom w:val="nil"/>
            </w:tcBorders>
            <w:shd w:val="clear" w:color="auto" w:fill="auto"/>
          </w:tcPr>
          <w:p w14:paraId="093F237B"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c>
          <w:tcPr>
            <w:tcW w:w="1552" w:type="dxa"/>
            <w:tcBorders>
              <w:top w:val="nil"/>
              <w:bottom w:val="nil"/>
            </w:tcBorders>
          </w:tcPr>
          <w:p w14:paraId="5640E167"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r>
      <w:tr w:rsidR="00CE4ED7" w:rsidRPr="002C2D42" w14:paraId="29D1353F" w14:textId="77777777" w:rsidTr="00CD3B0E">
        <w:tc>
          <w:tcPr>
            <w:tcW w:w="2227" w:type="dxa"/>
            <w:tcBorders>
              <w:top w:val="nil"/>
              <w:bottom w:val="nil"/>
            </w:tcBorders>
            <w:shd w:val="clear" w:color="auto" w:fill="auto"/>
          </w:tcPr>
          <w:p w14:paraId="23EAD30A"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Fire and blast walls</w:t>
            </w:r>
          </w:p>
        </w:tc>
        <w:tc>
          <w:tcPr>
            <w:tcW w:w="1337" w:type="dxa"/>
            <w:tcBorders>
              <w:top w:val="nil"/>
              <w:bottom w:val="nil"/>
            </w:tcBorders>
            <w:shd w:val="clear" w:color="auto" w:fill="auto"/>
          </w:tcPr>
          <w:p w14:paraId="02AEF7B6"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tcBorders>
              <w:top w:val="nil"/>
              <w:bottom w:val="nil"/>
            </w:tcBorders>
            <w:shd w:val="clear" w:color="auto" w:fill="auto"/>
          </w:tcPr>
          <w:p w14:paraId="0D61A2C3" w14:textId="77777777" w:rsidR="00CE4ED7" w:rsidRPr="00507FE2" w:rsidRDefault="00CE4ED7" w:rsidP="00CD3B0E">
            <w:pPr>
              <w:pStyle w:val="avsnitt"/>
              <w:ind w:firstLine="0"/>
              <w:jc w:val="left"/>
              <w:rPr>
                <w:rFonts w:ascii="Times New Roman" w:hAnsi="Times New Roman"/>
                <w:sz w:val="16"/>
                <w:szCs w:val="16"/>
              </w:rPr>
            </w:pPr>
          </w:p>
        </w:tc>
        <w:tc>
          <w:tcPr>
            <w:tcW w:w="1552" w:type="dxa"/>
            <w:tcBorders>
              <w:top w:val="nil"/>
              <w:bottom w:val="nil"/>
            </w:tcBorders>
          </w:tcPr>
          <w:p w14:paraId="75ADDBAB" w14:textId="77777777" w:rsidR="00CE4ED7" w:rsidRPr="00507FE2" w:rsidRDefault="00CE4ED7" w:rsidP="00CD3B0E">
            <w:pPr>
              <w:pStyle w:val="avsnitt"/>
              <w:ind w:firstLine="0"/>
              <w:jc w:val="left"/>
              <w:rPr>
                <w:rFonts w:ascii="Times New Roman" w:hAnsi="Times New Roman"/>
                <w:sz w:val="16"/>
                <w:szCs w:val="16"/>
              </w:rPr>
            </w:pPr>
          </w:p>
        </w:tc>
      </w:tr>
      <w:tr w:rsidR="00CE4ED7" w:rsidRPr="002C2D42" w14:paraId="55000D31" w14:textId="77777777" w:rsidTr="00CD3B0E">
        <w:tc>
          <w:tcPr>
            <w:tcW w:w="2227" w:type="dxa"/>
            <w:tcBorders>
              <w:top w:val="nil"/>
              <w:bottom w:val="single" w:sz="4" w:space="0" w:color="auto"/>
            </w:tcBorders>
            <w:shd w:val="clear" w:color="auto" w:fill="auto"/>
          </w:tcPr>
          <w:p w14:paraId="59F46AC2"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Structural fire protection</w:t>
            </w:r>
          </w:p>
        </w:tc>
        <w:tc>
          <w:tcPr>
            <w:tcW w:w="1337" w:type="dxa"/>
            <w:tcBorders>
              <w:top w:val="nil"/>
              <w:bottom w:val="single" w:sz="4" w:space="0" w:color="auto"/>
            </w:tcBorders>
            <w:shd w:val="clear" w:color="auto" w:fill="auto"/>
          </w:tcPr>
          <w:p w14:paraId="10B06926"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tcBorders>
              <w:top w:val="nil"/>
              <w:bottom w:val="single" w:sz="4" w:space="0" w:color="auto"/>
            </w:tcBorders>
            <w:shd w:val="clear" w:color="auto" w:fill="auto"/>
          </w:tcPr>
          <w:p w14:paraId="5ABE9405" w14:textId="77777777" w:rsidR="00CE4ED7" w:rsidRPr="00507FE2" w:rsidRDefault="00CE4ED7" w:rsidP="00CD3B0E">
            <w:pPr>
              <w:pStyle w:val="avsnitt"/>
              <w:ind w:firstLine="0"/>
              <w:jc w:val="left"/>
              <w:rPr>
                <w:rFonts w:ascii="Times New Roman" w:hAnsi="Times New Roman"/>
                <w:sz w:val="16"/>
                <w:szCs w:val="16"/>
              </w:rPr>
            </w:pPr>
          </w:p>
        </w:tc>
        <w:tc>
          <w:tcPr>
            <w:tcW w:w="1552" w:type="dxa"/>
            <w:tcBorders>
              <w:top w:val="nil"/>
              <w:bottom w:val="single" w:sz="4" w:space="0" w:color="auto"/>
            </w:tcBorders>
          </w:tcPr>
          <w:p w14:paraId="5C416D04" w14:textId="77777777" w:rsidR="00CE4ED7" w:rsidRPr="00507FE2" w:rsidRDefault="00CE4ED7" w:rsidP="00CD3B0E">
            <w:pPr>
              <w:pStyle w:val="avsnitt"/>
              <w:ind w:firstLine="0"/>
              <w:jc w:val="left"/>
              <w:rPr>
                <w:rFonts w:ascii="Times New Roman" w:hAnsi="Times New Roman"/>
                <w:sz w:val="16"/>
                <w:szCs w:val="16"/>
              </w:rPr>
            </w:pPr>
          </w:p>
        </w:tc>
      </w:tr>
      <w:tr w:rsidR="00CE4ED7" w:rsidRPr="002C2D42" w14:paraId="5079F735" w14:textId="77777777" w:rsidTr="00CD3B0E">
        <w:tc>
          <w:tcPr>
            <w:tcW w:w="2227" w:type="dxa"/>
            <w:tcBorders>
              <w:top w:val="single" w:sz="4" w:space="0" w:color="auto"/>
              <w:bottom w:val="nil"/>
            </w:tcBorders>
            <w:shd w:val="clear" w:color="auto" w:fill="auto"/>
          </w:tcPr>
          <w:p w14:paraId="7E06E95D" w14:textId="77777777" w:rsidR="00CE4ED7" w:rsidRPr="00A75975" w:rsidRDefault="00CE4ED7" w:rsidP="00CD3B0E">
            <w:pPr>
              <w:pStyle w:val="avsnitt"/>
              <w:ind w:firstLine="0"/>
              <w:jc w:val="left"/>
              <w:rPr>
                <w:rFonts w:ascii="Times New Roman" w:hAnsi="Times New Roman"/>
                <w:b/>
                <w:bCs/>
                <w:sz w:val="16"/>
                <w:szCs w:val="16"/>
              </w:rPr>
            </w:pPr>
            <w:r w:rsidRPr="00A75975">
              <w:rPr>
                <w:rFonts w:ascii="Times New Roman" w:hAnsi="Times New Roman"/>
                <w:b/>
                <w:bCs/>
                <w:sz w:val="16"/>
                <w:szCs w:val="16"/>
              </w:rPr>
              <w:t>Prevent fatalities</w:t>
            </w:r>
          </w:p>
        </w:tc>
        <w:tc>
          <w:tcPr>
            <w:tcW w:w="1337" w:type="dxa"/>
            <w:tcBorders>
              <w:top w:val="single" w:sz="4" w:space="0" w:color="auto"/>
              <w:bottom w:val="nil"/>
            </w:tcBorders>
            <w:shd w:val="clear" w:color="auto" w:fill="auto"/>
          </w:tcPr>
          <w:p w14:paraId="6A338972" w14:textId="77777777" w:rsidR="00CE4ED7" w:rsidRPr="00507FE2" w:rsidRDefault="00CE4ED7" w:rsidP="00CD3B0E">
            <w:pPr>
              <w:pStyle w:val="avsnitt"/>
              <w:ind w:firstLine="0"/>
              <w:rPr>
                <w:rFonts w:ascii="Times New Roman" w:hAnsi="Times New Roman"/>
                <w:sz w:val="16"/>
                <w:szCs w:val="16"/>
              </w:rPr>
            </w:pPr>
          </w:p>
        </w:tc>
        <w:tc>
          <w:tcPr>
            <w:tcW w:w="1516" w:type="dxa"/>
            <w:tcBorders>
              <w:top w:val="single" w:sz="4" w:space="0" w:color="auto"/>
              <w:bottom w:val="nil"/>
            </w:tcBorders>
            <w:shd w:val="clear" w:color="auto" w:fill="auto"/>
          </w:tcPr>
          <w:p w14:paraId="562CD392" w14:textId="77777777" w:rsidR="00CE4ED7" w:rsidRPr="00507FE2" w:rsidRDefault="00CE4ED7" w:rsidP="00CD3B0E">
            <w:pPr>
              <w:pStyle w:val="avsnitt"/>
              <w:ind w:firstLine="0"/>
              <w:jc w:val="left"/>
              <w:rPr>
                <w:rFonts w:ascii="Times New Roman" w:hAnsi="Times New Roman"/>
                <w:sz w:val="16"/>
                <w:szCs w:val="16"/>
              </w:rPr>
            </w:pPr>
          </w:p>
        </w:tc>
        <w:tc>
          <w:tcPr>
            <w:tcW w:w="1552" w:type="dxa"/>
            <w:tcBorders>
              <w:top w:val="single" w:sz="4" w:space="0" w:color="auto"/>
              <w:bottom w:val="nil"/>
            </w:tcBorders>
          </w:tcPr>
          <w:p w14:paraId="10BD7D3B" w14:textId="77777777" w:rsidR="00CE4ED7" w:rsidRPr="00507FE2" w:rsidRDefault="00CE4ED7" w:rsidP="00CD3B0E">
            <w:pPr>
              <w:pStyle w:val="avsnitt"/>
              <w:ind w:firstLine="0"/>
              <w:jc w:val="left"/>
              <w:rPr>
                <w:rFonts w:ascii="Times New Roman" w:hAnsi="Times New Roman"/>
                <w:sz w:val="16"/>
                <w:szCs w:val="16"/>
              </w:rPr>
            </w:pPr>
          </w:p>
        </w:tc>
      </w:tr>
      <w:tr w:rsidR="00CE4ED7" w:rsidRPr="002C2D42" w14:paraId="3E99C97C" w14:textId="77777777" w:rsidTr="00CD3B0E">
        <w:tc>
          <w:tcPr>
            <w:tcW w:w="2227" w:type="dxa"/>
            <w:tcBorders>
              <w:top w:val="nil"/>
            </w:tcBorders>
            <w:shd w:val="clear" w:color="auto" w:fill="auto"/>
          </w:tcPr>
          <w:p w14:paraId="720D7DA0"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Lifeboats</w:t>
            </w:r>
          </w:p>
        </w:tc>
        <w:tc>
          <w:tcPr>
            <w:tcW w:w="1337" w:type="dxa"/>
            <w:tcBorders>
              <w:top w:val="nil"/>
            </w:tcBorders>
            <w:shd w:val="clear" w:color="auto" w:fill="auto"/>
          </w:tcPr>
          <w:p w14:paraId="0A994702"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tcBorders>
              <w:top w:val="nil"/>
            </w:tcBorders>
            <w:shd w:val="clear" w:color="auto" w:fill="auto"/>
          </w:tcPr>
          <w:p w14:paraId="3545D026" w14:textId="77777777" w:rsidR="00CE4ED7" w:rsidRPr="00507FE2" w:rsidRDefault="00CE4ED7" w:rsidP="00CD3B0E">
            <w:pPr>
              <w:pStyle w:val="avsnitt"/>
              <w:ind w:firstLine="0"/>
              <w:jc w:val="left"/>
              <w:rPr>
                <w:rFonts w:ascii="Times New Roman" w:hAnsi="Times New Roman"/>
                <w:sz w:val="16"/>
                <w:szCs w:val="16"/>
              </w:rPr>
            </w:pPr>
          </w:p>
        </w:tc>
        <w:tc>
          <w:tcPr>
            <w:tcW w:w="1552" w:type="dxa"/>
            <w:tcBorders>
              <w:top w:val="nil"/>
            </w:tcBorders>
          </w:tcPr>
          <w:p w14:paraId="524F1307" w14:textId="77777777" w:rsidR="00CE4ED7" w:rsidRPr="00507FE2" w:rsidRDefault="00CE4ED7" w:rsidP="00CD3B0E">
            <w:pPr>
              <w:pStyle w:val="avsnitt"/>
              <w:ind w:firstLine="0"/>
              <w:jc w:val="left"/>
              <w:rPr>
                <w:rFonts w:ascii="Times New Roman" w:hAnsi="Times New Roman"/>
                <w:sz w:val="16"/>
                <w:szCs w:val="16"/>
              </w:rPr>
            </w:pPr>
          </w:p>
        </w:tc>
      </w:tr>
      <w:tr w:rsidR="00CE4ED7" w:rsidRPr="002C2D42" w14:paraId="0A6979AD" w14:textId="77777777" w:rsidTr="00CD3B0E">
        <w:tc>
          <w:tcPr>
            <w:tcW w:w="2227" w:type="dxa"/>
            <w:shd w:val="clear" w:color="auto" w:fill="auto"/>
          </w:tcPr>
          <w:p w14:paraId="2CD38100"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Liferafts</w:t>
            </w:r>
          </w:p>
        </w:tc>
        <w:tc>
          <w:tcPr>
            <w:tcW w:w="1337" w:type="dxa"/>
            <w:shd w:val="clear" w:color="auto" w:fill="auto"/>
          </w:tcPr>
          <w:p w14:paraId="4908A681"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shd w:val="clear" w:color="auto" w:fill="auto"/>
          </w:tcPr>
          <w:p w14:paraId="6BE883F8" w14:textId="77777777" w:rsidR="00CE4ED7" w:rsidRPr="00507FE2" w:rsidRDefault="00CE4ED7" w:rsidP="00CD3B0E">
            <w:pPr>
              <w:pStyle w:val="avsnitt"/>
              <w:ind w:firstLine="0"/>
              <w:jc w:val="left"/>
              <w:rPr>
                <w:rFonts w:ascii="Times New Roman" w:hAnsi="Times New Roman"/>
                <w:sz w:val="16"/>
                <w:szCs w:val="16"/>
              </w:rPr>
            </w:pPr>
          </w:p>
        </w:tc>
        <w:tc>
          <w:tcPr>
            <w:tcW w:w="1552" w:type="dxa"/>
          </w:tcPr>
          <w:p w14:paraId="521BAA84" w14:textId="77777777" w:rsidR="00CE4ED7" w:rsidRPr="00507FE2" w:rsidRDefault="00CE4ED7" w:rsidP="00CD3B0E">
            <w:pPr>
              <w:pStyle w:val="avsnitt"/>
              <w:ind w:firstLine="0"/>
              <w:jc w:val="left"/>
              <w:rPr>
                <w:rFonts w:ascii="Times New Roman" w:hAnsi="Times New Roman"/>
                <w:sz w:val="16"/>
                <w:szCs w:val="16"/>
              </w:rPr>
            </w:pPr>
          </w:p>
        </w:tc>
      </w:tr>
      <w:tr w:rsidR="00CE4ED7" w:rsidRPr="002C2D42" w14:paraId="59D4BC9E" w14:textId="77777777" w:rsidTr="00CD3B0E">
        <w:tc>
          <w:tcPr>
            <w:tcW w:w="2227" w:type="dxa"/>
            <w:shd w:val="clear" w:color="auto" w:fill="auto"/>
          </w:tcPr>
          <w:p w14:paraId="0B6D8EA9"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Selantic</w:t>
            </w:r>
          </w:p>
        </w:tc>
        <w:tc>
          <w:tcPr>
            <w:tcW w:w="1337" w:type="dxa"/>
            <w:shd w:val="clear" w:color="auto" w:fill="auto"/>
          </w:tcPr>
          <w:p w14:paraId="05068E57"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shd w:val="clear" w:color="auto" w:fill="auto"/>
          </w:tcPr>
          <w:p w14:paraId="678F41C5" w14:textId="77777777" w:rsidR="00CE4ED7" w:rsidRPr="00507FE2" w:rsidRDefault="00CE4ED7" w:rsidP="00CD3B0E">
            <w:pPr>
              <w:pStyle w:val="avsnitt"/>
              <w:ind w:firstLine="0"/>
              <w:jc w:val="left"/>
              <w:rPr>
                <w:rFonts w:ascii="Times New Roman" w:hAnsi="Times New Roman"/>
                <w:sz w:val="16"/>
                <w:szCs w:val="16"/>
              </w:rPr>
            </w:pPr>
          </w:p>
        </w:tc>
        <w:tc>
          <w:tcPr>
            <w:tcW w:w="1552" w:type="dxa"/>
          </w:tcPr>
          <w:p w14:paraId="7DDB1C2C"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r>
      <w:tr w:rsidR="00CE4ED7" w:rsidRPr="002C2D42" w14:paraId="4CF21EA1" w14:textId="77777777" w:rsidTr="00CD3B0E">
        <w:tc>
          <w:tcPr>
            <w:tcW w:w="2227" w:type="dxa"/>
            <w:shd w:val="clear" w:color="auto" w:fill="auto"/>
          </w:tcPr>
          <w:p w14:paraId="5154E452"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Escape routes</w:t>
            </w:r>
          </w:p>
        </w:tc>
        <w:tc>
          <w:tcPr>
            <w:tcW w:w="1337" w:type="dxa"/>
            <w:shd w:val="clear" w:color="auto" w:fill="auto"/>
          </w:tcPr>
          <w:p w14:paraId="40C7FF59" w14:textId="77777777" w:rsidR="00CE4ED7" w:rsidRPr="00507FE2" w:rsidRDefault="00CE4ED7" w:rsidP="00CD3B0E">
            <w:pPr>
              <w:pStyle w:val="avsnitt"/>
              <w:ind w:firstLine="0"/>
              <w:rPr>
                <w:rFonts w:ascii="Times New Roman" w:hAnsi="Times New Roman"/>
                <w:sz w:val="16"/>
                <w:szCs w:val="16"/>
              </w:rPr>
            </w:pPr>
            <w:r w:rsidRPr="00507FE2">
              <w:rPr>
                <w:rFonts w:ascii="Times New Roman" w:hAnsi="Times New Roman"/>
                <w:sz w:val="16"/>
                <w:szCs w:val="16"/>
              </w:rPr>
              <w:t>Yes</w:t>
            </w:r>
          </w:p>
        </w:tc>
        <w:tc>
          <w:tcPr>
            <w:tcW w:w="1516" w:type="dxa"/>
            <w:shd w:val="clear" w:color="auto" w:fill="auto"/>
          </w:tcPr>
          <w:p w14:paraId="539BBFD7"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c>
          <w:tcPr>
            <w:tcW w:w="1552" w:type="dxa"/>
          </w:tcPr>
          <w:p w14:paraId="191B7206" w14:textId="77777777" w:rsidR="00CE4ED7" w:rsidRPr="00507FE2" w:rsidRDefault="00CE4ED7" w:rsidP="00CD3B0E">
            <w:pPr>
              <w:pStyle w:val="avsnitt"/>
              <w:ind w:firstLine="0"/>
              <w:jc w:val="left"/>
              <w:rPr>
                <w:rFonts w:ascii="Times New Roman" w:hAnsi="Times New Roman"/>
                <w:sz w:val="16"/>
                <w:szCs w:val="16"/>
              </w:rPr>
            </w:pPr>
            <w:r w:rsidRPr="00507FE2">
              <w:rPr>
                <w:rFonts w:ascii="Times New Roman" w:hAnsi="Times New Roman"/>
                <w:sz w:val="16"/>
                <w:szCs w:val="16"/>
              </w:rPr>
              <w:t>Yes</w:t>
            </w:r>
          </w:p>
        </w:tc>
      </w:tr>
    </w:tbl>
    <w:p w14:paraId="31E8000B" w14:textId="77777777" w:rsidR="004242CD" w:rsidRPr="00DC3B33" w:rsidRDefault="004242CD" w:rsidP="00B4738B">
      <w:pPr>
        <w:spacing w:after="0" w:line="220" w:lineRule="atLeast"/>
        <w:ind w:firstLine="227"/>
        <w:jc w:val="both"/>
        <w:rPr>
          <w:rFonts w:ascii="Times New Roman" w:hAnsi="Times New Roman" w:cs="Times New Roman"/>
          <w:lang w:val="en-US"/>
        </w:rPr>
      </w:pPr>
    </w:p>
    <w:p w14:paraId="185EBB10" w14:textId="56E37716" w:rsidR="0074134F" w:rsidRPr="00DC3B33" w:rsidRDefault="00CB75E7" w:rsidP="00B4738B">
      <w:pPr>
        <w:spacing w:after="0" w:line="220" w:lineRule="atLeast"/>
        <w:ind w:firstLine="227"/>
        <w:jc w:val="both"/>
        <w:rPr>
          <w:rFonts w:ascii="Times New Roman" w:hAnsi="Times New Roman" w:cs="Times New Roman"/>
          <w:lang w:val="en-US"/>
        </w:rPr>
      </w:pPr>
      <w:r w:rsidRPr="00DC3B33">
        <w:rPr>
          <w:rFonts w:ascii="Times New Roman" w:hAnsi="Times New Roman" w:cs="Times New Roman"/>
          <w:lang w:val="en-US"/>
        </w:rPr>
        <w:t>Manning levels will depend on the need for interventions and maintenance tasks</w:t>
      </w:r>
      <w:r w:rsidR="007D0F1A">
        <w:rPr>
          <w:rFonts w:ascii="Times New Roman" w:hAnsi="Times New Roman" w:cs="Times New Roman"/>
          <w:lang w:val="en-US"/>
        </w:rPr>
        <w:t>, but the barrier elements will be designed for minimum maintenance or quick replacement</w:t>
      </w:r>
      <w:r w:rsidRPr="00DC3B33">
        <w:rPr>
          <w:rFonts w:ascii="Times New Roman" w:hAnsi="Times New Roman" w:cs="Times New Roman"/>
          <w:lang w:val="en-US"/>
        </w:rPr>
        <w:t>. The fre</w:t>
      </w:r>
      <w:r w:rsidR="003F6879" w:rsidRPr="00DC3B33">
        <w:rPr>
          <w:rFonts w:ascii="Times New Roman" w:hAnsi="Times New Roman" w:cs="Times New Roman"/>
          <w:lang w:val="en-US"/>
        </w:rPr>
        <w:softHyphen/>
      </w:r>
      <w:r w:rsidRPr="00DC3B33">
        <w:rPr>
          <w:rFonts w:ascii="Times New Roman" w:hAnsi="Times New Roman" w:cs="Times New Roman"/>
          <w:lang w:val="en-US"/>
        </w:rPr>
        <w:t>quency of manning is therefore closely corre</w:t>
      </w:r>
      <w:r w:rsidR="001F5E1E" w:rsidRPr="00DC3B33">
        <w:rPr>
          <w:rFonts w:ascii="Times New Roman" w:hAnsi="Times New Roman" w:cs="Times New Roman"/>
          <w:lang w:val="en-US"/>
        </w:rPr>
        <w:softHyphen/>
      </w:r>
      <w:r w:rsidRPr="00DC3B33">
        <w:rPr>
          <w:rFonts w:ascii="Times New Roman" w:hAnsi="Times New Roman" w:cs="Times New Roman"/>
          <w:lang w:val="en-US"/>
        </w:rPr>
        <w:t>lated with the number of systems needing main</w:t>
      </w:r>
      <w:r w:rsidR="001F5E1E" w:rsidRPr="00DC3B33">
        <w:rPr>
          <w:rFonts w:ascii="Times New Roman" w:hAnsi="Times New Roman" w:cs="Times New Roman"/>
          <w:lang w:val="en-US"/>
        </w:rPr>
        <w:softHyphen/>
      </w:r>
      <w:r w:rsidRPr="00DC3B33">
        <w:rPr>
          <w:rFonts w:ascii="Times New Roman" w:hAnsi="Times New Roman" w:cs="Times New Roman"/>
          <w:lang w:val="en-US"/>
        </w:rPr>
        <w:t xml:space="preserve">tenance. </w:t>
      </w:r>
      <w:r w:rsidR="001331CC" w:rsidRPr="00DC3B33">
        <w:rPr>
          <w:rFonts w:ascii="Times New Roman" w:hAnsi="Times New Roman" w:cs="Times New Roman"/>
          <w:lang w:val="en-US"/>
        </w:rPr>
        <w:t xml:space="preserve">Offshore work in Norway is conducted </w:t>
      </w:r>
      <w:r w:rsidR="00C42336">
        <w:rPr>
          <w:rFonts w:ascii="Times New Roman" w:hAnsi="Times New Roman" w:cs="Times New Roman"/>
          <w:lang w:val="en-US"/>
        </w:rPr>
        <w:t>in</w:t>
      </w:r>
      <w:r w:rsidR="007F0271" w:rsidRPr="00DC3B33">
        <w:rPr>
          <w:rFonts w:ascii="Times New Roman" w:hAnsi="Times New Roman" w:cs="Times New Roman"/>
          <w:lang w:val="en-US"/>
        </w:rPr>
        <w:t xml:space="preserve"> </w:t>
      </w:r>
      <w:r w:rsidR="00912D7F" w:rsidRPr="00DC3B33">
        <w:rPr>
          <w:rFonts w:ascii="Times New Roman" w:hAnsi="Times New Roman" w:cs="Times New Roman"/>
          <w:lang w:val="en-US"/>
        </w:rPr>
        <w:t>two</w:t>
      </w:r>
      <w:r w:rsidR="00A912DC">
        <w:rPr>
          <w:rFonts w:ascii="Times New Roman" w:hAnsi="Times New Roman" w:cs="Times New Roman"/>
          <w:lang w:val="en-US"/>
        </w:rPr>
        <w:t>-</w:t>
      </w:r>
      <w:r w:rsidR="000A4B72" w:rsidRPr="00DC3B33">
        <w:rPr>
          <w:rFonts w:ascii="Times New Roman" w:hAnsi="Times New Roman" w:cs="Times New Roman"/>
          <w:lang w:val="en-US"/>
        </w:rPr>
        <w:t>week</w:t>
      </w:r>
      <w:r w:rsidR="007F0271" w:rsidRPr="00DC3B33">
        <w:rPr>
          <w:rFonts w:ascii="Times New Roman" w:hAnsi="Times New Roman" w:cs="Times New Roman"/>
          <w:lang w:val="en-US"/>
        </w:rPr>
        <w:t xml:space="preserve"> </w:t>
      </w:r>
      <w:r w:rsidR="00BA2781" w:rsidRPr="00DC3B33">
        <w:rPr>
          <w:rFonts w:ascii="Times New Roman" w:hAnsi="Times New Roman" w:cs="Times New Roman"/>
          <w:lang w:val="en-US"/>
        </w:rPr>
        <w:t>activity periods</w:t>
      </w:r>
      <w:r w:rsidR="007D0F1A">
        <w:rPr>
          <w:rFonts w:ascii="Times New Roman" w:hAnsi="Times New Roman" w:cs="Times New Roman"/>
          <w:lang w:val="en-US"/>
        </w:rPr>
        <w:t>, with the following pattern; two weeks on-duty, followed by four weeks off-duty, followed by two weeks on-duty, etc</w:t>
      </w:r>
      <w:r w:rsidR="003C2D20" w:rsidRPr="00DC3B33">
        <w:rPr>
          <w:rFonts w:ascii="Times New Roman" w:hAnsi="Times New Roman" w:cs="Times New Roman"/>
          <w:lang w:val="en-US"/>
        </w:rPr>
        <w:t xml:space="preserve">. </w:t>
      </w:r>
      <w:r w:rsidR="00401794" w:rsidRPr="00DC3B33">
        <w:rPr>
          <w:rFonts w:ascii="Times New Roman" w:hAnsi="Times New Roman" w:cs="Times New Roman"/>
          <w:lang w:val="en-US"/>
        </w:rPr>
        <w:t xml:space="preserve">The term ‘period’ in the following is </w:t>
      </w:r>
      <w:r w:rsidR="00126B1D" w:rsidRPr="00DC3B33">
        <w:rPr>
          <w:rFonts w:ascii="Times New Roman" w:hAnsi="Times New Roman" w:cs="Times New Roman"/>
          <w:lang w:val="en-US"/>
        </w:rPr>
        <w:t xml:space="preserve">to be interpreted as </w:t>
      </w:r>
      <w:r w:rsidR="005A2BFF" w:rsidRPr="00DC3B33">
        <w:rPr>
          <w:rFonts w:ascii="Times New Roman" w:hAnsi="Times New Roman" w:cs="Times New Roman"/>
          <w:lang w:val="en-US"/>
        </w:rPr>
        <w:t>‘</w:t>
      </w:r>
      <w:r w:rsidR="00A912DC">
        <w:rPr>
          <w:rFonts w:ascii="Times New Roman" w:hAnsi="Times New Roman" w:cs="Times New Roman"/>
          <w:lang w:val="en-US"/>
        </w:rPr>
        <w:t>two-</w:t>
      </w:r>
      <w:r w:rsidR="005A2BFF" w:rsidRPr="00DC3B33">
        <w:rPr>
          <w:rFonts w:ascii="Times New Roman" w:hAnsi="Times New Roman" w:cs="Times New Roman"/>
          <w:lang w:val="en-US"/>
        </w:rPr>
        <w:t xml:space="preserve">week </w:t>
      </w:r>
      <w:r w:rsidR="00942CC9" w:rsidRPr="00DC3B33">
        <w:rPr>
          <w:rFonts w:ascii="Times New Roman" w:hAnsi="Times New Roman" w:cs="Times New Roman"/>
          <w:lang w:val="en-US"/>
        </w:rPr>
        <w:t xml:space="preserve">period’. </w:t>
      </w:r>
      <w:r w:rsidR="0074134F" w:rsidRPr="00DC3B33">
        <w:rPr>
          <w:rFonts w:ascii="Times New Roman" w:hAnsi="Times New Roman" w:cs="Times New Roman"/>
          <w:lang w:val="en-US"/>
        </w:rPr>
        <w:t xml:space="preserve">The unmanned production platform is assumed to be manned as </w:t>
      </w:r>
      <w:r w:rsidR="00B01298">
        <w:rPr>
          <w:rFonts w:ascii="Times New Roman" w:hAnsi="Times New Roman" w:cs="Times New Roman"/>
          <w:lang w:val="en-US"/>
        </w:rPr>
        <w:t>shown in Table 2.</w:t>
      </w:r>
    </w:p>
    <w:p w14:paraId="3951A8FD" w14:textId="03281914" w:rsidR="004B11E3" w:rsidRDefault="004B11E3" w:rsidP="00B4738B">
      <w:pPr>
        <w:spacing w:after="0" w:line="220" w:lineRule="atLeast"/>
        <w:ind w:firstLine="227"/>
        <w:jc w:val="both"/>
        <w:rPr>
          <w:rFonts w:ascii="Times New Roman" w:hAnsi="Times New Roman" w:cs="Times New Roman"/>
          <w:lang w:val="en-US"/>
        </w:rPr>
      </w:pPr>
    </w:p>
    <w:p w14:paraId="0B50A3EF" w14:textId="5AE5EA0C" w:rsidR="003D7367" w:rsidRPr="0064658B" w:rsidRDefault="003D7367" w:rsidP="003D7367">
      <w:pPr>
        <w:pStyle w:val="Bildetekst"/>
        <w:keepNext/>
        <w:jc w:val="left"/>
        <w:rPr>
          <w:rFonts w:ascii="Palatino" w:hAnsi="Palatino"/>
          <w:bCs/>
        </w:rPr>
      </w:pPr>
      <w:r>
        <w:t xml:space="preserve">Table </w:t>
      </w:r>
      <w:r>
        <w:fldChar w:fldCharType="begin"/>
      </w:r>
      <w:r>
        <w:instrText xml:space="preserve"> SEQ Table \* ARABIC </w:instrText>
      </w:r>
      <w:r>
        <w:fldChar w:fldCharType="separate"/>
      </w:r>
      <w:r w:rsidR="00DE14CA">
        <w:rPr>
          <w:noProof/>
        </w:rPr>
        <w:t>2</w:t>
      </w:r>
      <w:r>
        <w:fldChar w:fldCharType="end"/>
      </w:r>
      <w:r w:rsidRPr="0064658B">
        <w:rPr>
          <w:rFonts w:ascii="Palatino" w:hAnsi="Palatino"/>
          <w:bCs/>
        </w:rPr>
        <w:t xml:space="preserve"> </w:t>
      </w:r>
      <w:r w:rsidRPr="0064658B">
        <w:rPr>
          <w:rFonts w:ascii="Palatino" w:hAnsi="Palatino"/>
          <w:b w:val="0"/>
          <w:bCs/>
        </w:rPr>
        <w:t xml:space="preserve">Overview of </w:t>
      </w:r>
      <w:r w:rsidR="006516EA">
        <w:rPr>
          <w:rFonts w:ascii="Palatino" w:hAnsi="Palatino"/>
          <w:b w:val="0"/>
          <w:bCs/>
        </w:rPr>
        <w:t xml:space="preserve">manning levels for the </w:t>
      </w:r>
      <w:r w:rsidRPr="0064658B">
        <w:rPr>
          <w:rFonts w:ascii="Palatino" w:hAnsi="Palatino"/>
          <w:b w:val="0"/>
          <w:bCs/>
        </w:rPr>
        <w:t>study cases for risk quantification with barrier elements included</w:t>
      </w:r>
      <w:r>
        <w:rPr>
          <w:rFonts w:ascii="Palatino" w:hAnsi="Palatino"/>
          <w:b w:val="0"/>
          <w:bCs/>
        </w:rPr>
        <w:t xml:space="preserve"> </w:t>
      </w:r>
    </w:p>
    <w:p w14:paraId="3456C8CB" w14:textId="0061D3E4" w:rsidR="003E7162" w:rsidRPr="00A75975" w:rsidRDefault="003E7162" w:rsidP="00B4738B">
      <w:pPr>
        <w:spacing w:after="0" w:line="220" w:lineRule="atLeast"/>
        <w:ind w:firstLine="227"/>
        <w:jc w:val="both"/>
        <w:rPr>
          <w:rFonts w:ascii="Times New Roman" w:hAnsi="Times New Roman" w:cs="Times New Roman"/>
          <w:lang w:val="en-GB"/>
        </w:rPr>
      </w:pPr>
    </w:p>
    <w:tbl>
      <w:tblPr>
        <w:tblStyle w:val="Tabellrutenett"/>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85"/>
        <w:gridCol w:w="992"/>
        <w:gridCol w:w="2127"/>
        <w:gridCol w:w="2207"/>
        <w:tblGridChange w:id="1">
          <w:tblGrid>
            <w:gridCol w:w="3085"/>
            <w:gridCol w:w="992"/>
            <w:gridCol w:w="2127"/>
            <w:gridCol w:w="2207"/>
          </w:tblGrid>
        </w:tblGridChange>
      </w:tblGrid>
      <w:tr w:rsidR="000009AC" w14:paraId="1BDE2248" w14:textId="77777777" w:rsidTr="000009AC">
        <w:tc>
          <w:tcPr>
            <w:tcW w:w="3085" w:type="dxa"/>
          </w:tcPr>
          <w:p w14:paraId="3EE2E4FE" w14:textId="0E102D73" w:rsidR="003E7162" w:rsidRPr="00A75975" w:rsidRDefault="001A159E" w:rsidP="00B4738B">
            <w:pPr>
              <w:spacing w:line="220" w:lineRule="atLeast"/>
              <w:jc w:val="both"/>
              <w:rPr>
                <w:rFonts w:ascii="Times New Roman" w:hAnsi="Times New Roman" w:cs="Times New Roman"/>
                <w:b/>
                <w:bCs/>
                <w:sz w:val="18"/>
                <w:szCs w:val="18"/>
                <w:lang w:val="en-US"/>
              </w:rPr>
            </w:pPr>
            <w:r w:rsidRPr="00A75975">
              <w:rPr>
                <w:rFonts w:ascii="Times New Roman" w:hAnsi="Times New Roman" w:cs="Times New Roman"/>
                <w:b/>
                <w:bCs/>
                <w:sz w:val="18"/>
                <w:szCs w:val="18"/>
                <w:lang w:val="en-US"/>
              </w:rPr>
              <w:t>Parameters</w:t>
            </w:r>
          </w:p>
        </w:tc>
        <w:tc>
          <w:tcPr>
            <w:tcW w:w="992" w:type="dxa"/>
          </w:tcPr>
          <w:p w14:paraId="2177C11D" w14:textId="5DBA14F1" w:rsidR="003E7162" w:rsidRPr="00A75975" w:rsidRDefault="00171373" w:rsidP="00A75975">
            <w:pPr>
              <w:spacing w:line="220" w:lineRule="atLeast"/>
              <w:jc w:val="center"/>
              <w:rPr>
                <w:rFonts w:ascii="Times New Roman" w:hAnsi="Times New Roman" w:cs="Times New Roman"/>
                <w:b/>
                <w:bCs/>
                <w:sz w:val="18"/>
                <w:szCs w:val="18"/>
                <w:lang w:val="en-US"/>
              </w:rPr>
            </w:pPr>
            <w:r w:rsidRPr="00A75975">
              <w:rPr>
                <w:rFonts w:ascii="Times New Roman" w:hAnsi="Times New Roman" w:cs="Times New Roman"/>
                <w:b/>
                <w:bCs/>
                <w:sz w:val="18"/>
                <w:szCs w:val="18"/>
                <w:lang w:val="en-US"/>
              </w:rPr>
              <w:t>Case min</w:t>
            </w:r>
          </w:p>
        </w:tc>
        <w:tc>
          <w:tcPr>
            <w:tcW w:w="2127" w:type="dxa"/>
          </w:tcPr>
          <w:p w14:paraId="0A382B0A" w14:textId="4FB23C30" w:rsidR="003E7162" w:rsidRPr="00A75975" w:rsidRDefault="00171373" w:rsidP="00A75975">
            <w:pPr>
              <w:spacing w:line="220" w:lineRule="atLeast"/>
              <w:jc w:val="center"/>
              <w:rPr>
                <w:rFonts w:ascii="Times New Roman" w:hAnsi="Times New Roman" w:cs="Times New Roman"/>
                <w:b/>
                <w:bCs/>
                <w:sz w:val="18"/>
                <w:szCs w:val="18"/>
                <w:lang w:val="en-US"/>
              </w:rPr>
            </w:pPr>
            <w:r w:rsidRPr="00A75975">
              <w:rPr>
                <w:rFonts w:ascii="Times New Roman" w:hAnsi="Times New Roman" w:cs="Times New Roman"/>
                <w:b/>
                <w:bCs/>
                <w:sz w:val="18"/>
                <w:szCs w:val="18"/>
                <w:lang w:val="en-US"/>
              </w:rPr>
              <w:t>Case limited</w:t>
            </w:r>
          </w:p>
        </w:tc>
        <w:tc>
          <w:tcPr>
            <w:tcW w:w="2207" w:type="dxa"/>
          </w:tcPr>
          <w:p w14:paraId="27D7C646" w14:textId="747BDDFF" w:rsidR="003E7162" w:rsidRPr="00A75975" w:rsidRDefault="00171373" w:rsidP="00A75975">
            <w:pPr>
              <w:spacing w:line="220" w:lineRule="atLeast"/>
              <w:jc w:val="center"/>
              <w:rPr>
                <w:rFonts w:ascii="Times New Roman" w:hAnsi="Times New Roman" w:cs="Times New Roman"/>
                <w:b/>
                <w:bCs/>
                <w:sz w:val="18"/>
                <w:szCs w:val="18"/>
                <w:lang w:val="en-US"/>
              </w:rPr>
            </w:pPr>
            <w:r w:rsidRPr="00A75975">
              <w:rPr>
                <w:rFonts w:ascii="Times New Roman" w:hAnsi="Times New Roman" w:cs="Times New Roman"/>
                <w:b/>
                <w:bCs/>
                <w:sz w:val="18"/>
                <w:szCs w:val="18"/>
                <w:lang w:val="en-US"/>
              </w:rPr>
              <w:t>Case max</w:t>
            </w:r>
          </w:p>
        </w:tc>
      </w:tr>
      <w:tr w:rsidR="000009AC" w14:paraId="6C5AB493" w14:textId="77777777" w:rsidTr="00555DFB">
        <w:tblPrEx>
          <w:tblW w:w="0" w:type="auto"/>
          <w:tblBorders>
            <w:left w:val="none" w:sz="0" w:space="0" w:color="auto"/>
            <w:right w:val="none" w:sz="0" w:space="0" w:color="auto"/>
            <w:insideV w:val="none" w:sz="0" w:space="0" w:color="auto"/>
          </w:tblBorders>
          <w:tblPrExChange w:id="2" w:author="Forfatter" w:date="2020-08-03T13:27:00Z">
            <w:tblPrEx>
              <w:tblW w:w="0" w:type="auto"/>
              <w:tblBorders>
                <w:left w:val="none" w:sz="0" w:space="0" w:color="auto"/>
                <w:right w:val="none" w:sz="0" w:space="0" w:color="auto"/>
                <w:insideV w:val="none" w:sz="0" w:space="0" w:color="auto"/>
              </w:tblBorders>
            </w:tblPrEx>
          </w:tblPrExChange>
        </w:tblPrEx>
        <w:trPr>
          <w:trHeight w:val="340"/>
          <w:trPrChange w:id="3" w:author="Forfatter" w:date="2020-08-03T13:27:00Z">
            <w:trPr>
              <w:trHeight w:val="340"/>
            </w:trPr>
          </w:trPrChange>
        </w:trPr>
        <w:tc>
          <w:tcPr>
            <w:tcW w:w="3085" w:type="dxa"/>
            <w:tcPrChange w:id="4" w:author="Forfatter" w:date="2020-08-03T13:27:00Z">
              <w:tcPr>
                <w:tcW w:w="3085" w:type="dxa"/>
              </w:tcPr>
            </w:tcPrChange>
          </w:tcPr>
          <w:p w14:paraId="33D5D622" w14:textId="27CBE937" w:rsidR="003E7162" w:rsidRPr="00A75975" w:rsidRDefault="001A159E" w:rsidP="00B4738B">
            <w:pPr>
              <w:spacing w:line="220" w:lineRule="atLeast"/>
              <w:jc w:val="both"/>
              <w:rPr>
                <w:rFonts w:ascii="Times New Roman" w:hAnsi="Times New Roman" w:cs="Times New Roman"/>
                <w:sz w:val="18"/>
                <w:szCs w:val="18"/>
                <w:lang w:val="en-US"/>
              </w:rPr>
            </w:pPr>
            <w:r w:rsidRPr="00A75975">
              <w:rPr>
                <w:rFonts w:ascii="Times New Roman" w:hAnsi="Times New Roman" w:cs="Times New Roman"/>
                <w:sz w:val="18"/>
                <w:szCs w:val="18"/>
                <w:lang w:val="en-US"/>
              </w:rPr>
              <w:t>Duration of manned periods</w:t>
            </w:r>
          </w:p>
        </w:tc>
        <w:tc>
          <w:tcPr>
            <w:tcW w:w="992" w:type="dxa"/>
            <w:tcPrChange w:id="5" w:author="Forfatter" w:date="2020-08-03T13:27:00Z">
              <w:tcPr>
                <w:tcW w:w="992" w:type="dxa"/>
              </w:tcPr>
            </w:tcPrChange>
          </w:tcPr>
          <w:p w14:paraId="2D84B61D" w14:textId="4D07AD1E" w:rsidR="003E7162" w:rsidRPr="00A75975" w:rsidRDefault="001A159E" w:rsidP="00A75975">
            <w:pPr>
              <w:spacing w:line="220" w:lineRule="atLeast"/>
              <w:jc w:val="center"/>
              <w:rPr>
                <w:rFonts w:ascii="Times New Roman" w:hAnsi="Times New Roman" w:cs="Times New Roman"/>
                <w:sz w:val="18"/>
                <w:szCs w:val="18"/>
                <w:lang w:val="en-US"/>
              </w:rPr>
            </w:pPr>
            <w:r w:rsidRPr="00A75975">
              <w:rPr>
                <w:rFonts w:ascii="Times New Roman" w:hAnsi="Times New Roman" w:cs="Times New Roman"/>
                <w:sz w:val="18"/>
                <w:szCs w:val="18"/>
                <w:lang w:val="en-US"/>
              </w:rPr>
              <w:t>2 weeks</w:t>
            </w:r>
          </w:p>
        </w:tc>
        <w:tc>
          <w:tcPr>
            <w:tcW w:w="2127" w:type="dxa"/>
            <w:tcPrChange w:id="6" w:author="Forfatter" w:date="2020-08-03T13:27:00Z">
              <w:tcPr>
                <w:tcW w:w="2127" w:type="dxa"/>
              </w:tcPr>
            </w:tcPrChange>
          </w:tcPr>
          <w:p w14:paraId="574B2F41" w14:textId="15CDBEA0" w:rsidR="003E7162" w:rsidRPr="00A75975" w:rsidRDefault="000D54A8" w:rsidP="00A75975">
            <w:pPr>
              <w:spacing w:line="220" w:lineRule="atLeast"/>
              <w:jc w:val="center"/>
              <w:rPr>
                <w:rFonts w:ascii="Times New Roman" w:hAnsi="Times New Roman" w:cs="Times New Roman"/>
                <w:sz w:val="18"/>
                <w:szCs w:val="18"/>
                <w:lang w:val="en-US"/>
              </w:rPr>
            </w:pPr>
            <w:r w:rsidRPr="00A75975">
              <w:rPr>
                <w:rFonts w:ascii="Times New Roman" w:hAnsi="Times New Roman" w:cs="Times New Roman"/>
                <w:sz w:val="18"/>
                <w:szCs w:val="18"/>
                <w:lang w:val="en-US"/>
              </w:rPr>
              <w:t>2 weeks</w:t>
            </w:r>
          </w:p>
        </w:tc>
        <w:tc>
          <w:tcPr>
            <w:tcW w:w="2207" w:type="dxa"/>
            <w:tcPrChange w:id="7" w:author="Forfatter" w:date="2020-08-03T13:27:00Z">
              <w:tcPr>
                <w:tcW w:w="2207" w:type="dxa"/>
              </w:tcPr>
            </w:tcPrChange>
          </w:tcPr>
          <w:p w14:paraId="7A60BDB5" w14:textId="498D9D14" w:rsidR="003E7162" w:rsidRPr="00A75975" w:rsidRDefault="000D54A8" w:rsidP="00A75975">
            <w:pPr>
              <w:spacing w:line="220" w:lineRule="atLeast"/>
              <w:jc w:val="center"/>
              <w:rPr>
                <w:rFonts w:ascii="Times New Roman" w:hAnsi="Times New Roman" w:cs="Times New Roman"/>
                <w:sz w:val="18"/>
                <w:szCs w:val="18"/>
                <w:lang w:val="en-US"/>
              </w:rPr>
            </w:pPr>
            <w:r w:rsidRPr="00A75975">
              <w:rPr>
                <w:rFonts w:ascii="Times New Roman" w:hAnsi="Times New Roman" w:cs="Times New Roman"/>
                <w:sz w:val="18"/>
                <w:szCs w:val="18"/>
                <w:lang w:val="en-US"/>
              </w:rPr>
              <w:t>2 weeks</w:t>
            </w:r>
          </w:p>
        </w:tc>
      </w:tr>
      <w:tr w:rsidR="000009AC" w14:paraId="301146AE" w14:textId="77777777" w:rsidTr="00555DFB">
        <w:tblPrEx>
          <w:tblW w:w="0" w:type="auto"/>
          <w:tblBorders>
            <w:left w:val="none" w:sz="0" w:space="0" w:color="auto"/>
            <w:right w:val="none" w:sz="0" w:space="0" w:color="auto"/>
            <w:insideV w:val="none" w:sz="0" w:space="0" w:color="auto"/>
          </w:tblBorders>
          <w:tblPrExChange w:id="8" w:author="Forfatter" w:date="2020-08-03T13:27:00Z">
            <w:tblPrEx>
              <w:tblW w:w="0" w:type="auto"/>
              <w:tblBorders>
                <w:left w:val="none" w:sz="0" w:space="0" w:color="auto"/>
                <w:right w:val="none" w:sz="0" w:space="0" w:color="auto"/>
                <w:insideV w:val="none" w:sz="0" w:space="0" w:color="auto"/>
              </w:tblBorders>
            </w:tblPrEx>
          </w:tblPrExChange>
        </w:tblPrEx>
        <w:trPr>
          <w:trHeight w:val="340"/>
          <w:trPrChange w:id="9" w:author="Forfatter" w:date="2020-08-03T13:27:00Z">
            <w:trPr>
              <w:trHeight w:val="340"/>
            </w:trPr>
          </w:trPrChange>
        </w:trPr>
        <w:tc>
          <w:tcPr>
            <w:tcW w:w="3085" w:type="dxa"/>
            <w:tcPrChange w:id="10" w:author="Forfatter" w:date="2020-08-03T13:27:00Z">
              <w:tcPr>
                <w:tcW w:w="3085" w:type="dxa"/>
              </w:tcPr>
            </w:tcPrChange>
          </w:tcPr>
          <w:p w14:paraId="6ECE53ED" w14:textId="2CD52353" w:rsidR="003E7162" w:rsidRPr="00A75975" w:rsidRDefault="000D54A8" w:rsidP="00B4738B">
            <w:pPr>
              <w:spacing w:line="220" w:lineRule="atLeast"/>
              <w:jc w:val="both"/>
              <w:rPr>
                <w:rFonts w:ascii="Times New Roman" w:hAnsi="Times New Roman" w:cs="Times New Roman"/>
                <w:sz w:val="18"/>
                <w:szCs w:val="18"/>
                <w:lang w:val="en-US"/>
              </w:rPr>
            </w:pPr>
            <w:r w:rsidRPr="00A75975">
              <w:rPr>
                <w:rFonts w:ascii="Times New Roman" w:hAnsi="Times New Roman" w:cs="Times New Roman"/>
                <w:sz w:val="18"/>
                <w:szCs w:val="18"/>
                <w:lang w:val="en-US"/>
              </w:rPr>
              <w:t xml:space="preserve">Planned number of </w:t>
            </w:r>
            <w:r w:rsidR="002C46E5" w:rsidRPr="00A75975">
              <w:rPr>
                <w:rFonts w:ascii="Times New Roman" w:hAnsi="Times New Roman" w:cs="Times New Roman"/>
                <w:sz w:val="18"/>
                <w:szCs w:val="18"/>
                <w:lang w:val="en-US"/>
              </w:rPr>
              <w:t>manned periods</w:t>
            </w:r>
            <w:r w:rsidR="00D56B1B" w:rsidRPr="00A75975">
              <w:rPr>
                <w:rFonts w:ascii="Times New Roman" w:hAnsi="Times New Roman" w:cs="Times New Roman"/>
                <w:sz w:val="18"/>
                <w:szCs w:val="18"/>
                <w:lang w:val="en-US"/>
              </w:rPr>
              <w:t xml:space="preserve"> per year</w:t>
            </w:r>
          </w:p>
        </w:tc>
        <w:tc>
          <w:tcPr>
            <w:tcW w:w="992" w:type="dxa"/>
            <w:tcPrChange w:id="11" w:author="Forfatter" w:date="2020-08-03T13:27:00Z">
              <w:tcPr>
                <w:tcW w:w="992" w:type="dxa"/>
              </w:tcPr>
            </w:tcPrChange>
          </w:tcPr>
          <w:p w14:paraId="7C7693EB" w14:textId="5AC1C861" w:rsidR="003E7162" w:rsidRPr="00A75975" w:rsidRDefault="002C46E5" w:rsidP="00A75975">
            <w:pPr>
              <w:spacing w:line="220" w:lineRule="atLeast"/>
              <w:jc w:val="center"/>
              <w:rPr>
                <w:rFonts w:ascii="Times New Roman" w:hAnsi="Times New Roman" w:cs="Times New Roman"/>
                <w:sz w:val="18"/>
                <w:szCs w:val="18"/>
                <w:lang w:val="en-US"/>
              </w:rPr>
            </w:pPr>
            <w:r w:rsidRPr="00A75975">
              <w:rPr>
                <w:rFonts w:ascii="Times New Roman" w:hAnsi="Times New Roman" w:cs="Times New Roman"/>
                <w:sz w:val="18"/>
                <w:szCs w:val="18"/>
                <w:lang w:val="en-US"/>
              </w:rPr>
              <w:t>4</w:t>
            </w:r>
          </w:p>
        </w:tc>
        <w:tc>
          <w:tcPr>
            <w:tcW w:w="2127" w:type="dxa"/>
            <w:tcPrChange w:id="12" w:author="Forfatter" w:date="2020-08-03T13:27:00Z">
              <w:tcPr>
                <w:tcW w:w="2127" w:type="dxa"/>
              </w:tcPr>
            </w:tcPrChange>
          </w:tcPr>
          <w:p w14:paraId="6C15A311" w14:textId="102AEAA5" w:rsidR="003E7162" w:rsidRPr="00A75975" w:rsidRDefault="00D56B1B" w:rsidP="00A75975">
            <w:pPr>
              <w:spacing w:line="220" w:lineRule="atLeast"/>
              <w:jc w:val="center"/>
              <w:rPr>
                <w:rFonts w:ascii="Times New Roman" w:hAnsi="Times New Roman" w:cs="Times New Roman"/>
                <w:sz w:val="18"/>
                <w:szCs w:val="18"/>
                <w:lang w:val="en-US"/>
              </w:rPr>
            </w:pPr>
            <w:r w:rsidRPr="00A75975">
              <w:rPr>
                <w:rFonts w:ascii="Times New Roman" w:hAnsi="Times New Roman" w:cs="Times New Roman"/>
                <w:sz w:val="18"/>
                <w:szCs w:val="18"/>
                <w:lang w:val="en-US"/>
              </w:rPr>
              <w:t>5</w:t>
            </w:r>
          </w:p>
        </w:tc>
        <w:tc>
          <w:tcPr>
            <w:tcW w:w="2207" w:type="dxa"/>
            <w:tcPrChange w:id="13" w:author="Forfatter" w:date="2020-08-03T13:27:00Z">
              <w:tcPr>
                <w:tcW w:w="2207" w:type="dxa"/>
              </w:tcPr>
            </w:tcPrChange>
          </w:tcPr>
          <w:p w14:paraId="151DB764" w14:textId="0C3E4E33" w:rsidR="003E7162" w:rsidRPr="00A75975" w:rsidRDefault="00234D64" w:rsidP="00A75975">
            <w:pPr>
              <w:spacing w:line="220" w:lineRule="atLeast"/>
              <w:jc w:val="center"/>
              <w:rPr>
                <w:rFonts w:ascii="Times New Roman" w:hAnsi="Times New Roman" w:cs="Times New Roman"/>
                <w:sz w:val="18"/>
                <w:szCs w:val="18"/>
                <w:lang w:val="en-US"/>
              </w:rPr>
            </w:pPr>
            <w:r w:rsidRPr="00A75975">
              <w:rPr>
                <w:rFonts w:ascii="Times New Roman" w:hAnsi="Times New Roman" w:cs="Times New Roman"/>
                <w:sz w:val="18"/>
                <w:szCs w:val="18"/>
                <w:lang w:val="en-US"/>
              </w:rPr>
              <w:t>10</w:t>
            </w:r>
          </w:p>
        </w:tc>
      </w:tr>
      <w:tr w:rsidR="000009AC" w14:paraId="134D16EA" w14:textId="77777777" w:rsidTr="00555DFB">
        <w:tblPrEx>
          <w:tblW w:w="0" w:type="auto"/>
          <w:tblBorders>
            <w:left w:val="none" w:sz="0" w:space="0" w:color="auto"/>
            <w:right w:val="none" w:sz="0" w:space="0" w:color="auto"/>
            <w:insideV w:val="none" w:sz="0" w:space="0" w:color="auto"/>
          </w:tblBorders>
          <w:tblPrExChange w:id="14" w:author="Forfatter" w:date="2020-08-03T13:27:00Z">
            <w:tblPrEx>
              <w:tblW w:w="0" w:type="auto"/>
              <w:tblBorders>
                <w:left w:val="none" w:sz="0" w:space="0" w:color="auto"/>
                <w:right w:val="none" w:sz="0" w:space="0" w:color="auto"/>
                <w:insideV w:val="none" w:sz="0" w:space="0" w:color="auto"/>
              </w:tblBorders>
            </w:tblPrEx>
          </w:tblPrExChange>
        </w:tblPrEx>
        <w:trPr>
          <w:trHeight w:val="340"/>
          <w:trPrChange w:id="15" w:author="Forfatter" w:date="2020-08-03T13:27:00Z">
            <w:trPr>
              <w:trHeight w:val="340"/>
            </w:trPr>
          </w:trPrChange>
        </w:trPr>
        <w:tc>
          <w:tcPr>
            <w:tcW w:w="3085" w:type="dxa"/>
            <w:tcPrChange w:id="16" w:author="Forfatter" w:date="2020-08-03T13:27:00Z">
              <w:tcPr>
                <w:tcW w:w="3085" w:type="dxa"/>
              </w:tcPr>
            </w:tcPrChange>
          </w:tcPr>
          <w:p w14:paraId="21D14267" w14:textId="11236F2B" w:rsidR="003E7162" w:rsidRPr="00A75975" w:rsidRDefault="00866525" w:rsidP="00B4738B">
            <w:pPr>
              <w:spacing w:line="220" w:lineRule="atLeast"/>
              <w:jc w:val="both"/>
              <w:rPr>
                <w:rFonts w:ascii="Times New Roman" w:hAnsi="Times New Roman" w:cs="Times New Roman"/>
                <w:sz w:val="18"/>
                <w:szCs w:val="18"/>
                <w:lang w:val="en-US"/>
              </w:rPr>
            </w:pPr>
            <w:r w:rsidRPr="00A75975">
              <w:rPr>
                <w:rFonts w:ascii="Times New Roman" w:hAnsi="Times New Roman" w:cs="Times New Roman"/>
                <w:sz w:val="18"/>
                <w:szCs w:val="18"/>
                <w:lang w:val="en-US"/>
              </w:rPr>
              <w:t>Average manning level when manned</w:t>
            </w:r>
          </w:p>
        </w:tc>
        <w:tc>
          <w:tcPr>
            <w:tcW w:w="992" w:type="dxa"/>
            <w:tcPrChange w:id="17" w:author="Forfatter" w:date="2020-08-03T13:27:00Z">
              <w:tcPr>
                <w:tcW w:w="992" w:type="dxa"/>
              </w:tcPr>
            </w:tcPrChange>
          </w:tcPr>
          <w:p w14:paraId="73ED1DF1" w14:textId="7E52C696" w:rsidR="00BE53C5" w:rsidRPr="00A75975" w:rsidRDefault="00BE53C5" w:rsidP="00A75975">
            <w:pPr>
              <w:spacing w:line="220" w:lineRule="atLeast"/>
              <w:jc w:val="center"/>
              <w:rPr>
                <w:rFonts w:ascii="Times New Roman" w:hAnsi="Times New Roman" w:cs="Times New Roman"/>
                <w:sz w:val="18"/>
                <w:szCs w:val="18"/>
                <w:lang w:val="en-US"/>
              </w:rPr>
            </w:pPr>
            <w:r w:rsidRPr="00A75975">
              <w:rPr>
                <w:rFonts w:ascii="Times New Roman" w:hAnsi="Times New Roman" w:cs="Times New Roman"/>
                <w:sz w:val="18"/>
                <w:szCs w:val="18"/>
                <w:lang w:val="en-US"/>
              </w:rPr>
              <w:t>10</w:t>
            </w:r>
          </w:p>
        </w:tc>
        <w:tc>
          <w:tcPr>
            <w:tcW w:w="2127" w:type="dxa"/>
            <w:tcPrChange w:id="18" w:author="Forfatter" w:date="2020-08-03T13:27:00Z">
              <w:tcPr>
                <w:tcW w:w="2127" w:type="dxa"/>
              </w:tcPr>
            </w:tcPrChange>
          </w:tcPr>
          <w:p w14:paraId="6AA28D0D" w14:textId="39EBC855" w:rsidR="00BE53C5" w:rsidRPr="00A75975" w:rsidRDefault="00BE53C5" w:rsidP="00A75975">
            <w:pPr>
              <w:spacing w:line="220" w:lineRule="atLeast"/>
              <w:jc w:val="center"/>
              <w:rPr>
                <w:rFonts w:ascii="Times New Roman" w:hAnsi="Times New Roman" w:cs="Times New Roman"/>
                <w:sz w:val="18"/>
                <w:szCs w:val="18"/>
                <w:lang w:val="en-US"/>
              </w:rPr>
            </w:pPr>
            <w:r w:rsidRPr="00A75975">
              <w:rPr>
                <w:rFonts w:ascii="Times New Roman" w:hAnsi="Times New Roman" w:cs="Times New Roman"/>
                <w:sz w:val="18"/>
                <w:szCs w:val="18"/>
                <w:lang w:val="en-US"/>
              </w:rPr>
              <w:t>20</w:t>
            </w:r>
          </w:p>
        </w:tc>
        <w:tc>
          <w:tcPr>
            <w:tcW w:w="2207" w:type="dxa"/>
            <w:tcPrChange w:id="19" w:author="Forfatter" w:date="2020-08-03T13:27:00Z">
              <w:tcPr>
                <w:tcW w:w="2207" w:type="dxa"/>
              </w:tcPr>
            </w:tcPrChange>
          </w:tcPr>
          <w:p w14:paraId="790A1824" w14:textId="59A301F5" w:rsidR="00BE53C5" w:rsidRPr="00A75975" w:rsidRDefault="00DF796E" w:rsidP="00A75975">
            <w:pPr>
              <w:spacing w:line="220" w:lineRule="atLeast"/>
              <w:jc w:val="center"/>
              <w:rPr>
                <w:rFonts w:ascii="Times New Roman" w:hAnsi="Times New Roman" w:cs="Times New Roman"/>
                <w:sz w:val="18"/>
                <w:szCs w:val="18"/>
                <w:lang w:val="en-US"/>
              </w:rPr>
            </w:pPr>
            <w:r w:rsidRPr="00A75975">
              <w:rPr>
                <w:rFonts w:ascii="Times New Roman" w:hAnsi="Times New Roman" w:cs="Times New Roman"/>
                <w:sz w:val="18"/>
                <w:szCs w:val="18"/>
                <w:lang w:val="en-US"/>
              </w:rPr>
              <w:t>20</w:t>
            </w:r>
          </w:p>
        </w:tc>
      </w:tr>
      <w:tr w:rsidR="000009AC" w14:paraId="0F7E685B" w14:textId="77777777" w:rsidTr="00555DFB">
        <w:tblPrEx>
          <w:tblW w:w="0" w:type="auto"/>
          <w:tblBorders>
            <w:left w:val="none" w:sz="0" w:space="0" w:color="auto"/>
            <w:right w:val="none" w:sz="0" w:space="0" w:color="auto"/>
            <w:insideV w:val="none" w:sz="0" w:space="0" w:color="auto"/>
          </w:tblBorders>
          <w:tblPrExChange w:id="20" w:author="Forfatter" w:date="2020-08-03T13:27:00Z">
            <w:tblPrEx>
              <w:tblW w:w="0" w:type="auto"/>
              <w:tblBorders>
                <w:left w:val="none" w:sz="0" w:space="0" w:color="auto"/>
                <w:right w:val="none" w:sz="0" w:space="0" w:color="auto"/>
                <w:insideV w:val="none" w:sz="0" w:space="0" w:color="auto"/>
              </w:tblBorders>
            </w:tblPrEx>
          </w:tblPrExChange>
        </w:tblPrEx>
        <w:trPr>
          <w:trHeight w:val="340"/>
          <w:trPrChange w:id="21" w:author="Forfatter" w:date="2020-08-03T13:27:00Z">
            <w:trPr>
              <w:trHeight w:val="340"/>
            </w:trPr>
          </w:trPrChange>
        </w:trPr>
        <w:tc>
          <w:tcPr>
            <w:tcW w:w="3085" w:type="dxa"/>
            <w:tcPrChange w:id="22" w:author="Forfatter" w:date="2020-08-03T13:27:00Z">
              <w:tcPr>
                <w:tcW w:w="3085" w:type="dxa"/>
              </w:tcPr>
            </w:tcPrChange>
          </w:tcPr>
          <w:p w14:paraId="0F74CFF9" w14:textId="2505578C" w:rsidR="003E7162" w:rsidRPr="00A75975" w:rsidRDefault="00DF796E" w:rsidP="00B4738B">
            <w:pPr>
              <w:spacing w:line="220" w:lineRule="atLeast"/>
              <w:jc w:val="both"/>
              <w:rPr>
                <w:rFonts w:ascii="Times New Roman" w:hAnsi="Times New Roman" w:cs="Times New Roman"/>
                <w:sz w:val="18"/>
                <w:szCs w:val="18"/>
                <w:lang w:val="en-US"/>
              </w:rPr>
            </w:pPr>
            <w:r w:rsidRPr="00A75975">
              <w:rPr>
                <w:rFonts w:ascii="Times New Roman" w:hAnsi="Times New Roman" w:cs="Times New Roman"/>
                <w:sz w:val="18"/>
                <w:szCs w:val="18"/>
                <w:lang w:val="en-US"/>
              </w:rPr>
              <w:t>Shifts</w:t>
            </w:r>
          </w:p>
        </w:tc>
        <w:tc>
          <w:tcPr>
            <w:tcW w:w="992" w:type="dxa"/>
            <w:tcPrChange w:id="23" w:author="Forfatter" w:date="2020-08-03T13:27:00Z">
              <w:tcPr>
                <w:tcW w:w="992" w:type="dxa"/>
              </w:tcPr>
            </w:tcPrChange>
          </w:tcPr>
          <w:p w14:paraId="0F5B4971" w14:textId="185CA83B" w:rsidR="003E7162" w:rsidRPr="00A75975" w:rsidRDefault="00D874E4" w:rsidP="00A75975">
            <w:pPr>
              <w:spacing w:line="220" w:lineRule="atLeast"/>
              <w:jc w:val="center"/>
              <w:rPr>
                <w:rFonts w:ascii="Times New Roman" w:hAnsi="Times New Roman" w:cs="Times New Roman"/>
                <w:sz w:val="18"/>
                <w:szCs w:val="18"/>
                <w:lang w:val="en-US"/>
              </w:rPr>
            </w:pPr>
            <w:r w:rsidRPr="00A75975">
              <w:rPr>
                <w:rFonts w:ascii="Times New Roman" w:hAnsi="Times New Roman" w:cs="Times New Roman"/>
                <w:sz w:val="18"/>
                <w:szCs w:val="18"/>
                <w:lang w:val="en-US"/>
              </w:rPr>
              <w:t>Dayshift only</w:t>
            </w:r>
          </w:p>
        </w:tc>
        <w:tc>
          <w:tcPr>
            <w:tcW w:w="2127" w:type="dxa"/>
            <w:tcPrChange w:id="24" w:author="Forfatter" w:date="2020-08-03T13:27:00Z">
              <w:tcPr>
                <w:tcW w:w="2127" w:type="dxa"/>
              </w:tcPr>
            </w:tcPrChange>
          </w:tcPr>
          <w:p w14:paraId="3C1D408E" w14:textId="15D7EDC9" w:rsidR="003E7162" w:rsidRPr="00A75975" w:rsidRDefault="00D874E4" w:rsidP="00A75975">
            <w:pPr>
              <w:spacing w:line="220" w:lineRule="atLeast"/>
              <w:jc w:val="center"/>
              <w:rPr>
                <w:rFonts w:ascii="Times New Roman" w:hAnsi="Times New Roman" w:cs="Times New Roman"/>
                <w:sz w:val="18"/>
                <w:szCs w:val="18"/>
                <w:lang w:val="en-US"/>
              </w:rPr>
            </w:pPr>
            <w:r w:rsidRPr="00A75975">
              <w:rPr>
                <w:rFonts w:ascii="Times New Roman" w:hAnsi="Times New Roman" w:cs="Times New Roman"/>
                <w:sz w:val="18"/>
                <w:szCs w:val="18"/>
                <w:lang w:val="en-US"/>
              </w:rPr>
              <w:t>Dayshift only</w:t>
            </w:r>
            <w:r w:rsidR="00B01298" w:rsidRPr="00A75975">
              <w:rPr>
                <w:rFonts w:ascii="Times New Roman" w:hAnsi="Times New Roman" w:cs="Times New Roman"/>
                <w:sz w:val="18"/>
                <w:szCs w:val="18"/>
                <w:lang w:val="en-US"/>
              </w:rPr>
              <w:t>, except process personnel</w:t>
            </w:r>
          </w:p>
        </w:tc>
        <w:tc>
          <w:tcPr>
            <w:tcW w:w="2207" w:type="dxa"/>
            <w:tcPrChange w:id="25" w:author="Forfatter" w:date="2020-08-03T13:27:00Z">
              <w:tcPr>
                <w:tcW w:w="2207" w:type="dxa"/>
              </w:tcPr>
            </w:tcPrChange>
          </w:tcPr>
          <w:p w14:paraId="49424C85" w14:textId="4AB0E2C8" w:rsidR="003E7162" w:rsidRPr="00A75975" w:rsidRDefault="00B01298" w:rsidP="00A75975">
            <w:pPr>
              <w:spacing w:line="220" w:lineRule="atLeast"/>
              <w:jc w:val="center"/>
              <w:rPr>
                <w:rFonts w:ascii="Times New Roman" w:hAnsi="Times New Roman" w:cs="Times New Roman"/>
                <w:sz w:val="18"/>
                <w:szCs w:val="18"/>
                <w:lang w:val="en-US"/>
              </w:rPr>
            </w:pPr>
            <w:r w:rsidRPr="00A75975">
              <w:rPr>
                <w:rFonts w:ascii="Times New Roman" w:hAnsi="Times New Roman" w:cs="Times New Roman"/>
                <w:sz w:val="18"/>
                <w:szCs w:val="18"/>
                <w:lang w:val="en-US"/>
              </w:rPr>
              <w:t>Dayshift only, except process personnel</w:t>
            </w:r>
          </w:p>
        </w:tc>
      </w:tr>
      <w:tr w:rsidR="000009AC" w14:paraId="06C3FA90" w14:textId="77777777" w:rsidTr="00555DFB">
        <w:tblPrEx>
          <w:tblW w:w="0" w:type="auto"/>
          <w:tblBorders>
            <w:left w:val="none" w:sz="0" w:space="0" w:color="auto"/>
            <w:right w:val="none" w:sz="0" w:space="0" w:color="auto"/>
            <w:insideV w:val="none" w:sz="0" w:space="0" w:color="auto"/>
          </w:tblBorders>
          <w:tblPrExChange w:id="26" w:author="Forfatter" w:date="2020-08-03T13:27:00Z">
            <w:tblPrEx>
              <w:tblW w:w="0" w:type="auto"/>
              <w:tblBorders>
                <w:left w:val="none" w:sz="0" w:space="0" w:color="auto"/>
                <w:right w:val="none" w:sz="0" w:space="0" w:color="auto"/>
                <w:insideV w:val="none" w:sz="0" w:space="0" w:color="auto"/>
              </w:tblBorders>
            </w:tblPrEx>
          </w:tblPrExChange>
        </w:tblPrEx>
        <w:trPr>
          <w:trHeight w:val="340"/>
          <w:trPrChange w:id="27" w:author="Forfatter" w:date="2020-08-03T13:27:00Z">
            <w:trPr>
              <w:trHeight w:val="340"/>
            </w:trPr>
          </w:trPrChange>
        </w:trPr>
        <w:tc>
          <w:tcPr>
            <w:tcW w:w="3085" w:type="dxa"/>
            <w:tcPrChange w:id="28" w:author="Forfatter" w:date="2020-08-03T13:27:00Z">
              <w:tcPr>
                <w:tcW w:w="3085" w:type="dxa"/>
              </w:tcPr>
            </w:tcPrChange>
          </w:tcPr>
          <w:p w14:paraId="7F761CF5" w14:textId="3ED0AF12" w:rsidR="003E7162" w:rsidRPr="00A75975" w:rsidRDefault="00813019" w:rsidP="00B4738B">
            <w:pPr>
              <w:spacing w:line="220" w:lineRule="atLeast"/>
              <w:jc w:val="both"/>
              <w:rPr>
                <w:rFonts w:ascii="Times New Roman" w:hAnsi="Times New Roman" w:cs="Times New Roman"/>
                <w:sz w:val="18"/>
                <w:szCs w:val="18"/>
                <w:lang w:val="en-US"/>
              </w:rPr>
            </w:pPr>
            <w:r w:rsidRPr="00A75975">
              <w:rPr>
                <w:rFonts w:ascii="Times New Roman" w:hAnsi="Times New Roman" w:cs="Times New Roman"/>
                <w:sz w:val="18"/>
                <w:szCs w:val="18"/>
                <w:lang w:val="en-US"/>
              </w:rPr>
              <w:t>Number of manhours on installation</w:t>
            </w:r>
          </w:p>
        </w:tc>
        <w:tc>
          <w:tcPr>
            <w:tcW w:w="992" w:type="dxa"/>
            <w:tcPrChange w:id="29" w:author="Forfatter" w:date="2020-08-03T13:27:00Z">
              <w:tcPr>
                <w:tcW w:w="992" w:type="dxa"/>
              </w:tcPr>
            </w:tcPrChange>
          </w:tcPr>
          <w:p w14:paraId="7141E228" w14:textId="11739E65" w:rsidR="003E7162" w:rsidRPr="00A75975" w:rsidRDefault="00813019" w:rsidP="00A75975">
            <w:pPr>
              <w:spacing w:line="220" w:lineRule="atLeast"/>
              <w:jc w:val="center"/>
              <w:rPr>
                <w:rFonts w:ascii="Times New Roman" w:hAnsi="Times New Roman" w:cs="Times New Roman"/>
                <w:sz w:val="18"/>
                <w:szCs w:val="18"/>
                <w:lang w:val="en-US"/>
              </w:rPr>
            </w:pPr>
            <w:r w:rsidRPr="00A75975">
              <w:rPr>
                <w:rFonts w:ascii="Times New Roman" w:hAnsi="Times New Roman" w:cs="Times New Roman"/>
                <w:sz w:val="18"/>
                <w:szCs w:val="18"/>
                <w:lang w:val="en-US"/>
              </w:rPr>
              <w:t>6,160</w:t>
            </w:r>
          </w:p>
        </w:tc>
        <w:tc>
          <w:tcPr>
            <w:tcW w:w="2127" w:type="dxa"/>
            <w:tcPrChange w:id="30" w:author="Forfatter" w:date="2020-08-03T13:27:00Z">
              <w:tcPr>
                <w:tcW w:w="2127" w:type="dxa"/>
              </w:tcPr>
            </w:tcPrChange>
          </w:tcPr>
          <w:p w14:paraId="078DFBD1" w14:textId="348D4567" w:rsidR="003E7162" w:rsidRPr="00A75975" w:rsidRDefault="00E55A58" w:rsidP="00A75975">
            <w:pPr>
              <w:spacing w:line="220" w:lineRule="atLeast"/>
              <w:jc w:val="center"/>
              <w:rPr>
                <w:rFonts w:ascii="Times New Roman" w:hAnsi="Times New Roman" w:cs="Times New Roman"/>
                <w:sz w:val="18"/>
                <w:szCs w:val="18"/>
                <w:lang w:val="en-US"/>
              </w:rPr>
            </w:pPr>
            <w:r w:rsidRPr="00A75975">
              <w:rPr>
                <w:rFonts w:ascii="Times New Roman" w:hAnsi="Times New Roman" w:cs="Times New Roman"/>
                <w:sz w:val="18"/>
                <w:szCs w:val="18"/>
                <w:lang w:val="en-US"/>
              </w:rPr>
              <w:t>15,400</w:t>
            </w:r>
          </w:p>
        </w:tc>
        <w:tc>
          <w:tcPr>
            <w:tcW w:w="2207" w:type="dxa"/>
            <w:tcPrChange w:id="31" w:author="Forfatter" w:date="2020-08-03T13:27:00Z">
              <w:tcPr>
                <w:tcW w:w="2207" w:type="dxa"/>
              </w:tcPr>
            </w:tcPrChange>
          </w:tcPr>
          <w:p w14:paraId="6D0227F6" w14:textId="42EDD69D" w:rsidR="003E7162" w:rsidRPr="00A75975" w:rsidRDefault="00E55A58" w:rsidP="00A75975">
            <w:pPr>
              <w:spacing w:line="220" w:lineRule="atLeast"/>
              <w:jc w:val="center"/>
              <w:rPr>
                <w:rFonts w:ascii="Times New Roman" w:hAnsi="Times New Roman" w:cs="Times New Roman"/>
                <w:sz w:val="18"/>
                <w:szCs w:val="18"/>
                <w:lang w:val="en-US"/>
              </w:rPr>
            </w:pPr>
            <w:r w:rsidRPr="00A75975">
              <w:rPr>
                <w:rFonts w:ascii="Times New Roman" w:hAnsi="Times New Roman" w:cs="Times New Roman"/>
                <w:sz w:val="18"/>
                <w:szCs w:val="18"/>
                <w:lang w:val="en-US"/>
              </w:rPr>
              <w:t>26,400</w:t>
            </w:r>
          </w:p>
        </w:tc>
      </w:tr>
    </w:tbl>
    <w:p w14:paraId="440A8887" w14:textId="77777777" w:rsidR="003E7162" w:rsidRDefault="003E7162" w:rsidP="00B4738B">
      <w:pPr>
        <w:spacing w:after="0" w:line="220" w:lineRule="atLeast"/>
        <w:ind w:firstLine="227"/>
        <w:jc w:val="both"/>
        <w:rPr>
          <w:rFonts w:ascii="Times New Roman" w:hAnsi="Times New Roman" w:cs="Times New Roman"/>
          <w:lang w:val="en-US"/>
        </w:rPr>
      </w:pPr>
    </w:p>
    <w:p w14:paraId="40E505E9" w14:textId="5CCCC218" w:rsidR="009F49A9" w:rsidRPr="00F6439E" w:rsidRDefault="00CB75E7" w:rsidP="00E92035">
      <w:pPr>
        <w:spacing w:after="0" w:line="220" w:lineRule="atLeast"/>
        <w:ind w:firstLine="227"/>
        <w:jc w:val="both"/>
        <w:rPr>
          <w:rFonts w:ascii="Times New Roman" w:hAnsi="Times New Roman" w:cs="Times New Roman"/>
          <w:lang w:val="en-US"/>
        </w:rPr>
      </w:pPr>
      <w:r w:rsidRPr="00DC3B33">
        <w:rPr>
          <w:rFonts w:ascii="Times New Roman" w:hAnsi="Times New Roman" w:cs="Times New Roman"/>
          <w:lang w:val="en-US"/>
        </w:rPr>
        <w:t>Case max corresponds to one full shift having full</w:t>
      </w:r>
      <w:r w:rsidR="00A912DC">
        <w:rPr>
          <w:rFonts w:ascii="Times New Roman" w:hAnsi="Times New Roman" w:cs="Times New Roman"/>
          <w:lang w:val="en-US"/>
        </w:rPr>
        <w:t>-</w:t>
      </w:r>
      <w:r w:rsidRPr="00DC3B33">
        <w:rPr>
          <w:rFonts w:ascii="Times New Roman" w:hAnsi="Times New Roman" w:cs="Times New Roman"/>
          <w:lang w:val="en-US"/>
        </w:rPr>
        <w:t>time employment on the installation, two weeks on</w:t>
      </w:r>
      <w:r w:rsidR="007D0F1A">
        <w:rPr>
          <w:rFonts w:ascii="Times New Roman" w:hAnsi="Times New Roman" w:cs="Times New Roman"/>
          <w:lang w:val="en-US"/>
        </w:rPr>
        <w:t>-duty</w:t>
      </w:r>
      <w:r w:rsidRPr="00DC3B33">
        <w:rPr>
          <w:rFonts w:ascii="Times New Roman" w:hAnsi="Times New Roman" w:cs="Times New Roman"/>
          <w:lang w:val="en-US"/>
        </w:rPr>
        <w:t>, four weeks off</w:t>
      </w:r>
      <w:r w:rsidR="007D0F1A">
        <w:rPr>
          <w:rFonts w:ascii="Times New Roman" w:hAnsi="Times New Roman" w:cs="Times New Roman"/>
          <w:lang w:val="en-US"/>
        </w:rPr>
        <w:t>-duty</w:t>
      </w:r>
      <w:r w:rsidRPr="00DC3B33">
        <w:rPr>
          <w:rFonts w:ascii="Times New Roman" w:hAnsi="Times New Roman" w:cs="Times New Roman"/>
          <w:lang w:val="en-US"/>
        </w:rPr>
        <w:t xml:space="preserve">, etc. according to normal work schedules for the Norwegian </w:t>
      </w:r>
      <w:r w:rsidR="00E86082" w:rsidRPr="00DC3B33">
        <w:rPr>
          <w:rFonts w:ascii="Times New Roman" w:hAnsi="Times New Roman" w:cs="Times New Roman"/>
          <w:lang w:val="en-US"/>
        </w:rPr>
        <w:t>C</w:t>
      </w:r>
      <w:r w:rsidRPr="00DC3B33">
        <w:rPr>
          <w:rFonts w:ascii="Times New Roman" w:hAnsi="Times New Roman" w:cs="Times New Roman"/>
          <w:lang w:val="en-US"/>
        </w:rPr>
        <w:t>on</w:t>
      </w:r>
      <w:r w:rsidR="00E86082" w:rsidRPr="00DC3B33">
        <w:rPr>
          <w:rFonts w:ascii="Times New Roman" w:hAnsi="Times New Roman" w:cs="Times New Roman"/>
          <w:lang w:val="en-US"/>
        </w:rPr>
        <w:softHyphen/>
      </w:r>
      <w:r w:rsidRPr="00DC3B33">
        <w:rPr>
          <w:rFonts w:ascii="Times New Roman" w:hAnsi="Times New Roman" w:cs="Times New Roman"/>
          <w:lang w:val="en-US"/>
        </w:rPr>
        <w:t xml:space="preserve">tinental </w:t>
      </w:r>
      <w:r w:rsidR="00E86082" w:rsidRPr="00DC3B33">
        <w:rPr>
          <w:rFonts w:ascii="Times New Roman" w:hAnsi="Times New Roman" w:cs="Times New Roman"/>
          <w:lang w:val="en-US"/>
        </w:rPr>
        <w:t>S</w:t>
      </w:r>
      <w:r w:rsidRPr="00DC3B33">
        <w:rPr>
          <w:rFonts w:ascii="Times New Roman" w:hAnsi="Times New Roman" w:cs="Times New Roman"/>
          <w:lang w:val="en-US"/>
        </w:rPr>
        <w:t xml:space="preserve">helf. </w:t>
      </w:r>
      <w:r w:rsidR="007D0F1A">
        <w:rPr>
          <w:rFonts w:ascii="Times New Roman" w:hAnsi="Times New Roman" w:cs="Times New Roman"/>
          <w:lang w:val="en-US"/>
        </w:rPr>
        <w:t xml:space="preserve">The difference is that a fully manned installation has three persons per position (three shifts) in order to have continuous manning, whereas only one shift is needed for the manning for Case max. </w:t>
      </w:r>
      <w:r w:rsidRPr="00DC3B33">
        <w:rPr>
          <w:rFonts w:ascii="Times New Roman" w:hAnsi="Times New Roman" w:cs="Times New Roman"/>
          <w:lang w:val="en-US"/>
        </w:rPr>
        <w:t xml:space="preserve">Case limited corresponds to about 60% of a shift’s time being spent on the </w:t>
      </w:r>
      <w:r w:rsidR="00E86082" w:rsidRPr="00DC3B33">
        <w:rPr>
          <w:rFonts w:ascii="Times New Roman" w:hAnsi="Times New Roman" w:cs="Times New Roman"/>
          <w:lang w:val="en-US"/>
        </w:rPr>
        <w:t>instal</w:t>
      </w:r>
      <w:r w:rsidRPr="00DC3B33">
        <w:rPr>
          <w:rFonts w:ascii="Times New Roman" w:hAnsi="Times New Roman" w:cs="Times New Roman"/>
          <w:lang w:val="en-US"/>
        </w:rPr>
        <w:t>lation, with some additional work periods spent on other installations. Another alternative for Case limited is if a reduced crew (11.7 persons on average) spends all their offshore periods on the installation.</w:t>
      </w:r>
      <w:r w:rsidR="00D77249">
        <w:rPr>
          <w:rFonts w:ascii="Times New Roman" w:hAnsi="Times New Roman" w:cs="Times New Roman"/>
          <w:lang w:val="en-US"/>
        </w:rPr>
        <w:t xml:space="preserve"> </w:t>
      </w:r>
    </w:p>
    <w:p w14:paraId="70563A09" w14:textId="77777777" w:rsidR="007D0F1A" w:rsidRPr="009F49A9" w:rsidRDefault="007D0F1A" w:rsidP="00B4738B">
      <w:pPr>
        <w:spacing w:after="0" w:line="220" w:lineRule="atLeast"/>
        <w:ind w:firstLine="227"/>
        <w:jc w:val="both"/>
        <w:rPr>
          <w:rFonts w:ascii="Times New Roman" w:hAnsi="Times New Roman" w:cs="Times New Roman"/>
          <w:lang w:val="en-US"/>
        </w:rPr>
      </w:pPr>
    </w:p>
    <w:p w14:paraId="232F1DEA" w14:textId="363EF207" w:rsidR="00D87094" w:rsidRPr="00DC3B33" w:rsidRDefault="00D87094" w:rsidP="00B4738B">
      <w:pPr>
        <w:spacing w:after="0" w:line="220" w:lineRule="atLeast"/>
        <w:ind w:firstLine="227"/>
        <w:jc w:val="both"/>
        <w:rPr>
          <w:rFonts w:ascii="Times New Roman" w:hAnsi="Times New Roman" w:cs="Times New Roman"/>
        </w:rPr>
      </w:pPr>
      <w:r w:rsidRPr="00DC3B33">
        <w:rPr>
          <w:rFonts w:ascii="Times New Roman" w:hAnsi="Times New Roman" w:cs="Times New Roman"/>
        </w:rPr>
        <w:t xml:space="preserve">Figure 1 shows the assumed </w:t>
      </w:r>
      <w:r w:rsidR="0092010E">
        <w:rPr>
          <w:rFonts w:ascii="Times New Roman" w:hAnsi="Times New Roman" w:cs="Times New Roman"/>
        </w:rPr>
        <w:t xml:space="preserve">hydrocarbon (HC) </w:t>
      </w:r>
      <w:r w:rsidRPr="00DC3B33">
        <w:rPr>
          <w:rFonts w:ascii="Times New Roman" w:hAnsi="Times New Roman" w:cs="Times New Roman"/>
        </w:rPr>
        <w:t>leak frequencies for the different manning cases, with contribu</w:t>
      </w:r>
      <w:r w:rsidRPr="00DC3B33">
        <w:rPr>
          <w:rFonts w:ascii="Times New Roman" w:hAnsi="Times New Roman" w:cs="Times New Roman"/>
        </w:rPr>
        <w:softHyphen/>
        <w:t>tions from manned and unmanned phases</w:t>
      </w:r>
      <w:r w:rsidR="00656B8E">
        <w:rPr>
          <w:rFonts w:ascii="Times New Roman" w:hAnsi="Times New Roman" w:cs="Times New Roman"/>
        </w:rPr>
        <w:t>, reflecting the fraction of leaks caused by operations according to statistics for the Norwegian sector (Vinnem and Røed, 2020)</w:t>
      </w:r>
      <w:r w:rsidRPr="00DC3B33">
        <w:rPr>
          <w:rFonts w:ascii="Times New Roman" w:hAnsi="Times New Roman" w:cs="Times New Roman"/>
        </w:rPr>
        <w:t>. The leftmost bar is the leak frequency when continuously manned, and the remaining cases are for NUI with different assumptions regarding the manning and extent of safety systems.</w:t>
      </w:r>
      <w:r w:rsidR="002F4FB7">
        <w:rPr>
          <w:rFonts w:ascii="Times New Roman" w:hAnsi="Times New Roman" w:cs="Times New Roman"/>
        </w:rPr>
        <w:t xml:space="preserve"> </w:t>
      </w:r>
      <w:r w:rsidR="00535A14">
        <w:rPr>
          <w:rFonts w:ascii="Times New Roman" w:hAnsi="Times New Roman" w:cs="Times New Roman"/>
        </w:rPr>
        <w:t xml:space="preserve">The values are based on the following crude assumptions: </w:t>
      </w:r>
      <w:r w:rsidR="00E92035">
        <w:rPr>
          <w:rFonts w:ascii="Times New Roman" w:hAnsi="Times New Roman" w:cs="Times New Roman"/>
        </w:rPr>
        <w:t xml:space="preserve">40% of the </w:t>
      </w:r>
      <w:r w:rsidR="0092010E">
        <w:rPr>
          <w:rFonts w:ascii="Times New Roman" w:hAnsi="Times New Roman" w:cs="Times New Roman"/>
        </w:rPr>
        <w:t xml:space="preserve">HC </w:t>
      </w:r>
      <w:r w:rsidR="00E92035">
        <w:rPr>
          <w:rFonts w:ascii="Times New Roman" w:hAnsi="Times New Roman" w:cs="Times New Roman"/>
        </w:rPr>
        <w:t xml:space="preserve">leaks are assumed not to be associated with </w:t>
      </w:r>
      <w:r w:rsidR="00F4058E">
        <w:rPr>
          <w:rFonts w:ascii="Times New Roman" w:hAnsi="Times New Roman" w:cs="Times New Roman"/>
        </w:rPr>
        <w:t xml:space="preserve">manned operations in the process area (Vinnem and Røed, 2020). </w:t>
      </w:r>
      <w:r w:rsidR="00BE1A30">
        <w:rPr>
          <w:rFonts w:ascii="Times New Roman" w:hAnsi="Times New Roman" w:cs="Times New Roman"/>
        </w:rPr>
        <w:t xml:space="preserve">For the </w:t>
      </w:r>
      <w:r w:rsidR="0092010E">
        <w:rPr>
          <w:rFonts w:ascii="Times New Roman" w:hAnsi="Times New Roman" w:cs="Times New Roman"/>
        </w:rPr>
        <w:t>HC leaks during manned periods</w:t>
      </w:r>
      <w:r w:rsidR="00E72742">
        <w:rPr>
          <w:rFonts w:ascii="Times New Roman" w:hAnsi="Times New Roman" w:cs="Times New Roman"/>
        </w:rPr>
        <w:t>, a reduction of 30% has been assumed for the Case max</w:t>
      </w:r>
      <w:r w:rsidR="00DC2C2F">
        <w:rPr>
          <w:rFonts w:ascii="Times New Roman" w:hAnsi="Times New Roman" w:cs="Times New Roman"/>
        </w:rPr>
        <w:t xml:space="preserve"> due to assumed more m</w:t>
      </w:r>
      <w:r w:rsidR="00AE3F8D">
        <w:rPr>
          <w:rFonts w:ascii="Times New Roman" w:hAnsi="Times New Roman" w:cs="Times New Roman"/>
        </w:rPr>
        <w:t>odularised and less maintenance intensive equipment</w:t>
      </w:r>
      <w:r w:rsidR="00F95D55">
        <w:rPr>
          <w:rFonts w:ascii="Times New Roman" w:hAnsi="Times New Roman" w:cs="Times New Roman"/>
        </w:rPr>
        <w:t xml:space="preserve">, whilst reductions for Case lim and Case limited </w:t>
      </w:r>
      <w:r w:rsidR="00D213A4">
        <w:rPr>
          <w:rFonts w:ascii="Times New Roman" w:hAnsi="Times New Roman" w:cs="Times New Roman"/>
        </w:rPr>
        <w:t>are adjusted according to the number of days manned.</w:t>
      </w:r>
      <w:r w:rsidR="00AD17C4">
        <w:rPr>
          <w:rFonts w:ascii="Times New Roman" w:hAnsi="Times New Roman" w:cs="Times New Roman"/>
        </w:rPr>
        <w:t xml:space="preserve"> </w:t>
      </w:r>
      <w:r w:rsidR="00564DA1">
        <w:rPr>
          <w:rFonts w:ascii="Times New Roman" w:hAnsi="Times New Roman" w:cs="Times New Roman"/>
        </w:rPr>
        <w:t>This is a crude manner to reflect the possibility of introducing latent</w:t>
      </w:r>
      <w:r w:rsidR="00246162">
        <w:rPr>
          <w:rFonts w:ascii="Times New Roman" w:hAnsi="Times New Roman" w:cs="Times New Roman"/>
        </w:rPr>
        <w:t xml:space="preserve"> errors during manned periods.</w:t>
      </w:r>
    </w:p>
    <w:p w14:paraId="317E64D0" w14:textId="77777777" w:rsidR="007D0F1A" w:rsidRDefault="007D0F1A" w:rsidP="00B4738B">
      <w:pPr>
        <w:spacing w:after="0" w:line="220" w:lineRule="atLeast"/>
        <w:ind w:firstLine="227"/>
        <w:jc w:val="both"/>
        <w:rPr>
          <w:rFonts w:ascii="Times New Roman" w:hAnsi="Times New Roman" w:cs="Times New Roman"/>
        </w:rPr>
      </w:pPr>
    </w:p>
    <w:p w14:paraId="21EA1819" w14:textId="4EF2137A" w:rsidR="00FD76C1" w:rsidRDefault="00204B7D" w:rsidP="00B4738B">
      <w:pPr>
        <w:spacing w:after="0" w:line="220" w:lineRule="atLeast"/>
        <w:ind w:firstLine="227"/>
        <w:jc w:val="both"/>
        <w:rPr>
          <w:rFonts w:ascii="Times New Roman" w:hAnsi="Times New Roman" w:cs="Times New Roman"/>
        </w:rPr>
      </w:pPr>
      <w:r w:rsidRPr="00DC3B33">
        <w:rPr>
          <w:rFonts w:ascii="Times New Roman" w:hAnsi="Times New Roman" w:cs="Times New Roman"/>
        </w:rPr>
        <w:t>The installation is assumed not to be shut down when manned.</w:t>
      </w:r>
      <w:r w:rsidR="00656B8E">
        <w:rPr>
          <w:rFonts w:ascii="Times New Roman" w:hAnsi="Times New Roman" w:cs="Times New Roman"/>
        </w:rPr>
        <w:t xml:space="preserve"> Shutting down </w:t>
      </w:r>
      <w:r w:rsidR="00276A7C">
        <w:rPr>
          <w:rFonts w:ascii="Times New Roman" w:hAnsi="Times New Roman" w:cs="Times New Roman"/>
        </w:rPr>
        <w:t xml:space="preserve">during </w:t>
      </w:r>
      <w:r w:rsidR="00A912DC">
        <w:rPr>
          <w:rFonts w:ascii="Times New Roman" w:hAnsi="Times New Roman" w:cs="Times New Roman"/>
        </w:rPr>
        <w:t xml:space="preserve">the </w:t>
      </w:r>
      <w:r w:rsidR="00656B8E">
        <w:rPr>
          <w:rFonts w:ascii="Times New Roman" w:hAnsi="Times New Roman" w:cs="Times New Roman"/>
        </w:rPr>
        <w:t xml:space="preserve">manned </w:t>
      </w:r>
      <w:r w:rsidR="00276A7C">
        <w:rPr>
          <w:rFonts w:ascii="Times New Roman" w:hAnsi="Times New Roman" w:cs="Times New Roman"/>
        </w:rPr>
        <w:t xml:space="preserve">period </w:t>
      </w:r>
      <w:r w:rsidR="00656B8E">
        <w:rPr>
          <w:rFonts w:ascii="Times New Roman" w:hAnsi="Times New Roman" w:cs="Times New Roman"/>
        </w:rPr>
        <w:t xml:space="preserve">would reduce </w:t>
      </w:r>
      <w:r w:rsidR="00A912DC">
        <w:rPr>
          <w:rFonts w:ascii="Times New Roman" w:hAnsi="Times New Roman" w:cs="Times New Roman"/>
        </w:rPr>
        <w:t xml:space="preserve">the </w:t>
      </w:r>
      <w:r w:rsidR="00656B8E">
        <w:rPr>
          <w:rFonts w:ascii="Times New Roman" w:hAnsi="Times New Roman" w:cs="Times New Roman"/>
        </w:rPr>
        <w:t xml:space="preserve">risk significantly, but would imply a significant reduction in production regularity, and would also increase the duration of </w:t>
      </w:r>
      <w:r w:rsidR="00C42336">
        <w:rPr>
          <w:rFonts w:ascii="Times New Roman" w:hAnsi="Times New Roman" w:cs="Times New Roman"/>
        </w:rPr>
        <w:t xml:space="preserve">the </w:t>
      </w:r>
      <w:r w:rsidR="00656B8E">
        <w:rPr>
          <w:rFonts w:ascii="Times New Roman" w:hAnsi="Times New Roman" w:cs="Times New Roman"/>
        </w:rPr>
        <w:t>manned periods.</w:t>
      </w:r>
    </w:p>
    <w:p w14:paraId="75F447F0" w14:textId="7C0A1FA3" w:rsidR="00D72A64" w:rsidRPr="00DC3B33" w:rsidRDefault="00656B8E" w:rsidP="00B4738B">
      <w:pPr>
        <w:pStyle w:val="Bildetekst"/>
        <w:spacing w:line="220" w:lineRule="atLeast"/>
        <w:jc w:val="center"/>
        <w:rPr>
          <w:sz w:val="20"/>
          <w:szCs w:val="22"/>
        </w:rPr>
      </w:pPr>
      <w:r>
        <w:rPr>
          <w:noProof/>
          <w:sz w:val="20"/>
          <w:szCs w:val="22"/>
          <w:lang w:eastAsia="en-GB"/>
        </w:rPr>
        <w:drawing>
          <wp:inline distT="0" distB="0" distL="0" distR="0" wp14:anchorId="4C15F03F" wp14:editId="4AF65AF6">
            <wp:extent cx="3472961" cy="2083487"/>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1992" cy="2094904"/>
                    </a:xfrm>
                    <a:prstGeom prst="rect">
                      <a:avLst/>
                    </a:prstGeom>
                    <a:noFill/>
                  </pic:spPr>
                </pic:pic>
              </a:graphicData>
            </a:graphic>
          </wp:inline>
        </w:drawing>
      </w:r>
    </w:p>
    <w:p w14:paraId="45948DF7" w14:textId="65E2B05A" w:rsidR="00333CB4" w:rsidRDefault="00333CB4" w:rsidP="00B4738B">
      <w:pPr>
        <w:pStyle w:val="Bildetekst"/>
        <w:spacing w:line="220" w:lineRule="atLeast"/>
        <w:jc w:val="center"/>
        <w:rPr>
          <w:rFonts w:ascii="Times New Roman" w:hAnsi="Times New Roman"/>
          <w:b w:val="0"/>
          <w:bCs/>
        </w:rPr>
      </w:pPr>
      <w:r>
        <w:t xml:space="preserve">Figure </w:t>
      </w:r>
      <w:r>
        <w:fldChar w:fldCharType="begin"/>
      </w:r>
      <w:r>
        <w:instrText xml:space="preserve"> SEQ Figure \* ARABIC </w:instrText>
      </w:r>
      <w:r>
        <w:fldChar w:fldCharType="separate"/>
      </w:r>
      <w:r w:rsidR="00DE14CA">
        <w:rPr>
          <w:noProof/>
        </w:rPr>
        <w:t>1</w:t>
      </w:r>
      <w:r>
        <w:fldChar w:fldCharType="end"/>
      </w:r>
      <w:r>
        <w:t xml:space="preserve"> </w:t>
      </w:r>
      <w:r w:rsidR="00664FB4">
        <w:rPr>
          <w:rFonts w:ascii="Times New Roman" w:hAnsi="Times New Roman"/>
          <w:b w:val="0"/>
          <w:bCs/>
        </w:rPr>
        <w:t xml:space="preserve">Annual </w:t>
      </w:r>
      <w:r w:rsidR="006A25EE">
        <w:rPr>
          <w:rFonts w:ascii="Times New Roman" w:hAnsi="Times New Roman"/>
          <w:b w:val="0"/>
          <w:bCs/>
        </w:rPr>
        <w:t xml:space="preserve">leak frequency </w:t>
      </w:r>
      <w:r>
        <w:rPr>
          <w:rFonts w:ascii="Times New Roman" w:hAnsi="Times New Roman"/>
          <w:b w:val="0"/>
          <w:bCs/>
        </w:rPr>
        <w:t>for NUI production installation</w:t>
      </w:r>
      <w:r w:rsidR="00247F78">
        <w:rPr>
          <w:rFonts w:ascii="Times New Roman" w:hAnsi="Times New Roman"/>
          <w:b w:val="0"/>
          <w:bCs/>
        </w:rPr>
        <w:t xml:space="preserve">, </w:t>
      </w:r>
      <w:r>
        <w:rPr>
          <w:rFonts w:ascii="Times New Roman" w:hAnsi="Times New Roman"/>
          <w:b w:val="0"/>
          <w:bCs/>
        </w:rPr>
        <w:t>with different manning and safety system assumptions</w:t>
      </w:r>
    </w:p>
    <w:p w14:paraId="1D7AA34D" w14:textId="601E6261" w:rsidR="00656B8E" w:rsidRDefault="00656B8E" w:rsidP="00656B8E">
      <w:pPr>
        <w:spacing w:after="0" w:line="220" w:lineRule="atLeast"/>
        <w:ind w:firstLine="227"/>
        <w:jc w:val="both"/>
        <w:rPr>
          <w:rFonts w:ascii="Times New Roman" w:hAnsi="Times New Roman" w:cs="Times New Roman"/>
        </w:rPr>
      </w:pPr>
      <w:r>
        <w:rPr>
          <w:rFonts w:ascii="Times New Roman" w:hAnsi="Times New Roman" w:cs="Times New Roman"/>
        </w:rPr>
        <w:t>Figure 1 show</w:t>
      </w:r>
      <w:r w:rsidR="00C42336">
        <w:rPr>
          <w:rFonts w:ascii="Times New Roman" w:hAnsi="Times New Roman" w:cs="Times New Roman"/>
        </w:rPr>
        <w:t>s</w:t>
      </w:r>
      <w:r>
        <w:rPr>
          <w:rFonts w:ascii="Times New Roman" w:hAnsi="Times New Roman" w:cs="Times New Roman"/>
        </w:rPr>
        <w:t xml:space="preserve"> that less manning implies fewer leaks during manned periods. Less manning also means longer unmanned periods, </w:t>
      </w:r>
      <w:r w:rsidR="00A912DC">
        <w:rPr>
          <w:rFonts w:ascii="Times New Roman" w:hAnsi="Times New Roman" w:cs="Times New Roman"/>
        </w:rPr>
        <w:t>so</w:t>
      </w:r>
      <w:r>
        <w:rPr>
          <w:rFonts w:ascii="Times New Roman" w:hAnsi="Times New Roman" w:cs="Times New Roman"/>
        </w:rPr>
        <w:t xml:space="preserve"> the contributions during unmanned periods increas</w:t>
      </w:r>
      <w:r w:rsidR="00A912DC">
        <w:rPr>
          <w:rFonts w:ascii="Times New Roman" w:hAnsi="Times New Roman" w:cs="Times New Roman"/>
        </w:rPr>
        <w:t>e</w:t>
      </w:r>
      <w:r>
        <w:rPr>
          <w:rFonts w:ascii="Times New Roman" w:hAnsi="Times New Roman" w:cs="Times New Roman"/>
        </w:rPr>
        <w:t xml:space="preserve"> with lower manning. </w:t>
      </w:r>
    </w:p>
    <w:p w14:paraId="64592CEF" w14:textId="53A4B700" w:rsidR="00036449" w:rsidRDefault="00036449" w:rsidP="00036449">
      <w:pPr>
        <w:spacing w:after="0" w:line="220" w:lineRule="atLeast"/>
        <w:ind w:firstLine="227"/>
        <w:jc w:val="both"/>
        <w:rPr>
          <w:rFonts w:ascii="Times New Roman" w:hAnsi="Times New Roman" w:cs="Times New Roman"/>
        </w:rPr>
      </w:pPr>
    </w:p>
    <w:p w14:paraId="27F54859" w14:textId="62DE1138" w:rsidR="009B5C9D" w:rsidRDefault="00DA3C82" w:rsidP="009B5C9D">
      <w:pPr>
        <w:keepNext/>
        <w:spacing w:before="230" w:after="100" w:line="220" w:lineRule="atLeast"/>
        <w:ind w:left="227" w:hanging="227"/>
        <w:rPr>
          <w:rFonts w:ascii="Times New Roman" w:hAnsi="Times New Roman" w:cs="Times New Roman"/>
          <w:b/>
        </w:rPr>
      </w:pPr>
      <w:r>
        <w:rPr>
          <w:rFonts w:ascii="Times New Roman" w:hAnsi="Times New Roman" w:cs="Times New Roman"/>
          <w:b/>
        </w:rPr>
        <w:t xml:space="preserve">3. </w:t>
      </w:r>
      <w:r w:rsidR="009B5C9D" w:rsidRPr="00DC3B33">
        <w:rPr>
          <w:rFonts w:ascii="Times New Roman" w:hAnsi="Times New Roman" w:cs="Times New Roman"/>
          <w:b/>
        </w:rPr>
        <w:t>Risk Tolerance Criteria</w:t>
      </w:r>
    </w:p>
    <w:p w14:paraId="7C478C5F" w14:textId="1464BF93" w:rsidR="00A849B8" w:rsidRPr="00A75975" w:rsidRDefault="00A849B8" w:rsidP="00A75975">
      <w:pPr>
        <w:spacing w:after="0" w:line="220" w:lineRule="atLeast"/>
        <w:jc w:val="both"/>
        <w:rPr>
          <w:rFonts w:ascii="Times New Roman" w:hAnsi="Times New Roman" w:cs="Times New Roman"/>
          <w:lang w:val="en-US"/>
        </w:rPr>
      </w:pPr>
      <w:r w:rsidRPr="00A75975">
        <w:rPr>
          <w:rFonts w:ascii="Times New Roman" w:hAnsi="Times New Roman" w:cs="Times New Roman"/>
          <w:lang w:val="en-US"/>
        </w:rPr>
        <w:t xml:space="preserve">This chapter </w:t>
      </w:r>
      <w:r w:rsidR="007F149D" w:rsidRPr="00A75975">
        <w:rPr>
          <w:rFonts w:ascii="Times New Roman" w:hAnsi="Times New Roman" w:cs="Times New Roman"/>
          <w:lang w:val="en-US"/>
        </w:rPr>
        <w:t xml:space="preserve">aims to </w:t>
      </w:r>
      <w:r w:rsidR="006A637A">
        <w:rPr>
          <w:rFonts w:ascii="Times New Roman" w:hAnsi="Times New Roman" w:cs="Times New Roman"/>
          <w:lang w:val="en-US"/>
        </w:rPr>
        <w:t xml:space="preserve">develop the background to </w:t>
      </w:r>
      <w:r w:rsidR="007F149D" w:rsidRPr="00A75975">
        <w:rPr>
          <w:rFonts w:ascii="Times New Roman" w:hAnsi="Times New Roman" w:cs="Times New Roman"/>
          <w:lang w:val="en-US"/>
        </w:rPr>
        <w:t xml:space="preserve">RTC for unmanned installations. </w:t>
      </w:r>
      <w:r w:rsidR="00A53B9C" w:rsidRPr="00A75975">
        <w:rPr>
          <w:rFonts w:ascii="Times New Roman" w:hAnsi="Times New Roman" w:cs="Times New Roman"/>
          <w:lang w:val="en-US"/>
        </w:rPr>
        <w:t xml:space="preserve">It </w:t>
      </w:r>
      <w:r w:rsidR="009D66B4">
        <w:rPr>
          <w:rFonts w:ascii="Times New Roman" w:hAnsi="Times New Roman" w:cs="Times New Roman"/>
          <w:lang w:val="en-US"/>
        </w:rPr>
        <w:t xml:space="preserve">therefore presents </w:t>
      </w:r>
      <w:r w:rsidR="00A53B9C" w:rsidRPr="00A75975">
        <w:rPr>
          <w:rFonts w:ascii="Times New Roman" w:hAnsi="Times New Roman" w:cs="Times New Roman"/>
          <w:lang w:val="en-US"/>
        </w:rPr>
        <w:t xml:space="preserve">a review of </w:t>
      </w:r>
      <w:r w:rsidR="00D806B5" w:rsidRPr="00A75975">
        <w:rPr>
          <w:rFonts w:ascii="Times New Roman" w:hAnsi="Times New Roman" w:cs="Times New Roman"/>
          <w:lang w:val="en-US"/>
        </w:rPr>
        <w:t xml:space="preserve">RTC for manned installations in the Norwegian sector, as background </w:t>
      </w:r>
      <w:r w:rsidR="00CA4F92" w:rsidRPr="00A75975">
        <w:rPr>
          <w:rFonts w:ascii="Times New Roman" w:hAnsi="Times New Roman" w:cs="Times New Roman"/>
          <w:lang w:val="en-US"/>
        </w:rPr>
        <w:t>for the discussion of possible RTC for unmanned installations</w:t>
      </w:r>
      <w:r w:rsidR="00D30748" w:rsidRPr="00A75975">
        <w:rPr>
          <w:rFonts w:ascii="Times New Roman" w:hAnsi="Times New Roman" w:cs="Times New Roman"/>
          <w:lang w:val="en-US"/>
        </w:rPr>
        <w:t xml:space="preserve"> in Chapter 5</w:t>
      </w:r>
      <w:r w:rsidR="00CA4F92" w:rsidRPr="00A75975">
        <w:rPr>
          <w:rFonts w:ascii="Times New Roman" w:hAnsi="Times New Roman" w:cs="Times New Roman"/>
          <w:lang w:val="en-US"/>
        </w:rPr>
        <w:t>.</w:t>
      </w:r>
    </w:p>
    <w:p w14:paraId="3A032079" w14:textId="77777777" w:rsidR="00A53B9C" w:rsidRPr="00A75975" w:rsidRDefault="00A53B9C" w:rsidP="00A75975">
      <w:pPr>
        <w:spacing w:after="0" w:line="220" w:lineRule="atLeast"/>
        <w:ind w:firstLine="227"/>
        <w:jc w:val="both"/>
        <w:rPr>
          <w:rFonts w:ascii="Times New Roman" w:hAnsi="Times New Roman" w:cs="Times New Roman"/>
        </w:rPr>
      </w:pPr>
    </w:p>
    <w:p w14:paraId="07E54418" w14:textId="17022779" w:rsidR="009B5C9D" w:rsidRPr="00DC3B33" w:rsidRDefault="009B5C9D" w:rsidP="00A75975">
      <w:pPr>
        <w:keepNext/>
        <w:spacing w:before="230" w:after="100" w:line="220" w:lineRule="atLeast"/>
        <w:ind w:left="227" w:hanging="227"/>
        <w:rPr>
          <w:rFonts w:ascii="Times New Roman" w:hAnsi="Times New Roman" w:cs="Times New Roman"/>
          <w:i/>
        </w:rPr>
      </w:pPr>
      <w:r w:rsidRPr="00DC3B33">
        <w:rPr>
          <w:rFonts w:ascii="Times New Roman" w:hAnsi="Times New Roman" w:cs="Times New Roman"/>
          <w:i/>
        </w:rPr>
        <w:t xml:space="preserve">3.1 Tolerance Criteria for </w:t>
      </w:r>
      <w:r w:rsidR="00342312">
        <w:rPr>
          <w:rFonts w:ascii="Times New Roman" w:hAnsi="Times New Roman" w:cs="Times New Roman"/>
          <w:i/>
        </w:rPr>
        <w:t xml:space="preserve">Manned </w:t>
      </w:r>
      <w:r w:rsidRPr="00DC3B33">
        <w:rPr>
          <w:rFonts w:ascii="Times New Roman" w:hAnsi="Times New Roman" w:cs="Times New Roman"/>
          <w:i/>
        </w:rPr>
        <w:t>Offshore Installations</w:t>
      </w:r>
    </w:p>
    <w:p w14:paraId="01720452" w14:textId="77777777" w:rsidR="009B5C9D" w:rsidRDefault="009B5C9D" w:rsidP="009B5C9D">
      <w:pPr>
        <w:spacing w:after="0" w:line="220" w:lineRule="atLeast"/>
        <w:jc w:val="both"/>
        <w:rPr>
          <w:rFonts w:ascii="Times New Roman" w:hAnsi="Times New Roman" w:cs="Times New Roman"/>
          <w:lang w:val="en-US"/>
        </w:rPr>
      </w:pPr>
      <w:r w:rsidRPr="00DC3B33">
        <w:rPr>
          <w:rFonts w:ascii="Times New Roman" w:hAnsi="Times New Roman" w:cs="Times New Roman"/>
          <w:lang w:val="en-US"/>
        </w:rPr>
        <w:t>Risk Tolerance Criteria (RTC) have been discus</w:t>
      </w:r>
      <w:r w:rsidRPr="00DC3B33">
        <w:rPr>
          <w:rFonts w:ascii="Times New Roman" w:hAnsi="Times New Roman" w:cs="Times New Roman"/>
          <w:lang w:val="en-US"/>
        </w:rPr>
        <w:softHyphen/>
        <w:t xml:space="preserve">sed in the past by Hokstad et al. (2003) and </w:t>
      </w:r>
      <w:r>
        <w:rPr>
          <w:rFonts w:ascii="Times New Roman" w:hAnsi="Times New Roman" w:cs="Times New Roman"/>
          <w:lang w:val="en-US"/>
        </w:rPr>
        <w:t xml:space="preserve">the </w:t>
      </w:r>
      <w:r w:rsidRPr="00DC3B33">
        <w:rPr>
          <w:rFonts w:ascii="Times New Roman" w:hAnsi="Times New Roman" w:cs="Times New Roman"/>
          <w:lang w:val="en-US"/>
        </w:rPr>
        <w:t>Health and Safety Executive (HSE, 2001; 2003a; 2003b; 2005). An anonymous survey of RTC for Norwegian oil companies operating on the Norwegian Continental Shelf (NCS) has been carrie</w:t>
      </w:r>
      <w:r>
        <w:rPr>
          <w:rFonts w:ascii="Times New Roman" w:hAnsi="Times New Roman" w:cs="Times New Roman"/>
          <w:lang w:val="en-US"/>
        </w:rPr>
        <w:t>d</w:t>
      </w:r>
      <w:r w:rsidRPr="00DC3B33">
        <w:rPr>
          <w:rFonts w:ascii="Times New Roman" w:hAnsi="Times New Roman" w:cs="Times New Roman"/>
          <w:lang w:val="en-US"/>
        </w:rPr>
        <w:t xml:space="preserve"> out</w:t>
      </w:r>
      <w:r>
        <w:rPr>
          <w:rFonts w:ascii="Times New Roman" w:hAnsi="Times New Roman" w:cs="Times New Roman"/>
          <w:lang w:val="en-US"/>
        </w:rPr>
        <w:t xml:space="preserve"> by</w:t>
      </w:r>
      <w:r w:rsidRPr="00DC3B33">
        <w:rPr>
          <w:rFonts w:ascii="Times New Roman" w:hAnsi="Times New Roman" w:cs="Times New Roman"/>
          <w:lang w:val="en-US"/>
        </w:rPr>
        <w:t xml:space="preserve"> Vinnem </w:t>
      </w:r>
      <w:r>
        <w:rPr>
          <w:rFonts w:ascii="Times New Roman" w:hAnsi="Times New Roman" w:cs="Times New Roman"/>
          <w:lang w:val="en-US"/>
        </w:rPr>
        <w:t>and</w:t>
      </w:r>
      <w:r w:rsidRPr="00DC3B33">
        <w:rPr>
          <w:rFonts w:ascii="Times New Roman" w:hAnsi="Times New Roman" w:cs="Times New Roman"/>
          <w:lang w:val="en-US"/>
        </w:rPr>
        <w:t xml:space="preserve"> Fossan (2019).</w:t>
      </w:r>
    </w:p>
    <w:p w14:paraId="0E1C68BA" w14:textId="77777777" w:rsidR="009B5C9D" w:rsidRPr="00DC3B33" w:rsidRDefault="009B5C9D" w:rsidP="009B5C9D">
      <w:pPr>
        <w:spacing w:after="0" w:line="220" w:lineRule="atLeast"/>
        <w:jc w:val="both"/>
        <w:rPr>
          <w:rFonts w:ascii="Times New Roman" w:hAnsi="Times New Roman" w:cs="Times New Roman"/>
          <w:lang w:val="en-US"/>
        </w:rPr>
      </w:pPr>
    </w:p>
    <w:p w14:paraId="72EA5E1E" w14:textId="73BF9646" w:rsidR="009B5C9D" w:rsidRPr="00DC3B33" w:rsidRDefault="009B5C9D" w:rsidP="009B5C9D">
      <w:pPr>
        <w:spacing w:after="0" w:line="220" w:lineRule="atLeast"/>
        <w:ind w:firstLine="227"/>
        <w:jc w:val="both"/>
        <w:rPr>
          <w:rFonts w:ascii="Times New Roman" w:hAnsi="Times New Roman" w:cs="Times New Roman"/>
        </w:rPr>
      </w:pPr>
      <w:r w:rsidRPr="00DC3B33">
        <w:rPr>
          <w:rFonts w:ascii="Times New Roman" w:hAnsi="Times New Roman" w:cs="Times New Roman"/>
        </w:rPr>
        <w:fldChar w:fldCharType="begin"/>
      </w:r>
      <w:r w:rsidRPr="00DC3B33">
        <w:rPr>
          <w:rFonts w:ascii="Times New Roman" w:hAnsi="Times New Roman" w:cs="Times New Roman"/>
        </w:rPr>
        <w:instrText xml:space="preserve"> REF _Ref26422686 \h  \* MERGEFORMAT </w:instrText>
      </w:r>
      <w:r w:rsidRPr="00DC3B33">
        <w:rPr>
          <w:rFonts w:ascii="Times New Roman" w:hAnsi="Times New Roman" w:cs="Times New Roman"/>
        </w:rPr>
      </w:r>
      <w:r w:rsidRPr="00DC3B33">
        <w:rPr>
          <w:rFonts w:ascii="Times New Roman" w:hAnsi="Times New Roman" w:cs="Times New Roman"/>
        </w:rPr>
        <w:fldChar w:fldCharType="separate"/>
      </w:r>
      <w:r w:rsidR="00A96E95" w:rsidRPr="00A96E95">
        <w:rPr>
          <w:rFonts w:ascii="Times New Roman" w:hAnsi="Times New Roman" w:cs="Times New Roman"/>
        </w:rPr>
        <w:t xml:space="preserve">Table </w:t>
      </w:r>
      <w:r w:rsidR="00A96E95" w:rsidRPr="00A96E95">
        <w:rPr>
          <w:rFonts w:ascii="Times New Roman" w:hAnsi="Times New Roman" w:cs="Times New Roman"/>
          <w:noProof/>
        </w:rPr>
        <w:t>3</w:t>
      </w:r>
      <w:r w:rsidRPr="00DC3B33">
        <w:rPr>
          <w:rFonts w:ascii="Times New Roman" w:hAnsi="Times New Roman" w:cs="Times New Roman"/>
        </w:rPr>
        <w:fldChar w:fldCharType="end"/>
      </w:r>
      <w:r w:rsidRPr="00DC3B33">
        <w:rPr>
          <w:rFonts w:ascii="Times New Roman" w:hAnsi="Times New Roman" w:cs="Times New Roman"/>
        </w:rPr>
        <w:t xml:space="preserve"> shows values for eight anonymous Norwegian oil companies (NOC), and their valu</w:t>
      </w:r>
      <w:r w:rsidRPr="00DC3B33">
        <w:rPr>
          <w:rFonts w:ascii="Times New Roman" w:hAnsi="Times New Roman" w:cs="Times New Roman"/>
        </w:rPr>
        <w:softHyphen/>
        <w:t xml:space="preserve">es for average FAR and FAR for </w:t>
      </w:r>
      <w:r>
        <w:rPr>
          <w:rFonts w:ascii="Times New Roman" w:hAnsi="Times New Roman" w:cs="Times New Roman"/>
        </w:rPr>
        <w:t xml:space="preserve">the </w:t>
      </w:r>
      <w:r w:rsidRPr="00DC3B33">
        <w:rPr>
          <w:rFonts w:ascii="Times New Roman" w:hAnsi="Times New Roman" w:cs="Times New Roman"/>
        </w:rPr>
        <w:t>most exposed group</w:t>
      </w:r>
      <w:r>
        <w:rPr>
          <w:rFonts w:ascii="Times New Roman" w:hAnsi="Times New Roman" w:cs="Times New Roman"/>
        </w:rPr>
        <w:t xml:space="preserve"> on the installation</w:t>
      </w:r>
      <w:r w:rsidRPr="00DC3B33">
        <w:rPr>
          <w:rFonts w:ascii="Times New Roman" w:hAnsi="Times New Roman" w:cs="Times New Roman"/>
        </w:rPr>
        <w:t xml:space="preserve">. It is clearly shown that </w:t>
      </w:r>
      <w:r w:rsidR="007D54BF">
        <w:rPr>
          <w:rFonts w:ascii="Times New Roman" w:hAnsi="Times New Roman" w:cs="Times New Roman"/>
        </w:rPr>
        <w:t xml:space="preserve">almost </w:t>
      </w:r>
      <w:r w:rsidRPr="00DC3B33">
        <w:rPr>
          <w:rFonts w:ascii="Times New Roman" w:hAnsi="Times New Roman" w:cs="Times New Roman"/>
        </w:rPr>
        <w:t xml:space="preserve">all companies have FAR=10 as the risk tolerance limit for </w:t>
      </w:r>
      <w:r>
        <w:rPr>
          <w:rFonts w:ascii="Times New Roman" w:hAnsi="Times New Roman" w:cs="Times New Roman"/>
        </w:rPr>
        <w:t xml:space="preserve">the </w:t>
      </w:r>
      <w:r w:rsidRPr="00DC3B33">
        <w:rPr>
          <w:rFonts w:ascii="Times New Roman" w:hAnsi="Times New Roman" w:cs="Times New Roman"/>
        </w:rPr>
        <w:t>average Fatal Accident Rate (FAR)</w:t>
      </w:r>
      <w:r>
        <w:rPr>
          <w:rFonts w:ascii="Times New Roman" w:hAnsi="Times New Roman" w:cs="Times New Roman"/>
        </w:rPr>
        <w:t>, when expressed per exposure hours (sum of on-duty hours and off-duty hours on the installation and during transportation)</w:t>
      </w:r>
      <w:r w:rsidRPr="00DC3B33">
        <w:rPr>
          <w:rFonts w:ascii="Times New Roman" w:hAnsi="Times New Roman" w:cs="Times New Roman"/>
        </w:rPr>
        <w:t xml:space="preserve">. Equinor </w:t>
      </w:r>
      <w:r w:rsidR="0039346D">
        <w:rPr>
          <w:rFonts w:ascii="Times New Roman" w:hAnsi="Times New Roman" w:cs="Times New Roman"/>
        </w:rPr>
        <w:t xml:space="preserve">(the Norwegian </w:t>
      </w:r>
      <w:r w:rsidR="000B322A">
        <w:rPr>
          <w:rFonts w:ascii="Times New Roman" w:hAnsi="Times New Roman" w:cs="Times New Roman"/>
        </w:rPr>
        <w:t xml:space="preserve">energy company </w:t>
      </w:r>
      <w:r w:rsidR="001D5167">
        <w:rPr>
          <w:rFonts w:ascii="Times New Roman" w:hAnsi="Times New Roman" w:cs="Times New Roman"/>
        </w:rPr>
        <w:t>with Norwegian state as majority owner</w:t>
      </w:r>
      <w:r w:rsidR="001D5167">
        <w:rPr>
          <w:rStyle w:val="Fotnotereferanse"/>
          <w:rFonts w:ascii="Times New Roman" w:hAnsi="Times New Roman" w:cs="Times New Roman"/>
        </w:rPr>
        <w:footnoteReference w:id="2"/>
      </w:r>
      <w:r w:rsidR="001D5167">
        <w:rPr>
          <w:rFonts w:ascii="Times New Roman" w:hAnsi="Times New Roman" w:cs="Times New Roman"/>
        </w:rPr>
        <w:t xml:space="preserve">) </w:t>
      </w:r>
      <w:r w:rsidRPr="00DC3B33">
        <w:rPr>
          <w:rFonts w:ascii="Times New Roman" w:hAnsi="Times New Roman" w:cs="Times New Roman"/>
        </w:rPr>
        <w:t>is pub</w:t>
      </w:r>
      <w:r w:rsidRPr="00DC3B33">
        <w:rPr>
          <w:rFonts w:ascii="Times New Roman" w:hAnsi="Times New Roman" w:cs="Times New Roman"/>
        </w:rPr>
        <w:softHyphen/>
        <w:t xml:space="preserve">licly known for having this limit and has had the same RTC for more than 20 years (Vinnem </w:t>
      </w:r>
      <w:r>
        <w:rPr>
          <w:rFonts w:ascii="Times New Roman" w:hAnsi="Times New Roman" w:cs="Times New Roman"/>
        </w:rPr>
        <w:t xml:space="preserve">and </w:t>
      </w:r>
      <w:r w:rsidRPr="00DC3B33">
        <w:rPr>
          <w:rFonts w:ascii="Times New Roman" w:hAnsi="Times New Roman" w:cs="Times New Roman"/>
        </w:rPr>
        <w:t>Røed, 20</w:t>
      </w:r>
      <w:r>
        <w:rPr>
          <w:rFonts w:ascii="Times New Roman" w:hAnsi="Times New Roman" w:cs="Times New Roman"/>
        </w:rPr>
        <w:t>20</w:t>
      </w:r>
      <w:r w:rsidRPr="00DC3B33">
        <w:rPr>
          <w:rFonts w:ascii="Times New Roman" w:hAnsi="Times New Roman" w:cs="Times New Roman"/>
        </w:rPr>
        <w:t>).</w:t>
      </w:r>
    </w:p>
    <w:p w14:paraId="2429933B" w14:textId="77777777" w:rsidR="009B5C9D" w:rsidRDefault="009B5C9D" w:rsidP="009B5C9D">
      <w:pPr>
        <w:spacing w:after="0" w:line="220" w:lineRule="atLeast"/>
        <w:ind w:firstLine="227"/>
        <w:jc w:val="both"/>
        <w:rPr>
          <w:rFonts w:ascii="Times New Roman" w:hAnsi="Times New Roman" w:cs="Times New Roman"/>
        </w:rPr>
      </w:pPr>
    </w:p>
    <w:p w14:paraId="6A021712" w14:textId="4B00E398" w:rsidR="009B5C9D" w:rsidRDefault="009B5C9D" w:rsidP="009B5C9D">
      <w:pPr>
        <w:pStyle w:val="Bildetekst"/>
        <w:keepNext/>
        <w:spacing w:line="220" w:lineRule="atLeast"/>
        <w:jc w:val="left"/>
        <w:rPr>
          <w:b w:val="0"/>
          <w:bCs/>
        </w:rPr>
      </w:pPr>
      <w:bookmarkStart w:id="32" w:name="_Ref26422686"/>
      <w:r>
        <w:t xml:space="preserve">Table </w:t>
      </w:r>
      <w:r>
        <w:fldChar w:fldCharType="begin"/>
      </w:r>
      <w:r>
        <w:instrText xml:space="preserve"> SEQ Table \* ARABIC </w:instrText>
      </w:r>
      <w:r>
        <w:fldChar w:fldCharType="separate"/>
      </w:r>
      <w:r w:rsidR="00A96E95">
        <w:rPr>
          <w:noProof/>
        </w:rPr>
        <w:t>3</w:t>
      </w:r>
      <w:r>
        <w:fldChar w:fldCharType="end"/>
      </w:r>
      <w:bookmarkEnd w:id="32"/>
      <w:r>
        <w:t xml:space="preserve"> </w:t>
      </w:r>
      <w:r>
        <w:rPr>
          <w:b w:val="0"/>
          <w:bCs/>
        </w:rPr>
        <w:t>C</w:t>
      </w:r>
      <w:r w:rsidRPr="004649C0">
        <w:rPr>
          <w:b w:val="0"/>
          <w:bCs/>
        </w:rPr>
        <w:t>omparison of different anonymised companies’ use of</w:t>
      </w:r>
      <w:r>
        <w:t xml:space="preserve"> </w:t>
      </w:r>
      <w:r w:rsidRPr="00A01056">
        <w:rPr>
          <w:b w:val="0"/>
          <w:bCs/>
        </w:rPr>
        <w:t xml:space="preserve">RTC for individual </w:t>
      </w:r>
      <w:r>
        <w:rPr>
          <w:b w:val="0"/>
          <w:bCs/>
        </w:rPr>
        <w:t>risk</w:t>
      </w:r>
      <w:r>
        <w:t xml:space="preserve"> </w:t>
      </w:r>
      <w:r>
        <w:rPr>
          <w:b w:val="0"/>
          <w:bCs/>
        </w:rPr>
        <w:t>for offshore installations in the Norwegian sector</w:t>
      </w:r>
    </w:p>
    <w:tbl>
      <w:tblPr>
        <w:tblStyle w:val="Tabellrutenett"/>
        <w:tblW w:w="507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9"/>
        <w:gridCol w:w="992"/>
        <w:gridCol w:w="1559"/>
        <w:gridCol w:w="1560"/>
      </w:tblGrid>
      <w:tr w:rsidR="009B5C9D" w:rsidRPr="00202880" w14:paraId="201B61CD" w14:textId="77777777" w:rsidTr="00CD3B0E">
        <w:trPr>
          <w:tblHeader/>
        </w:trPr>
        <w:tc>
          <w:tcPr>
            <w:tcW w:w="959" w:type="dxa"/>
            <w:vMerge w:val="restart"/>
          </w:tcPr>
          <w:p w14:paraId="6D3C092B" w14:textId="77777777" w:rsidR="009B5C9D" w:rsidRPr="00F9577C" w:rsidRDefault="009B5C9D" w:rsidP="00CD3B0E">
            <w:pPr>
              <w:spacing w:line="220" w:lineRule="atLeast"/>
              <w:rPr>
                <w:rFonts w:ascii="Times New Roman" w:hAnsi="Times New Roman" w:cs="Times New Roman"/>
                <w:b/>
                <w:sz w:val="18"/>
                <w:szCs w:val="18"/>
                <w:lang w:val="en-GB"/>
              </w:rPr>
            </w:pPr>
            <w:r w:rsidRPr="000405E9">
              <w:rPr>
                <w:rFonts w:ascii="Times New Roman" w:hAnsi="Times New Roman" w:cs="Times New Roman"/>
                <w:b/>
                <w:sz w:val="16"/>
                <w:szCs w:val="16"/>
                <w:lang w:val="en-GB"/>
              </w:rPr>
              <w:t>Company</w:t>
            </w:r>
          </w:p>
        </w:tc>
        <w:tc>
          <w:tcPr>
            <w:tcW w:w="4111" w:type="dxa"/>
            <w:gridSpan w:val="3"/>
          </w:tcPr>
          <w:p w14:paraId="3338AB96" w14:textId="77777777" w:rsidR="009B5C9D" w:rsidRPr="00F9577C" w:rsidRDefault="009B5C9D" w:rsidP="00CD3B0E">
            <w:pPr>
              <w:spacing w:line="220" w:lineRule="atLeast"/>
              <w:jc w:val="center"/>
              <w:rPr>
                <w:rFonts w:ascii="Times New Roman" w:hAnsi="Times New Roman" w:cs="Times New Roman"/>
                <w:b/>
                <w:sz w:val="18"/>
                <w:szCs w:val="18"/>
                <w:lang w:val="en-GB"/>
              </w:rPr>
            </w:pPr>
            <w:r w:rsidRPr="00F9577C">
              <w:rPr>
                <w:rFonts w:ascii="Times New Roman" w:hAnsi="Times New Roman" w:cs="Times New Roman"/>
                <w:b/>
                <w:sz w:val="18"/>
                <w:szCs w:val="18"/>
                <w:lang w:val="en-GB"/>
              </w:rPr>
              <w:t>Individual risk tolerance limit expressed as</w:t>
            </w:r>
          </w:p>
        </w:tc>
      </w:tr>
      <w:tr w:rsidR="009B5C9D" w:rsidRPr="00202880" w14:paraId="0AC4FEAB" w14:textId="77777777" w:rsidTr="00CD3B0E">
        <w:trPr>
          <w:tblHeader/>
        </w:trPr>
        <w:tc>
          <w:tcPr>
            <w:tcW w:w="959" w:type="dxa"/>
            <w:vMerge/>
          </w:tcPr>
          <w:p w14:paraId="5583B3D0" w14:textId="77777777" w:rsidR="009B5C9D" w:rsidRPr="00F9577C" w:rsidRDefault="009B5C9D" w:rsidP="00CD3B0E">
            <w:pPr>
              <w:spacing w:line="220" w:lineRule="atLeast"/>
              <w:rPr>
                <w:rFonts w:ascii="Times New Roman" w:hAnsi="Times New Roman" w:cs="Times New Roman"/>
                <w:b/>
                <w:sz w:val="18"/>
                <w:szCs w:val="18"/>
                <w:lang w:val="en-GB"/>
              </w:rPr>
            </w:pPr>
          </w:p>
        </w:tc>
        <w:tc>
          <w:tcPr>
            <w:tcW w:w="992" w:type="dxa"/>
          </w:tcPr>
          <w:p w14:paraId="38961133" w14:textId="77777777" w:rsidR="009B5C9D" w:rsidRPr="00F9577C" w:rsidRDefault="009B5C9D" w:rsidP="00CD3B0E">
            <w:pPr>
              <w:spacing w:line="220" w:lineRule="atLeast"/>
              <w:jc w:val="center"/>
              <w:rPr>
                <w:rFonts w:ascii="Times New Roman" w:hAnsi="Times New Roman" w:cs="Times New Roman"/>
                <w:b/>
                <w:sz w:val="18"/>
                <w:szCs w:val="18"/>
                <w:lang w:val="en-GB"/>
              </w:rPr>
            </w:pPr>
            <w:r w:rsidRPr="00F9577C">
              <w:rPr>
                <w:rFonts w:ascii="Times New Roman" w:hAnsi="Times New Roman" w:cs="Times New Roman"/>
                <w:b/>
                <w:sz w:val="18"/>
                <w:szCs w:val="18"/>
                <w:lang w:val="en-GB"/>
              </w:rPr>
              <w:t>FAR</w:t>
            </w:r>
            <w:r>
              <w:rPr>
                <w:rFonts w:ascii="Times New Roman" w:hAnsi="Times New Roman" w:cs="Times New Roman"/>
                <w:b/>
                <w:sz w:val="18"/>
                <w:szCs w:val="18"/>
                <w:lang w:val="en-GB"/>
              </w:rPr>
              <w:t xml:space="preserve"> average</w:t>
            </w:r>
          </w:p>
        </w:tc>
        <w:tc>
          <w:tcPr>
            <w:tcW w:w="1559" w:type="dxa"/>
          </w:tcPr>
          <w:p w14:paraId="701E94CF" w14:textId="77777777" w:rsidR="009B5C9D" w:rsidRPr="00F9577C" w:rsidRDefault="009B5C9D" w:rsidP="00CD3B0E">
            <w:pPr>
              <w:spacing w:line="220" w:lineRule="atLeast"/>
              <w:jc w:val="center"/>
              <w:rPr>
                <w:rFonts w:ascii="Times New Roman" w:hAnsi="Times New Roman" w:cs="Times New Roman"/>
                <w:b/>
                <w:sz w:val="18"/>
                <w:szCs w:val="18"/>
                <w:lang w:val="en-GB"/>
              </w:rPr>
            </w:pPr>
            <w:r>
              <w:rPr>
                <w:rFonts w:ascii="Times New Roman" w:hAnsi="Times New Roman" w:cs="Times New Roman"/>
                <w:b/>
                <w:sz w:val="18"/>
                <w:szCs w:val="18"/>
                <w:lang w:val="en-GB"/>
              </w:rPr>
              <w:t>FAR most exposed group</w:t>
            </w:r>
          </w:p>
        </w:tc>
        <w:tc>
          <w:tcPr>
            <w:tcW w:w="1560" w:type="dxa"/>
          </w:tcPr>
          <w:p w14:paraId="603FCDBF" w14:textId="77777777" w:rsidR="009B5C9D" w:rsidRPr="00F9577C" w:rsidRDefault="009B5C9D" w:rsidP="00CD3B0E">
            <w:pPr>
              <w:spacing w:line="220" w:lineRule="atLeast"/>
              <w:jc w:val="center"/>
              <w:rPr>
                <w:rFonts w:ascii="Times New Roman" w:hAnsi="Times New Roman" w:cs="Times New Roman"/>
                <w:b/>
                <w:sz w:val="18"/>
                <w:szCs w:val="18"/>
                <w:lang w:val="en-GB"/>
              </w:rPr>
            </w:pPr>
            <w:r w:rsidRPr="00F9577C">
              <w:rPr>
                <w:rFonts w:ascii="Times New Roman" w:hAnsi="Times New Roman" w:cs="Times New Roman"/>
                <w:b/>
                <w:sz w:val="18"/>
                <w:szCs w:val="18"/>
                <w:lang w:val="en-GB"/>
              </w:rPr>
              <w:t xml:space="preserve">ALARP </w:t>
            </w:r>
            <w:r>
              <w:rPr>
                <w:rFonts w:ascii="Times New Roman" w:hAnsi="Times New Roman" w:cs="Times New Roman"/>
                <w:b/>
                <w:sz w:val="18"/>
                <w:szCs w:val="18"/>
                <w:lang w:val="en-GB"/>
              </w:rPr>
              <w:t>u</w:t>
            </w:r>
            <w:r w:rsidRPr="00F9577C">
              <w:rPr>
                <w:rFonts w:ascii="Times New Roman" w:hAnsi="Times New Roman" w:cs="Times New Roman"/>
                <w:b/>
                <w:sz w:val="18"/>
                <w:szCs w:val="18"/>
                <w:lang w:val="en-GB"/>
              </w:rPr>
              <w:t xml:space="preserve">pper </w:t>
            </w:r>
            <w:r>
              <w:rPr>
                <w:rFonts w:ascii="Times New Roman" w:hAnsi="Times New Roman" w:cs="Times New Roman"/>
                <w:b/>
                <w:sz w:val="18"/>
                <w:szCs w:val="18"/>
                <w:lang w:val="en-GB"/>
              </w:rPr>
              <w:t>t</w:t>
            </w:r>
            <w:r w:rsidRPr="00F9577C">
              <w:rPr>
                <w:rFonts w:ascii="Times New Roman" w:hAnsi="Times New Roman" w:cs="Times New Roman"/>
                <w:b/>
                <w:sz w:val="18"/>
                <w:szCs w:val="18"/>
                <w:lang w:val="en-GB"/>
              </w:rPr>
              <w:t>olerance limit</w:t>
            </w:r>
          </w:p>
        </w:tc>
      </w:tr>
      <w:tr w:rsidR="009B5C9D" w14:paraId="474E2F2B" w14:textId="77777777" w:rsidTr="00CD3B0E">
        <w:tc>
          <w:tcPr>
            <w:tcW w:w="959" w:type="dxa"/>
            <w:vAlign w:val="center"/>
          </w:tcPr>
          <w:p w14:paraId="426A9746" w14:textId="77777777" w:rsidR="009B5C9D" w:rsidRPr="00F9577C" w:rsidRDefault="009B5C9D" w:rsidP="00CD3B0E">
            <w:pPr>
              <w:spacing w:line="220" w:lineRule="atLeast"/>
              <w:rPr>
                <w:rFonts w:ascii="Times New Roman" w:hAnsi="Times New Roman" w:cs="Times New Roman"/>
                <w:sz w:val="18"/>
                <w:szCs w:val="18"/>
                <w:lang w:val="en-GB"/>
              </w:rPr>
            </w:pPr>
            <w:r w:rsidRPr="00F9577C">
              <w:rPr>
                <w:rFonts w:ascii="Times New Roman" w:hAnsi="Times New Roman" w:cs="Times New Roman"/>
                <w:sz w:val="18"/>
                <w:szCs w:val="18"/>
                <w:lang w:val="en-GB"/>
              </w:rPr>
              <w:t>NOC1</w:t>
            </w:r>
          </w:p>
        </w:tc>
        <w:tc>
          <w:tcPr>
            <w:tcW w:w="992" w:type="dxa"/>
          </w:tcPr>
          <w:p w14:paraId="0E3A3844" w14:textId="77777777" w:rsidR="009B5C9D" w:rsidRPr="00F9577C" w:rsidRDefault="009B5C9D" w:rsidP="00CD3B0E">
            <w:pPr>
              <w:spacing w:line="220" w:lineRule="atLeast"/>
              <w:jc w:val="center"/>
              <w:rPr>
                <w:rFonts w:ascii="Times New Roman" w:hAnsi="Times New Roman" w:cs="Times New Roman"/>
                <w:sz w:val="18"/>
                <w:szCs w:val="18"/>
                <w:lang w:val="en-GB"/>
              </w:rPr>
            </w:pPr>
            <w:r w:rsidRPr="00F9577C">
              <w:rPr>
                <w:rFonts w:ascii="Times New Roman" w:hAnsi="Times New Roman" w:cs="Times New Roman"/>
                <w:sz w:val="18"/>
                <w:szCs w:val="18"/>
                <w:lang w:val="en-GB"/>
              </w:rPr>
              <w:t>FAR</w:t>
            </w:r>
            <w:r w:rsidRPr="00F9577C">
              <w:rPr>
                <w:rFonts w:ascii="Times New Roman" w:hAnsi="Times New Roman" w:cs="Times New Roman"/>
                <w:sz w:val="18"/>
                <w:szCs w:val="18"/>
                <w:vertAlign w:val="subscript"/>
                <w:lang w:val="en-GB"/>
              </w:rPr>
              <w:t>av</w:t>
            </w:r>
            <w:r w:rsidRPr="00F9577C">
              <w:rPr>
                <w:rFonts w:ascii="Times New Roman" w:hAnsi="Times New Roman" w:cs="Times New Roman"/>
                <w:sz w:val="18"/>
                <w:szCs w:val="18"/>
                <w:lang w:val="en-GB"/>
              </w:rPr>
              <w:t>&lt;10</w:t>
            </w:r>
          </w:p>
        </w:tc>
        <w:tc>
          <w:tcPr>
            <w:tcW w:w="1559" w:type="dxa"/>
            <w:vAlign w:val="center"/>
          </w:tcPr>
          <w:p w14:paraId="6A8D4864" w14:textId="77777777" w:rsidR="009B5C9D" w:rsidRPr="00F9577C" w:rsidRDefault="009B5C9D" w:rsidP="00CD3B0E">
            <w:pPr>
              <w:spacing w:line="220" w:lineRule="atLeast"/>
              <w:jc w:val="center"/>
              <w:rPr>
                <w:rFonts w:ascii="Times New Roman" w:hAnsi="Times New Roman" w:cs="Times New Roman"/>
                <w:sz w:val="18"/>
                <w:szCs w:val="18"/>
                <w:lang w:val="en-GB"/>
              </w:rPr>
            </w:pPr>
            <w:r w:rsidRPr="00F9577C">
              <w:rPr>
                <w:rFonts w:ascii="Times New Roman" w:hAnsi="Times New Roman" w:cs="Times New Roman"/>
                <w:sz w:val="18"/>
                <w:szCs w:val="18"/>
                <w:lang w:val="en-GB"/>
              </w:rPr>
              <w:t>FAR</w:t>
            </w:r>
            <w:r w:rsidRPr="00F9577C">
              <w:rPr>
                <w:rFonts w:ascii="Times New Roman" w:hAnsi="Times New Roman" w:cs="Times New Roman"/>
                <w:sz w:val="18"/>
                <w:szCs w:val="18"/>
                <w:vertAlign w:val="subscript"/>
                <w:lang w:val="en-GB"/>
              </w:rPr>
              <w:t>group</w:t>
            </w:r>
            <w:r w:rsidRPr="00F9577C">
              <w:rPr>
                <w:rFonts w:ascii="Times New Roman" w:hAnsi="Times New Roman" w:cs="Times New Roman"/>
                <w:sz w:val="18"/>
                <w:szCs w:val="18"/>
                <w:lang w:val="en-GB"/>
              </w:rPr>
              <w:t>&lt;25</w:t>
            </w:r>
          </w:p>
        </w:tc>
        <w:tc>
          <w:tcPr>
            <w:tcW w:w="1560" w:type="dxa"/>
            <w:vAlign w:val="center"/>
          </w:tcPr>
          <w:p w14:paraId="491F0D4D" w14:textId="77777777" w:rsidR="009B5C9D" w:rsidRPr="00F9577C" w:rsidRDefault="009B5C9D" w:rsidP="00CD3B0E">
            <w:pPr>
              <w:spacing w:line="220" w:lineRule="atLeast"/>
              <w:jc w:val="center"/>
              <w:rPr>
                <w:rFonts w:ascii="Times New Roman" w:hAnsi="Times New Roman" w:cs="Times New Roman"/>
                <w:sz w:val="18"/>
                <w:szCs w:val="18"/>
                <w:lang w:val="en-GB"/>
              </w:rPr>
            </w:pPr>
          </w:p>
        </w:tc>
      </w:tr>
      <w:tr w:rsidR="009B5C9D" w14:paraId="6D1369A5" w14:textId="77777777" w:rsidTr="00CD3B0E">
        <w:tc>
          <w:tcPr>
            <w:tcW w:w="959" w:type="dxa"/>
            <w:vAlign w:val="center"/>
          </w:tcPr>
          <w:p w14:paraId="1D74698D" w14:textId="77777777" w:rsidR="009B5C9D" w:rsidRPr="00F9577C" w:rsidRDefault="009B5C9D" w:rsidP="00CD3B0E">
            <w:pPr>
              <w:spacing w:line="220" w:lineRule="atLeast"/>
              <w:rPr>
                <w:rFonts w:ascii="Times New Roman" w:hAnsi="Times New Roman" w:cs="Times New Roman"/>
                <w:sz w:val="18"/>
                <w:szCs w:val="18"/>
                <w:lang w:val="en-GB"/>
              </w:rPr>
            </w:pPr>
            <w:r w:rsidRPr="00F9577C">
              <w:rPr>
                <w:rFonts w:ascii="Times New Roman" w:hAnsi="Times New Roman" w:cs="Times New Roman"/>
                <w:sz w:val="18"/>
                <w:szCs w:val="18"/>
                <w:lang w:val="en-GB"/>
              </w:rPr>
              <w:t>NOC2</w:t>
            </w:r>
          </w:p>
        </w:tc>
        <w:tc>
          <w:tcPr>
            <w:tcW w:w="992" w:type="dxa"/>
          </w:tcPr>
          <w:p w14:paraId="16021367" w14:textId="77777777" w:rsidR="009B5C9D" w:rsidRPr="00F9577C" w:rsidRDefault="009B5C9D" w:rsidP="00CD3B0E">
            <w:pPr>
              <w:spacing w:line="220" w:lineRule="atLeast"/>
              <w:jc w:val="center"/>
              <w:rPr>
                <w:rFonts w:ascii="Times New Roman" w:hAnsi="Times New Roman" w:cs="Times New Roman"/>
                <w:sz w:val="18"/>
                <w:szCs w:val="18"/>
                <w:lang w:val="en-GB"/>
              </w:rPr>
            </w:pPr>
            <w:r w:rsidRPr="00F9577C">
              <w:rPr>
                <w:rFonts w:ascii="Times New Roman" w:hAnsi="Times New Roman" w:cs="Times New Roman"/>
                <w:sz w:val="18"/>
                <w:szCs w:val="18"/>
                <w:lang w:val="en-GB"/>
              </w:rPr>
              <w:t>FAR</w:t>
            </w:r>
            <w:r w:rsidRPr="00F9577C">
              <w:rPr>
                <w:rFonts w:ascii="Times New Roman" w:hAnsi="Times New Roman" w:cs="Times New Roman"/>
                <w:sz w:val="18"/>
                <w:szCs w:val="18"/>
                <w:vertAlign w:val="subscript"/>
                <w:lang w:val="en-GB"/>
              </w:rPr>
              <w:t>av</w:t>
            </w:r>
            <w:r w:rsidRPr="00F9577C">
              <w:rPr>
                <w:rFonts w:ascii="Times New Roman" w:hAnsi="Times New Roman" w:cs="Times New Roman"/>
                <w:sz w:val="18"/>
                <w:szCs w:val="18"/>
                <w:lang w:val="en-GB"/>
              </w:rPr>
              <w:t>&lt;10</w:t>
            </w:r>
          </w:p>
        </w:tc>
        <w:tc>
          <w:tcPr>
            <w:tcW w:w="1559" w:type="dxa"/>
            <w:vAlign w:val="center"/>
          </w:tcPr>
          <w:p w14:paraId="68AF0D57" w14:textId="77777777" w:rsidR="009B5C9D" w:rsidRPr="00F9577C" w:rsidRDefault="009B5C9D" w:rsidP="00CD3B0E">
            <w:pPr>
              <w:spacing w:line="220" w:lineRule="atLeast"/>
              <w:jc w:val="center"/>
              <w:rPr>
                <w:rFonts w:ascii="Times New Roman" w:hAnsi="Times New Roman" w:cs="Times New Roman"/>
                <w:sz w:val="18"/>
                <w:szCs w:val="18"/>
                <w:lang w:val="en-GB"/>
              </w:rPr>
            </w:pPr>
            <w:r w:rsidRPr="00F9577C">
              <w:rPr>
                <w:rFonts w:ascii="Times New Roman" w:hAnsi="Times New Roman" w:cs="Times New Roman"/>
                <w:sz w:val="18"/>
                <w:szCs w:val="18"/>
                <w:lang w:val="en-GB"/>
              </w:rPr>
              <w:t>FAR</w:t>
            </w:r>
            <w:r w:rsidRPr="00F9577C">
              <w:rPr>
                <w:rFonts w:ascii="Times New Roman" w:hAnsi="Times New Roman" w:cs="Times New Roman"/>
                <w:sz w:val="18"/>
                <w:szCs w:val="18"/>
                <w:vertAlign w:val="subscript"/>
                <w:lang w:val="en-GB"/>
              </w:rPr>
              <w:t>group</w:t>
            </w:r>
            <w:r w:rsidRPr="00F9577C">
              <w:rPr>
                <w:rFonts w:ascii="Times New Roman" w:hAnsi="Times New Roman" w:cs="Times New Roman"/>
                <w:sz w:val="18"/>
                <w:szCs w:val="18"/>
                <w:lang w:val="en-GB"/>
              </w:rPr>
              <w:t>&lt;2</w:t>
            </w:r>
            <w:r>
              <w:rPr>
                <w:rFonts w:ascii="Times New Roman" w:hAnsi="Times New Roman" w:cs="Times New Roman"/>
                <w:sz w:val="18"/>
                <w:szCs w:val="18"/>
                <w:lang w:val="en-GB"/>
              </w:rPr>
              <w:t>0</w:t>
            </w:r>
          </w:p>
        </w:tc>
        <w:tc>
          <w:tcPr>
            <w:tcW w:w="1560" w:type="dxa"/>
            <w:vAlign w:val="center"/>
          </w:tcPr>
          <w:p w14:paraId="1E9FA1EB" w14:textId="77777777" w:rsidR="009B5C9D" w:rsidRPr="00F9577C" w:rsidRDefault="009B5C9D" w:rsidP="00CD3B0E">
            <w:pPr>
              <w:spacing w:line="220" w:lineRule="atLeast"/>
              <w:jc w:val="center"/>
              <w:rPr>
                <w:rFonts w:ascii="Times New Roman" w:hAnsi="Times New Roman" w:cs="Times New Roman"/>
                <w:sz w:val="18"/>
                <w:szCs w:val="18"/>
                <w:lang w:val="en-GB"/>
              </w:rPr>
            </w:pPr>
          </w:p>
        </w:tc>
      </w:tr>
      <w:tr w:rsidR="009B5C9D" w14:paraId="17435B10" w14:textId="77777777" w:rsidTr="00CD3B0E">
        <w:tc>
          <w:tcPr>
            <w:tcW w:w="959" w:type="dxa"/>
            <w:vAlign w:val="center"/>
          </w:tcPr>
          <w:p w14:paraId="1CC8BE67" w14:textId="77777777" w:rsidR="009B5C9D" w:rsidRPr="00F9577C" w:rsidRDefault="009B5C9D" w:rsidP="00CD3B0E">
            <w:pPr>
              <w:spacing w:line="220" w:lineRule="atLeast"/>
              <w:rPr>
                <w:rFonts w:ascii="Times New Roman" w:hAnsi="Times New Roman" w:cs="Times New Roman"/>
                <w:sz w:val="18"/>
                <w:szCs w:val="18"/>
                <w:lang w:val="en-GB"/>
              </w:rPr>
            </w:pPr>
            <w:r w:rsidRPr="00F9577C">
              <w:rPr>
                <w:rFonts w:ascii="Times New Roman" w:hAnsi="Times New Roman" w:cs="Times New Roman"/>
                <w:sz w:val="18"/>
                <w:szCs w:val="18"/>
                <w:lang w:val="en-GB"/>
              </w:rPr>
              <w:t>NOC3</w:t>
            </w:r>
          </w:p>
        </w:tc>
        <w:tc>
          <w:tcPr>
            <w:tcW w:w="992" w:type="dxa"/>
          </w:tcPr>
          <w:p w14:paraId="5C3D38C7" w14:textId="77777777" w:rsidR="009B5C9D" w:rsidRPr="00F9577C" w:rsidRDefault="009B5C9D" w:rsidP="00CD3B0E">
            <w:pPr>
              <w:spacing w:line="220" w:lineRule="atLeast"/>
              <w:jc w:val="center"/>
              <w:rPr>
                <w:rFonts w:ascii="Times New Roman" w:hAnsi="Times New Roman" w:cs="Times New Roman"/>
                <w:sz w:val="18"/>
                <w:szCs w:val="18"/>
                <w:lang w:val="en-GB"/>
              </w:rPr>
            </w:pPr>
            <w:r w:rsidRPr="00F9577C">
              <w:rPr>
                <w:rFonts w:ascii="Times New Roman" w:hAnsi="Times New Roman" w:cs="Times New Roman"/>
                <w:sz w:val="18"/>
                <w:szCs w:val="18"/>
                <w:lang w:val="en-GB"/>
              </w:rPr>
              <w:t>FAR</w:t>
            </w:r>
            <w:r w:rsidRPr="00F9577C">
              <w:rPr>
                <w:rFonts w:ascii="Times New Roman" w:hAnsi="Times New Roman" w:cs="Times New Roman"/>
                <w:sz w:val="18"/>
                <w:szCs w:val="18"/>
                <w:vertAlign w:val="subscript"/>
                <w:lang w:val="en-GB"/>
              </w:rPr>
              <w:t>av</w:t>
            </w:r>
            <w:r w:rsidRPr="00F9577C">
              <w:rPr>
                <w:rFonts w:ascii="Times New Roman" w:hAnsi="Times New Roman" w:cs="Times New Roman"/>
                <w:sz w:val="18"/>
                <w:szCs w:val="18"/>
                <w:lang w:val="en-GB"/>
              </w:rPr>
              <w:t>&lt;10</w:t>
            </w:r>
          </w:p>
        </w:tc>
        <w:tc>
          <w:tcPr>
            <w:tcW w:w="1559" w:type="dxa"/>
            <w:vAlign w:val="center"/>
          </w:tcPr>
          <w:p w14:paraId="33B80F72" w14:textId="77777777" w:rsidR="009B5C9D" w:rsidRPr="00F9577C" w:rsidRDefault="009B5C9D" w:rsidP="00CD3B0E">
            <w:pPr>
              <w:spacing w:line="220" w:lineRule="atLeast"/>
              <w:jc w:val="center"/>
              <w:rPr>
                <w:rFonts w:ascii="Times New Roman" w:hAnsi="Times New Roman" w:cs="Times New Roman"/>
                <w:sz w:val="18"/>
                <w:szCs w:val="18"/>
                <w:lang w:val="en-GB"/>
              </w:rPr>
            </w:pPr>
            <w:r w:rsidRPr="00F9577C">
              <w:rPr>
                <w:rFonts w:ascii="Times New Roman" w:hAnsi="Times New Roman" w:cs="Times New Roman"/>
                <w:sz w:val="18"/>
                <w:szCs w:val="18"/>
                <w:lang w:val="en-GB"/>
              </w:rPr>
              <w:t>FAR</w:t>
            </w:r>
            <w:r w:rsidRPr="00F9577C">
              <w:rPr>
                <w:rFonts w:ascii="Times New Roman" w:hAnsi="Times New Roman" w:cs="Times New Roman"/>
                <w:sz w:val="18"/>
                <w:szCs w:val="18"/>
                <w:vertAlign w:val="subscript"/>
                <w:lang w:val="en-GB"/>
              </w:rPr>
              <w:t>group</w:t>
            </w:r>
            <w:r w:rsidRPr="00F9577C">
              <w:rPr>
                <w:rFonts w:ascii="Times New Roman" w:hAnsi="Times New Roman" w:cs="Times New Roman"/>
                <w:sz w:val="18"/>
                <w:szCs w:val="18"/>
                <w:lang w:val="en-GB"/>
              </w:rPr>
              <w:t>&lt;2</w:t>
            </w:r>
            <w:r>
              <w:rPr>
                <w:rFonts w:ascii="Times New Roman" w:hAnsi="Times New Roman" w:cs="Times New Roman"/>
                <w:sz w:val="18"/>
                <w:szCs w:val="18"/>
                <w:lang w:val="en-GB"/>
              </w:rPr>
              <w:t>0</w:t>
            </w:r>
          </w:p>
        </w:tc>
        <w:tc>
          <w:tcPr>
            <w:tcW w:w="1560" w:type="dxa"/>
            <w:vAlign w:val="center"/>
          </w:tcPr>
          <w:p w14:paraId="37356A7F" w14:textId="77777777" w:rsidR="009B5C9D" w:rsidRPr="00F9577C" w:rsidRDefault="009B5C9D" w:rsidP="00CD3B0E">
            <w:pPr>
              <w:spacing w:line="220" w:lineRule="atLeast"/>
              <w:jc w:val="center"/>
              <w:rPr>
                <w:rFonts w:ascii="Times New Roman" w:hAnsi="Times New Roman" w:cs="Times New Roman"/>
                <w:sz w:val="18"/>
                <w:szCs w:val="18"/>
                <w:lang w:val="en-GB"/>
              </w:rPr>
            </w:pPr>
          </w:p>
        </w:tc>
      </w:tr>
      <w:tr w:rsidR="009B5C9D" w14:paraId="2A8E0196" w14:textId="77777777" w:rsidTr="00CD3B0E">
        <w:tc>
          <w:tcPr>
            <w:tcW w:w="959" w:type="dxa"/>
            <w:vAlign w:val="center"/>
          </w:tcPr>
          <w:p w14:paraId="0E092EE3" w14:textId="77777777" w:rsidR="009B5C9D" w:rsidRPr="00F9577C" w:rsidRDefault="009B5C9D" w:rsidP="00CD3B0E">
            <w:pPr>
              <w:spacing w:line="220" w:lineRule="atLeast"/>
              <w:rPr>
                <w:rFonts w:ascii="Times New Roman" w:hAnsi="Times New Roman" w:cs="Times New Roman"/>
                <w:sz w:val="18"/>
                <w:szCs w:val="18"/>
                <w:lang w:val="en-GB"/>
              </w:rPr>
            </w:pPr>
            <w:r w:rsidRPr="00F9577C">
              <w:rPr>
                <w:rFonts w:ascii="Times New Roman" w:hAnsi="Times New Roman" w:cs="Times New Roman"/>
                <w:sz w:val="18"/>
                <w:szCs w:val="18"/>
                <w:lang w:val="en-GB"/>
              </w:rPr>
              <w:t>NOC4</w:t>
            </w:r>
          </w:p>
        </w:tc>
        <w:tc>
          <w:tcPr>
            <w:tcW w:w="992" w:type="dxa"/>
          </w:tcPr>
          <w:p w14:paraId="1158652D" w14:textId="77777777" w:rsidR="009B5C9D" w:rsidRPr="00F9577C" w:rsidRDefault="009B5C9D" w:rsidP="00CD3B0E">
            <w:pPr>
              <w:spacing w:line="220" w:lineRule="atLeast"/>
              <w:jc w:val="center"/>
              <w:rPr>
                <w:rFonts w:ascii="Times New Roman" w:hAnsi="Times New Roman" w:cs="Times New Roman"/>
                <w:sz w:val="18"/>
                <w:szCs w:val="18"/>
                <w:lang w:val="en-GB"/>
              </w:rPr>
            </w:pPr>
          </w:p>
        </w:tc>
        <w:tc>
          <w:tcPr>
            <w:tcW w:w="1559" w:type="dxa"/>
            <w:vAlign w:val="center"/>
          </w:tcPr>
          <w:p w14:paraId="072E375C" w14:textId="77777777" w:rsidR="009B5C9D" w:rsidRPr="00F9577C" w:rsidRDefault="009B5C9D" w:rsidP="00CD3B0E">
            <w:pPr>
              <w:spacing w:line="220" w:lineRule="atLeast"/>
              <w:jc w:val="center"/>
              <w:rPr>
                <w:rFonts w:ascii="Times New Roman" w:hAnsi="Times New Roman" w:cs="Times New Roman"/>
                <w:sz w:val="18"/>
                <w:szCs w:val="18"/>
                <w:lang w:val="en-GB"/>
              </w:rPr>
            </w:pPr>
          </w:p>
        </w:tc>
        <w:tc>
          <w:tcPr>
            <w:tcW w:w="1560" w:type="dxa"/>
            <w:vAlign w:val="center"/>
          </w:tcPr>
          <w:p w14:paraId="130E66E4" w14:textId="77777777" w:rsidR="009B5C9D" w:rsidRPr="00F9577C" w:rsidRDefault="009B5C9D" w:rsidP="00CD3B0E">
            <w:pPr>
              <w:spacing w:line="220" w:lineRule="atLeast"/>
              <w:jc w:val="center"/>
              <w:rPr>
                <w:rFonts w:ascii="Times New Roman" w:hAnsi="Times New Roman" w:cs="Times New Roman"/>
                <w:sz w:val="18"/>
                <w:szCs w:val="18"/>
                <w:lang w:val="en-GB"/>
              </w:rPr>
            </w:pPr>
            <w:r w:rsidRPr="00F9577C">
              <w:rPr>
                <w:rFonts w:ascii="Times New Roman" w:hAnsi="Times New Roman" w:cs="Times New Roman"/>
                <w:sz w:val="18"/>
                <w:szCs w:val="18"/>
                <w:lang w:val="en-GB"/>
              </w:rPr>
              <w:t>10</w:t>
            </w:r>
            <w:r w:rsidRPr="00F9577C">
              <w:rPr>
                <w:rFonts w:ascii="Times New Roman" w:hAnsi="Times New Roman" w:cs="Times New Roman"/>
                <w:sz w:val="18"/>
                <w:szCs w:val="18"/>
                <w:vertAlign w:val="superscript"/>
                <w:lang w:val="en-GB"/>
              </w:rPr>
              <w:t>-3</w:t>
            </w:r>
            <w:r w:rsidRPr="00F9577C">
              <w:rPr>
                <w:rFonts w:ascii="Times New Roman" w:hAnsi="Times New Roman" w:cs="Times New Roman"/>
                <w:sz w:val="18"/>
                <w:szCs w:val="18"/>
                <w:lang w:val="en-GB"/>
              </w:rPr>
              <w:t>/yr</w:t>
            </w:r>
          </w:p>
        </w:tc>
      </w:tr>
      <w:tr w:rsidR="009B5C9D" w14:paraId="38BF3AA5" w14:textId="77777777" w:rsidTr="00CD3B0E">
        <w:tc>
          <w:tcPr>
            <w:tcW w:w="959" w:type="dxa"/>
            <w:vAlign w:val="center"/>
          </w:tcPr>
          <w:p w14:paraId="24DF9948" w14:textId="77777777" w:rsidR="009B5C9D" w:rsidRPr="00F9577C" w:rsidRDefault="009B5C9D" w:rsidP="00CD3B0E">
            <w:pPr>
              <w:spacing w:line="220" w:lineRule="atLeast"/>
              <w:rPr>
                <w:rFonts w:ascii="Times New Roman" w:hAnsi="Times New Roman" w:cs="Times New Roman"/>
                <w:sz w:val="18"/>
                <w:szCs w:val="18"/>
                <w:lang w:val="en-GB"/>
              </w:rPr>
            </w:pPr>
            <w:r w:rsidRPr="00F9577C">
              <w:rPr>
                <w:rFonts w:ascii="Times New Roman" w:hAnsi="Times New Roman" w:cs="Times New Roman"/>
                <w:sz w:val="18"/>
                <w:szCs w:val="18"/>
                <w:lang w:val="en-GB"/>
              </w:rPr>
              <w:t>NOC5</w:t>
            </w:r>
          </w:p>
        </w:tc>
        <w:tc>
          <w:tcPr>
            <w:tcW w:w="992" w:type="dxa"/>
          </w:tcPr>
          <w:p w14:paraId="31082511" w14:textId="77777777" w:rsidR="009B5C9D" w:rsidRPr="00F9577C" w:rsidRDefault="009B5C9D" w:rsidP="00CD3B0E">
            <w:pPr>
              <w:spacing w:line="220" w:lineRule="atLeast"/>
              <w:jc w:val="center"/>
              <w:rPr>
                <w:rFonts w:ascii="Times New Roman" w:hAnsi="Times New Roman" w:cs="Times New Roman"/>
                <w:sz w:val="18"/>
                <w:szCs w:val="18"/>
                <w:lang w:val="en-GB"/>
              </w:rPr>
            </w:pPr>
            <w:r w:rsidRPr="00F9577C">
              <w:rPr>
                <w:rFonts w:ascii="Times New Roman" w:hAnsi="Times New Roman" w:cs="Times New Roman"/>
                <w:sz w:val="18"/>
                <w:szCs w:val="18"/>
                <w:lang w:val="en-GB"/>
              </w:rPr>
              <w:t>FAR</w:t>
            </w:r>
            <w:r w:rsidRPr="00F9577C">
              <w:rPr>
                <w:rFonts w:ascii="Times New Roman" w:hAnsi="Times New Roman" w:cs="Times New Roman"/>
                <w:sz w:val="18"/>
                <w:szCs w:val="18"/>
                <w:vertAlign w:val="subscript"/>
                <w:lang w:val="en-GB"/>
              </w:rPr>
              <w:t>av</w:t>
            </w:r>
            <w:r w:rsidRPr="00F9577C">
              <w:rPr>
                <w:rFonts w:ascii="Times New Roman" w:hAnsi="Times New Roman" w:cs="Times New Roman"/>
                <w:sz w:val="18"/>
                <w:szCs w:val="18"/>
                <w:lang w:val="en-GB"/>
              </w:rPr>
              <w:t>&lt;10</w:t>
            </w:r>
          </w:p>
        </w:tc>
        <w:tc>
          <w:tcPr>
            <w:tcW w:w="1559" w:type="dxa"/>
            <w:vAlign w:val="center"/>
          </w:tcPr>
          <w:p w14:paraId="2082C2B6" w14:textId="77777777" w:rsidR="009B5C9D" w:rsidRPr="00F9577C" w:rsidRDefault="009B5C9D" w:rsidP="00CD3B0E">
            <w:pPr>
              <w:spacing w:line="220" w:lineRule="atLeast"/>
              <w:jc w:val="center"/>
              <w:rPr>
                <w:rFonts w:ascii="Times New Roman" w:hAnsi="Times New Roman" w:cs="Times New Roman"/>
                <w:sz w:val="18"/>
                <w:szCs w:val="18"/>
                <w:lang w:val="en-GB"/>
              </w:rPr>
            </w:pPr>
            <w:r w:rsidRPr="00F9577C">
              <w:rPr>
                <w:rFonts w:ascii="Times New Roman" w:hAnsi="Times New Roman" w:cs="Times New Roman"/>
                <w:sz w:val="18"/>
                <w:szCs w:val="18"/>
                <w:lang w:val="en-GB"/>
              </w:rPr>
              <w:t>FAR</w:t>
            </w:r>
            <w:r w:rsidRPr="00F9577C">
              <w:rPr>
                <w:rFonts w:ascii="Times New Roman" w:hAnsi="Times New Roman" w:cs="Times New Roman"/>
                <w:sz w:val="18"/>
                <w:szCs w:val="18"/>
                <w:vertAlign w:val="subscript"/>
                <w:lang w:val="en-GB"/>
              </w:rPr>
              <w:t>group</w:t>
            </w:r>
            <w:r w:rsidRPr="00F9577C">
              <w:rPr>
                <w:rFonts w:ascii="Times New Roman" w:hAnsi="Times New Roman" w:cs="Times New Roman"/>
                <w:sz w:val="18"/>
                <w:szCs w:val="18"/>
                <w:lang w:val="en-GB"/>
              </w:rPr>
              <w:t>&lt;2</w:t>
            </w:r>
            <w:r>
              <w:rPr>
                <w:rFonts w:ascii="Times New Roman" w:hAnsi="Times New Roman" w:cs="Times New Roman"/>
                <w:sz w:val="18"/>
                <w:szCs w:val="18"/>
                <w:lang w:val="en-GB"/>
              </w:rPr>
              <w:t>0</w:t>
            </w:r>
          </w:p>
        </w:tc>
        <w:tc>
          <w:tcPr>
            <w:tcW w:w="1560" w:type="dxa"/>
            <w:vAlign w:val="center"/>
          </w:tcPr>
          <w:p w14:paraId="5374892C" w14:textId="77777777" w:rsidR="009B5C9D" w:rsidRPr="00F9577C" w:rsidRDefault="009B5C9D" w:rsidP="00CD3B0E">
            <w:pPr>
              <w:spacing w:line="220" w:lineRule="atLeast"/>
              <w:jc w:val="center"/>
              <w:rPr>
                <w:rFonts w:ascii="Times New Roman" w:hAnsi="Times New Roman" w:cs="Times New Roman"/>
                <w:sz w:val="18"/>
                <w:szCs w:val="18"/>
                <w:lang w:val="en-GB"/>
              </w:rPr>
            </w:pPr>
          </w:p>
        </w:tc>
      </w:tr>
      <w:tr w:rsidR="009B5C9D" w14:paraId="156DFE93" w14:textId="77777777" w:rsidTr="00CD3B0E">
        <w:tc>
          <w:tcPr>
            <w:tcW w:w="959" w:type="dxa"/>
            <w:vAlign w:val="center"/>
          </w:tcPr>
          <w:p w14:paraId="1B39A7BB" w14:textId="77777777" w:rsidR="009B5C9D" w:rsidRPr="00F9577C" w:rsidRDefault="009B5C9D" w:rsidP="00CD3B0E">
            <w:pPr>
              <w:spacing w:line="220" w:lineRule="atLeast"/>
              <w:rPr>
                <w:rFonts w:ascii="Times New Roman" w:hAnsi="Times New Roman" w:cs="Times New Roman"/>
                <w:sz w:val="18"/>
                <w:szCs w:val="18"/>
                <w:highlight w:val="yellow"/>
                <w:lang w:val="en-GB"/>
              </w:rPr>
            </w:pPr>
            <w:r w:rsidRPr="00F9577C">
              <w:rPr>
                <w:rFonts w:ascii="Times New Roman" w:hAnsi="Times New Roman" w:cs="Times New Roman"/>
                <w:sz w:val="18"/>
                <w:szCs w:val="18"/>
                <w:lang w:val="en-GB"/>
              </w:rPr>
              <w:t>NOC6</w:t>
            </w:r>
          </w:p>
        </w:tc>
        <w:tc>
          <w:tcPr>
            <w:tcW w:w="992" w:type="dxa"/>
          </w:tcPr>
          <w:p w14:paraId="0DE477F8" w14:textId="77777777" w:rsidR="009B5C9D" w:rsidRPr="00F9577C" w:rsidRDefault="009B5C9D" w:rsidP="00CD3B0E">
            <w:pPr>
              <w:spacing w:line="220" w:lineRule="atLeast"/>
              <w:jc w:val="center"/>
              <w:rPr>
                <w:rFonts w:ascii="Times New Roman" w:hAnsi="Times New Roman" w:cs="Times New Roman"/>
                <w:sz w:val="18"/>
                <w:szCs w:val="18"/>
                <w:lang w:val="en-GB"/>
              </w:rPr>
            </w:pPr>
            <w:r w:rsidRPr="00F9577C">
              <w:rPr>
                <w:rFonts w:ascii="Times New Roman" w:hAnsi="Times New Roman" w:cs="Times New Roman"/>
                <w:sz w:val="18"/>
                <w:szCs w:val="18"/>
                <w:lang w:val="en-GB"/>
              </w:rPr>
              <w:t>FAR</w:t>
            </w:r>
            <w:r w:rsidRPr="00F9577C">
              <w:rPr>
                <w:rFonts w:ascii="Times New Roman" w:hAnsi="Times New Roman" w:cs="Times New Roman"/>
                <w:sz w:val="18"/>
                <w:szCs w:val="18"/>
                <w:vertAlign w:val="subscript"/>
                <w:lang w:val="en-GB"/>
              </w:rPr>
              <w:t>av</w:t>
            </w:r>
            <w:r w:rsidRPr="00F9577C">
              <w:rPr>
                <w:rFonts w:ascii="Times New Roman" w:hAnsi="Times New Roman" w:cs="Times New Roman"/>
                <w:sz w:val="18"/>
                <w:szCs w:val="18"/>
                <w:lang w:val="en-GB"/>
              </w:rPr>
              <w:t>&lt;10</w:t>
            </w:r>
          </w:p>
        </w:tc>
        <w:tc>
          <w:tcPr>
            <w:tcW w:w="1559" w:type="dxa"/>
            <w:vAlign w:val="center"/>
          </w:tcPr>
          <w:p w14:paraId="10DB2011" w14:textId="77777777" w:rsidR="009B5C9D" w:rsidRPr="00F9577C" w:rsidRDefault="009B5C9D" w:rsidP="00CD3B0E">
            <w:pPr>
              <w:spacing w:line="220" w:lineRule="atLeast"/>
              <w:jc w:val="center"/>
              <w:rPr>
                <w:rFonts w:ascii="Times New Roman" w:hAnsi="Times New Roman" w:cs="Times New Roman"/>
                <w:sz w:val="18"/>
                <w:szCs w:val="18"/>
                <w:lang w:val="en-GB"/>
              </w:rPr>
            </w:pPr>
            <w:r w:rsidRPr="00F9577C">
              <w:rPr>
                <w:rFonts w:ascii="Times New Roman" w:hAnsi="Times New Roman" w:cs="Times New Roman"/>
                <w:sz w:val="18"/>
                <w:szCs w:val="18"/>
                <w:lang w:val="en-GB"/>
              </w:rPr>
              <w:t>FAR</w:t>
            </w:r>
            <w:r w:rsidRPr="00F9577C">
              <w:rPr>
                <w:rFonts w:ascii="Times New Roman" w:hAnsi="Times New Roman" w:cs="Times New Roman"/>
                <w:sz w:val="18"/>
                <w:szCs w:val="18"/>
                <w:vertAlign w:val="subscript"/>
                <w:lang w:val="en-GB"/>
              </w:rPr>
              <w:t>group</w:t>
            </w:r>
            <w:r w:rsidRPr="00F9577C">
              <w:rPr>
                <w:rFonts w:ascii="Times New Roman" w:hAnsi="Times New Roman" w:cs="Times New Roman"/>
                <w:sz w:val="18"/>
                <w:szCs w:val="18"/>
                <w:lang w:val="en-GB"/>
              </w:rPr>
              <w:t>&lt;2</w:t>
            </w:r>
            <w:r>
              <w:rPr>
                <w:rFonts w:ascii="Times New Roman" w:hAnsi="Times New Roman" w:cs="Times New Roman"/>
                <w:sz w:val="18"/>
                <w:szCs w:val="18"/>
                <w:lang w:val="en-GB"/>
              </w:rPr>
              <w:t>0</w:t>
            </w:r>
          </w:p>
        </w:tc>
        <w:tc>
          <w:tcPr>
            <w:tcW w:w="1560" w:type="dxa"/>
            <w:vAlign w:val="center"/>
          </w:tcPr>
          <w:p w14:paraId="4169DDC7" w14:textId="77777777" w:rsidR="009B5C9D" w:rsidRPr="00F9577C" w:rsidRDefault="009B5C9D" w:rsidP="00CD3B0E">
            <w:pPr>
              <w:spacing w:line="220" w:lineRule="atLeast"/>
              <w:jc w:val="center"/>
              <w:rPr>
                <w:rFonts w:ascii="Times New Roman" w:hAnsi="Times New Roman" w:cs="Times New Roman"/>
                <w:sz w:val="18"/>
                <w:szCs w:val="18"/>
                <w:lang w:val="en-GB"/>
              </w:rPr>
            </w:pPr>
          </w:p>
        </w:tc>
      </w:tr>
      <w:tr w:rsidR="009B5C9D" w:rsidRPr="00B72E57" w14:paraId="559DCBC4" w14:textId="77777777" w:rsidTr="00CD3B0E">
        <w:tc>
          <w:tcPr>
            <w:tcW w:w="959" w:type="dxa"/>
            <w:vAlign w:val="center"/>
          </w:tcPr>
          <w:p w14:paraId="37CC1ABB" w14:textId="77777777" w:rsidR="009B5C9D" w:rsidRPr="00F9577C" w:rsidRDefault="009B5C9D" w:rsidP="00CD3B0E">
            <w:pPr>
              <w:spacing w:line="220" w:lineRule="atLeast"/>
              <w:rPr>
                <w:rFonts w:ascii="Times New Roman" w:hAnsi="Times New Roman" w:cs="Times New Roman"/>
                <w:sz w:val="18"/>
                <w:szCs w:val="18"/>
                <w:lang w:val="en-GB"/>
              </w:rPr>
            </w:pPr>
            <w:r w:rsidRPr="00F9577C">
              <w:rPr>
                <w:rFonts w:ascii="Times New Roman" w:hAnsi="Times New Roman" w:cs="Times New Roman"/>
                <w:sz w:val="18"/>
                <w:szCs w:val="18"/>
                <w:lang w:val="en-GB"/>
              </w:rPr>
              <w:t>NOC7</w:t>
            </w:r>
          </w:p>
        </w:tc>
        <w:tc>
          <w:tcPr>
            <w:tcW w:w="992" w:type="dxa"/>
          </w:tcPr>
          <w:p w14:paraId="2C2A3CCB" w14:textId="77777777" w:rsidR="009B5C9D" w:rsidRPr="00F9577C" w:rsidRDefault="009B5C9D" w:rsidP="00CD3B0E">
            <w:pPr>
              <w:spacing w:line="220" w:lineRule="atLeast"/>
              <w:jc w:val="center"/>
              <w:rPr>
                <w:rFonts w:ascii="Times New Roman" w:hAnsi="Times New Roman" w:cs="Times New Roman"/>
                <w:sz w:val="18"/>
                <w:szCs w:val="18"/>
                <w:lang w:val="en-GB"/>
              </w:rPr>
            </w:pPr>
          </w:p>
        </w:tc>
        <w:tc>
          <w:tcPr>
            <w:tcW w:w="1559" w:type="dxa"/>
            <w:vAlign w:val="center"/>
          </w:tcPr>
          <w:p w14:paraId="6B6B0ECF" w14:textId="77777777" w:rsidR="009B5C9D" w:rsidRPr="00F9577C" w:rsidRDefault="009B5C9D" w:rsidP="00CD3B0E">
            <w:pPr>
              <w:spacing w:line="220" w:lineRule="atLeast"/>
              <w:jc w:val="center"/>
              <w:rPr>
                <w:rFonts w:ascii="Times New Roman" w:hAnsi="Times New Roman" w:cs="Times New Roman"/>
                <w:sz w:val="18"/>
                <w:szCs w:val="18"/>
                <w:lang w:val="en-GB"/>
              </w:rPr>
            </w:pPr>
            <w:r w:rsidRPr="00F9577C">
              <w:rPr>
                <w:rFonts w:ascii="Times New Roman" w:hAnsi="Times New Roman" w:cs="Times New Roman"/>
                <w:sz w:val="18"/>
                <w:szCs w:val="18"/>
                <w:lang w:val="en-GB"/>
              </w:rPr>
              <w:t>(incl</w:t>
            </w:r>
            <w:r>
              <w:rPr>
                <w:rFonts w:ascii="Times New Roman" w:hAnsi="Times New Roman" w:cs="Times New Roman"/>
                <w:sz w:val="18"/>
                <w:szCs w:val="18"/>
                <w:lang w:val="en-GB"/>
              </w:rPr>
              <w:t xml:space="preserve">uded </w:t>
            </w:r>
            <w:r w:rsidRPr="00F9577C">
              <w:rPr>
                <w:rFonts w:ascii="Times New Roman" w:hAnsi="Times New Roman" w:cs="Times New Roman"/>
                <w:sz w:val="18"/>
                <w:szCs w:val="18"/>
                <w:lang w:val="en-GB"/>
              </w:rPr>
              <w:t>in ALARP)</w:t>
            </w:r>
          </w:p>
        </w:tc>
        <w:tc>
          <w:tcPr>
            <w:tcW w:w="1560" w:type="dxa"/>
            <w:vAlign w:val="center"/>
          </w:tcPr>
          <w:p w14:paraId="05241DF4" w14:textId="77777777" w:rsidR="009B5C9D" w:rsidRPr="00093B9D" w:rsidRDefault="009B5C9D" w:rsidP="00CD3B0E">
            <w:pPr>
              <w:spacing w:line="220" w:lineRule="atLeast"/>
              <w:jc w:val="center"/>
              <w:rPr>
                <w:rFonts w:ascii="Times New Roman" w:hAnsi="Times New Roman" w:cs="Times New Roman"/>
                <w:sz w:val="18"/>
                <w:szCs w:val="18"/>
                <w:lang w:val="en-GB"/>
              </w:rPr>
            </w:pPr>
            <w:r w:rsidRPr="00093B9D">
              <w:rPr>
                <w:rFonts w:ascii="Times New Roman" w:hAnsi="Times New Roman" w:cs="Times New Roman"/>
                <w:sz w:val="18"/>
                <w:szCs w:val="18"/>
                <w:lang w:val="en-GB"/>
              </w:rPr>
              <w:t>10</w:t>
            </w:r>
            <w:r w:rsidRPr="00093B9D">
              <w:rPr>
                <w:rFonts w:ascii="Times New Roman" w:hAnsi="Times New Roman" w:cs="Times New Roman"/>
                <w:sz w:val="18"/>
                <w:szCs w:val="18"/>
                <w:vertAlign w:val="superscript"/>
                <w:lang w:val="en-GB"/>
              </w:rPr>
              <w:t>-3</w:t>
            </w:r>
            <w:r w:rsidRPr="00093B9D">
              <w:rPr>
                <w:rFonts w:ascii="Times New Roman" w:hAnsi="Times New Roman" w:cs="Times New Roman"/>
                <w:sz w:val="18"/>
                <w:szCs w:val="18"/>
                <w:lang w:val="en-GB"/>
              </w:rPr>
              <w:t>/yr (av./ most exposed group)</w:t>
            </w:r>
          </w:p>
        </w:tc>
      </w:tr>
      <w:tr w:rsidR="009B5C9D" w14:paraId="744DED33" w14:textId="77777777" w:rsidTr="00CD3B0E">
        <w:tc>
          <w:tcPr>
            <w:tcW w:w="959" w:type="dxa"/>
            <w:vAlign w:val="center"/>
          </w:tcPr>
          <w:p w14:paraId="219F0BE6" w14:textId="77777777" w:rsidR="009B5C9D" w:rsidRPr="00F9577C" w:rsidRDefault="009B5C9D" w:rsidP="00CD3B0E">
            <w:pPr>
              <w:spacing w:line="220" w:lineRule="atLeast"/>
              <w:rPr>
                <w:rFonts w:ascii="Times New Roman" w:hAnsi="Times New Roman" w:cs="Times New Roman"/>
                <w:sz w:val="18"/>
                <w:szCs w:val="18"/>
                <w:highlight w:val="yellow"/>
                <w:lang w:val="en-GB"/>
              </w:rPr>
            </w:pPr>
            <w:r w:rsidRPr="00F9577C">
              <w:rPr>
                <w:rFonts w:ascii="Times New Roman" w:hAnsi="Times New Roman" w:cs="Times New Roman"/>
                <w:sz w:val="18"/>
                <w:szCs w:val="18"/>
                <w:lang w:val="en-GB"/>
              </w:rPr>
              <w:t>NOC8</w:t>
            </w:r>
          </w:p>
        </w:tc>
        <w:tc>
          <w:tcPr>
            <w:tcW w:w="992" w:type="dxa"/>
          </w:tcPr>
          <w:p w14:paraId="6D984D65" w14:textId="77777777" w:rsidR="009B5C9D" w:rsidRPr="00F9577C" w:rsidRDefault="009B5C9D" w:rsidP="00CD3B0E">
            <w:pPr>
              <w:spacing w:line="220" w:lineRule="atLeast"/>
              <w:jc w:val="center"/>
              <w:rPr>
                <w:rFonts w:ascii="Times New Roman" w:hAnsi="Times New Roman" w:cs="Times New Roman"/>
                <w:sz w:val="18"/>
                <w:szCs w:val="18"/>
                <w:lang w:val="en-GB"/>
              </w:rPr>
            </w:pPr>
            <w:r w:rsidRPr="00F9577C">
              <w:rPr>
                <w:rFonts w:ascii="Times New Roman" w:hAnsi="Times New Roman" w:cs="Times New Roman"/>
                <w:sz w:val="18"/>
                <w:szCs w:val="18"/>
                <w:lang w:val="en-GB"/>
              </w:rPr>
              <w:t>FAR</w:t>
            </w:r>
            <w:r w:rsidRPr="00F9577C">
              <w:rPr>
                <w:rFonts w:ascii="Times New Roman" w:hAnsi="Times New Roman" w:cs="Times New Roman"/>
                <w:sz w:val="18"/>
                <w:szCs w:val="18"/>
                <w:vertAlign w:val="subscript"/>
                <w:lang w:val="en-GB"/>
              </w:rPr>
              <w:t>av</w:t>
            </w:r>
            <w:r w:rsidRPr="00F9577C">
              <w:rPr>
                <w:rFonts w:ascii="Times New Roman" w:hAnsi="Times New Roman" w:cs="Times New Roman"/>
                <w:sz w:val="18"/>
                <w:szCs w:val="18"/>
                <w:lang w:val="en-GB"/>
              </w:rPr>
              <w:t>&lt;10</w:t>
            </w:r>
          </w:p>
        </w:tc>
        <w:tc>
          <w:tcPr>
            <w:tcW w:w="1559" w:type="dxa"/>
            <w:vAlign w:val="center"/>
          </w:tcPr>
          <w:p w14:paraId="06DE098A" w14:textId="77777777" w:rsidR="009B5C9D" w:rsidRPr="00F9577C" w:rsidRDefault="009B5C9D" w:rsidP="00CD3B0E">
            <w:pPr>
              <w:spacing w:line="220" w:lineRule="atLeast"/>
              <w:jc w:val="center"/>
              <w:rPr>
                <w:rFonts w:ascii="Times New Roman" w:hAnsi="Times New Roman" w:cs="Times New Roman"/>
                <w:sz w:val="18"/>
                <w:szCs w:val="18"/>
                <w:lang w:val="en-GB"/>
              </w:rPr>
            </w:pPr>
          </w:p>
        </w:tc>
        <w:tc>
          <w:tcPr>
            <w:tcW w:w="1560" w:type="dxa"/>
            <w:vAlign w:val="center"/>
          </w:tcPr>
          <w:p w14:paraId="0F20B1B4" w14:textId="77777777" w:rsidR="009B5C9D" w:rsidRPr="00F9577C" w:rsidRDefault="009B5C9D" w:rsidP="00CD3B0E">
            <w:pPr>
              <w:spacing w:line="220" w:lineRule="atLeast"/>
              <w:jc w:val="center"/>
              <w:rPr>
                <w:rFonts w:ascii="Times New Roman" w:hAnsi="Times New Roman" w:cs="Times New Roman"/>
                <w:sz w:val="18"/>
                <w:szCs w:val="18"/>
                <w:lang w:val="en-GB"/>
              </w:rPr>
            </w:pPr>
          </w:p>
        </w:tc>
      </w:tr>
    </w:tbl>
    <w:p w14:paraId="6C91C12D" w14:textId="3B60F71A" w:rsidR="009B5C9D" w:rsidRDefault="009B5C9D" w:rsidP="009B5C9D">
      <w:pPr>
        <w:spacing w:after="0" w:line="220" w:lineRule="atLeast"/>
        <w:ind w:firstLine="227"/>
        <w:jc w:val="both"/>
        <w:rPr>
          <w:rFonts w:ascii="Times New Roman" w:hAnsi="Times New Roman" w:cs="Times New Roman"/>
        </w:rPr>
      </w:pPr>
    </w:p>
    <w:p w14:paraId="6C93A236" w14:textId="77777777" w:rsidR="00E54F88" w:rsidRPr="00A75975" w:rsidRDefault="00E54F88" w:rsidP="00A75975">
      <w:pPr>
        <w:spacing w:after="0" w:line="220" w:lineRule="atLeast"/>
        <w:ind w:firstLine="227"/>
        <w:jc w:val="both"/>
        <w:rPr>
          <w:rFonts w:ascii="Times New Roman" w:hAnsi="Times New Roman" w:cs="Times New Roman"/>
        </w:rPr>
      </w:pPr>
      <w:r w:rsidRPr="00A75975">
        <w:rPr>
          <w:rFonts w:ascii="Times New Roman" w:hAnsi="Times New Roman" w:cs="Times New Roman"/>
        </w:rPr>
        <w:t>There is a regulatory requirement (PSA, 2019a) for operators and owners of offshore instal</w:t>
      </w:r>
      <w:r w:rsidRPr="00A75975">
        <w:rPr>
          <w:rFonts w:ascii="Times New Roman" w:hAnsi="Times New Roman" w:cs="Times New Roman"/>
        </w:rPr>
        <w:softHyphen/>
        <w:t>lations on NCS to seek additional risk-reducing measures once the RTC are complied with, a process normally referred to as an ALARP process or ALARP evaluation. This require</w:t>
      </w:r>
      <w:r w:rsidRPr="00A75975">
        <w:rPr>
          <w:rFonts w:ascii="Times New Roman" w:hAnsi="Times New Roman" w:cs="Times New Roman"/>
        </w:rPr>
        <w:softHyphen/>
        <w:t>ment is often interpreted in practice as a relatively ‘narrow-minded’ cost‒benefit calculation, where certain investments in risk-reduction actions with well-defined cost estima</w:t>
      </w:r>
      <w:r w:rsidRPr="00A75975">
        <w:rPr>
          <w:rFonts w:ascii="Times New Roman" w:hAnsi="Times New Roman" w:cs="Times New Roman"/>
        </w:rPr>
        <w:softHyphen/>
        <w:t>tes are compared with uncertain reduced accident costs (benefits), in the case of an accident. Thus, the data basis for the benefits is very limited, and will be quite dependent on assump</w:t>
      </w:r>
      <w:r w:rsidRPr="00A75975">
        <w:rPr>
          <w:rFonts w:ascii="Times New Roman" w:hAnsi="Times New Roman" w:cs="Times New Roman"/>
        </w:rPr>
        <w:softHyphen/>
        <w:t>tions and subjective evaluations. The virtual absence of data about changes in accident costs gives ample opportunities for unconscious and conscious manipulation of cost‒benefit calculations. There are very few cases known where such ALARP evaluations have resulted in decisions in favour of further risk reductions.</w:t>
      </w:r>
    </w:p>
    <w:p w14:paraId="76C2F3FD" w14:textId="77777777" w:rsidR="00E54F88" w:rsidRDefault="00E54F88" w:rsidP="00E54F88">
      <w:pPr>
        <w:spacing w:after="0" w:line="220" w:lineRule="atLeast"/>
        <w:ind w:firstLine="227"/>
        <w:jc w:val="both"/>
        <w:rPr>
          <w:rFonts w:ascii="Times New Roman" w:hAnsi="Times New Roman" w:cs="Times New Roman"/>
        </w:rPr>
      </w:pPr>
    </w:p>
    <w:p w14:paraId="30173336" w14:textId="77777777" w:rsidR="00E54F88" w:rsidRPr="00647D01" w:rsidRDefault="00E54F88" w:rsidP="00E54F88">
      <w:pPr>
        <w:spacing w:after="0" w:line="220" w:lineRule="atLeast"/>
        <w:ind w:firstLine="227"/>
        <w:jc w:val="both"/>
        <w:rPr>
          <w:rFonts w:ascii="Times New Roman" w:hAnsi="Times New Roman" w:cs="Times New Roman"/>
        </w:rPr>
      </w:pPr>
      <w:r w:rsidRPr="00647D01">
        <w:rPr>
          <w:rFonts w:ascii="Times New Roman" w:hAnsi="Times New Roman" w:cs="Times New Roman"/>
        </w:rPr>
        <w:t>ALARP evaluations should have an equally important qualitative component, not only a quantitative assessment, in accordance with Vinnem et al. (2006)</w:t>
      </w:r>
      <w:r>
        <w:rPr>
          <w:rFonts w:ascii="Times New Roman" w:hAnsi="Times New Roman" w:cs="Times New Roman"/>
        </w:rPr>
        <w:t xml:space="preserve"> and Aven </w:t>
      </w:r>
      <w:r w:rsidRPr="00647D01">
        <w:rPr>
          <w:rFonts w:ascii="Times New Roman" w:hAnsi="Times New Roman" w:cs="Times New Roman"/>
        </w:rPr>
        <w:t xml:space="preserve">et al. (2006). But this is often a challenge to achieve, </w:t>
      </w:r>
      <w:r>
        <w:rPr>
          <w:rFonts w:ascii="Times New Roman" w:hAnsi="Times New Roman" w:cs="Times New Roman"/>
        </w:rPr>
        <w:t xml:space="preserve">as </w:t>
      </w:r>
      <w:r w:rsidRPr="00647D01">
        <w:rPr>
          <w:rFonts w:ascii="Times New Roman" w:hAnsi="Times New Roman" w:cs="Times New Roman"/>
        </w:rPr>
        <w:t>the quantitative element is very often domina</w:t>
      </w:r>
      <w:r>
        <w:rPr>
          <w:rFonts w:ascii="Times New Roman" w:hAnsi="Times New Roman" w:cs="Times New Roman"/>
        </w:rPr>
        <w:t>n</w:t>
      </w:r>
      <w:r w:rsidRPr="00647D01">
        <w:rPr>
          <w:rFonts w:ascii="Times New Roman" w:hAnsi="Times New Roman" w:cs="Times New Roman"/>
        </w:rPr>
        <w:t>t.</w:t>
      </w:r>
    </w:p>
    <w:p w14:paraId="051473AA" w14:textId="77777777" w:rsidR="00E54F88" w:rsidRDefault="00E54F88" w:rsidP="00E54F88">
      <w:pPr>
        <w:spacing w:after="0" w:line="220" w:lineRule="atLeast"/>
        <w:ind w:firstLine="227"/>
        <w:jc w:val="both"/>
        <w:rPr>
          <w:rFonts w:ascii="Times New Roman" w:hAnsi="Times New Roman" w:cs="Times New Roman"/>
        </w:rPr>
      </w:pPr>
    </w:p>
    <w:p w14:paraId="7CA5FA73" w14:textId="77777777" w:rsidR="00E54F88" w:rsidRPr="00647D01" w:rsidRDefault="00E54F88" w:rsidP="00E54F88">
      <w:pPr>
        <w:spacing w:after="0" w:line="220" w:lineRule="atLeast"/>
        <w:ind w:firstLine="227"/>
        <w:jc w:val="both"/>
        <w:rPr>
          <w:rFonts w:ascii="Times New Roman" w:hAnsi="Times New Roman" w:cs="Times New Roman"/>
        </w:rPr>
      </w:pPr>
      <w:r w:rsidRPr="00647D01">
        <w:rPr>
          <w:rFonts w:ascii="Times New Roman" w:hAnsi="Times New Roman" w:cs="Times New Roman"/>
        </w:rPr>
        <w:t>It should also be considered that ALARP according to Norwegian regulations do</w:t>
      </w:r>
      <w:r>
        <w:rPr>
          <w:rFonts w:ascii="Times New Roman" w:hAnsi="Times New Roman" w:cs="Times New Roman"/>
        </w:rPr>
        <w:t>es</w:t>
      </w:r>
      <w:r w:rsidRPr="00647D01">
        <w:rPr>
          <w:rFonts w:ascii="Times New Roman" w:hAnsi="Times New Roman" w:cs="Times New Roman"/>
        </w:rPr>
        <w:t xml:space="preserve"> not have a lower tolerability limit (</w:t>
      </w:r>
      <w:r>
        <w:rPr>
          <w:rFonts w:ascii="Times New Roman" w:hAnsi="Times New Roman" w:cs="Times New Roman"/>
        </w:rPr>
        <w:t xml:space="preserve">PSA, 2019b; </w:t>
      </w:r>
      <w:r w:rsidRPr="00647D01">
        <w:rPr>
          <w:rFonts w:ascii="Times New Roman" w:hAnsi="Times New Roman" w:cs="Times New Roman"/>
        </w:rPr>
        <w:t xml:space="preserve">Vinnem et al., 2006). </w:t>
      </w:r>
      <w:r>
        <w:rPr>
          <w:rFonts w:ascii="Times New Roman" w:hAnsi="Times New Roman" w:cs="Times New Roman"/>
        </w:rPr>
        <w:t xml:space="preserve">This implies that the need to find good risk-reducing measures is even stronger. </w:t>
      </w:r>
      <w:r w:rsidRPr="00647D01">
        <w:rPr>
          <w:rFonts w:ascii="Times New Roman" w:hAnsi="Times New Roman" w:cs="Times New Roman"/>
        </w:rPr>
        <w:t>The upper tolerability limit is equal to the risk tolerance limit.</w:t>
      </w:r>
    </w:p>
    <w:p w14:paraId="068608BD" w14:textId="77777777" w:rsidR="00E54F88" w:rsidRDefault="00E54F88" w:rsidP="00E54F88">
      <w:pPr>
        <w:spacing w:after="0" w:line="220" w:lineRule="atLeast"/>
        <w:ind w:firstLine="227"/>
        <w:jc w:val="both"/>
        <w:rPr>
          <w:rFonts w:ascii="Times New Roman" w:hAnsi="Times New Roman" w:cs="Times New Roman"/>
        </w:rPr>
      </w:pPr>
    </w:p>
    <w:p w14:paraId="5F09F0FB" w14:textId="77777777" w:rsidR="00E54F88" w:rsidRPr="00647D01" w:rsidRDefault="00E54F88" w:rsidP="00E54F88">
      <w:pPr>
        <w:spacing w:after="0" w:line="220" w:lineRule="atLeast"/>
        <w:ind w:firstLine="227"/>
        <w:jc w:val="both"/>
        <w:rPr>
          <w:rFonts w:ascii="Times New Roman" w:hAnsi="Times New Roman" w:cs="Times New Roman"/>
        </w:rPr>
      </w:pPr>
      <w:r w:rsidRPr="00647D01">
        <w:rPr>
          <w:rFonts w:ascii="Times New Roman" w:hAnsi="Times New Roman" w:cs="Times New Roman"/>
        </w:rPr>
        <w:t xml:space="preserve">ALARP evaluations are supposed to give more extensive risk reduction, in an ideal context (Aven </w:t>
      </w:r>
      <w:r>
        <w:rPr>
          <w:rFonts w:ascii="Times New Roman" w:hAnsi="Times New Roman" w:cs="Times New Roman"/>
        </w:rPr>
        <w:t xml:space="preserve">and </w:t>
      </w:r>
      <w:r w:rsidRPr="00647D01">
        <w:rPr>
          <w:rFonts w:ascii="Times New Roman" w:hAnsi="Times New Roman" w:cs="Times New Roman"/>
        </w:rPr>
        <w:t xml:space="preserve">Vinnem, 2007). Practice on the other hand demonstrates that this does not happen, </w:t>
      </w:r>
      <w:r>
        <w:rPr>
          <w:rFonts w:ascii="Times New Roman" w:hAnsi="Times New Roman" w:cs="Times New Roman"/>
        </w:rPr>
        <w:t xml:space="preserve">and </w:t>
      </w:r>
      <w:r w:rsidRPr="00647D01">
        <w:rPr>
          <w:rFonts w:ascii="Times New Roman" w:hAnsi="Times New Roman" w:cs="Times New Roman"/>
        </w:rPr>
        <w:t>the context is not sufficiently ideal.</w:t>
      </w:r>
    </w:p>
    <w:p w14:paraId="11F484B4" w14:textId="77777777" w:rsidR="00E54F88" w:rsidRDefault="00E54F88" w:rsidP="009B5C9D">
      <w:pPr>
        <w:spacing w:after="0" w:line="220" w:lineRule="atLeast"/>
        <w:ind w:firstLine="227"/>
        <w:jc w:val="both"/>
        <w:rPr>
          <w:rFonts w:ascii="Times New Roman" w:hAnsi="Times New Roman" w:cs="Times New Roman"/>
        </w:rPr>
      </w:pPr>
    </w:p>
    <w:p w14:paraId="6360BE9B" w14:textId="2A758867" w:rsidR="0000356E" w:rsidRPr="00DC3B33" w:rsidRDefault="0000356E" w:rsidP="0000356E">
      <w:pPr>
        <w:spacing w:before="230" w:after="100" w:line="220" w:lineRule="atLeast"/>
        <w:ind w:left="227" w:hanging="227"/>
        <w:rPr>
          <w:rFonts w:ascii="Times New Roman" w:hAnsi="Times New Roman" w:cs="Times New Roman"/>
          <w:i/>
        </w:rPr>
      </w:pPr>
      <w:r w:rsidRPr="00DC3B33">
        <w:rPr>
          <w:rFonts w:ascii="Times New Roman" w:hAnsi="Times New Roman" w:cs="Times New Roman"/>
          <w:i/>
        </w:rPr>
        <w:t>3.</w:t>
      </w:r>
      <w:r>
        <w:rPr>
          <w:rFonts w:ascii="Times New Roman" w:hAnsi="Times New Roman" w:cs="Times New Roman"/>
          <w:i/>
        </w:rPr>
        <w:t>2</w:t>
      </w:r>
      <w:r w:rsidRPr="00DC3B33">
        <w:rPr>
          <w:rFonts w:ascii="Times New Roman" w:hAnsi="Times New Roman" w:cs="Times New Roman"/>
          <w:i/>
        </w:rPr>
        <w:t xml:space="preserve"> </w:t>
      </w:r>
      <w:r w:rsidR="00342312">
        <w:rPr>
          <w:rFonts w:ascii="Times New Roman" w:hAnsi="Times New Roman" w:cs="Times New Roman"/>
          <w:i/>
        </w:rPr>
        <w:t xml:space="preserve">Assessment of Suitability of </w:t>
      </w:r>
      <w:r w:rsidR="00020987">
        <w:rPr>
          <w:rFonts w:ascii="Times New Roman" w:hAnsi="Times New Roman" w:cs="Times New Roman"/>
          <w:i/>
        </w:rPr>
        <w:t xml:space="preserve">Present </w:t>
      </w:r>
      <w:r w:rsidR="00342312">
        <w:rPr>
          <w:rFonts w:ascii="Times New Roman" w:hAnsi="Times New Roman" w:cs="Times New Roman"/>
          <w:i/>
        </w:rPr>
        <w:t xml:space="preserve">Risk </w:t>
      </w:r>
      <w:r w:rsidRPr="00DC3B33">
        <w:rPr>
          <w:rFonts w:ascii="Times New Roman" w:hAnsi="Times New Roman" w:cs="Times New Roman"/>
          <w:i/>
        </w:rPr>
        <w:t>Tolerance Criteria</w:t>
      </w:r>
    </w:p>
    <w:p w14:paraId="2EACBABC" w14:textId="77777777" w:rsidR="009B5C9D" w:rsidRPr="00A75975" w:rsidRDefault="009B5C9D" w:rsidP="00A75975">
      <w:pPr>
        <w:spacing w:after="0" w:line="220" w:lineRule="atLeast"/>
        <w:jc w:val="both"/>
        <w:rPr>
          <w:rFonts w:ascii="Times New Roman" w:hAnsi="Times New Roman" w:cs="Times New Roman"/>
          <w:lang w:val="en-US"/>
        </w:rPr>
      </w:pPr>
      <w:r w:rsidRPr="00A75975">
        <w:rPr>
          <w:rFonts w:ascii="Times New Roman" w:hAnsi="Times New Roman" w:cs="Times New Roman"/>
          <w:lang w:val="en-US"/>
        </w:rPr>
        <w:t>During the period of more than 20 years, the average FAR value on the NCS has been reduced very significantly, from 4.2 fatalities per 100 mill manhours [worked] to 0.2 fatalities per 100 mill manhours (Vinnem &amp; Røed, 2020). This applies to production installations, where it is more than 10 years since the last fatal accident. Helicopter transportation is not included in these values, which in practice are limited to occupational accidents. Major accidents with fatalities on production installations in the Norwegian sector have not occur</w:t>
      </w:r>
      <w:r w:rsidRPr="00A75975">
        <w:rPr>
          <w:rFonts w:ascii="Times New Roman" w:hAnsi="Times New Roman" w:cs="Times New Roman"/>
          <w:lang w:val="en-US"/>
        </w:rPr>
        <w:softHyphen/>
        <w:t>red since 1978. The statistical data are in effect limited to occupational risk, and the values would be reduced by a factor of two if transformed to a ‘per exposure hour’ basis.</w:t>
      </w:r>
    </w:p>
    <w:p w14:paraId="33847A9E" w14:textId="77777777" w:rsidR="009B5C9D" w:rsidRDefault="009B5C9D" w:rsidP="009B5C9D">
      <w:pPr>
        <w:spacing w:after="0" w:line="220" w:lineRule="atLeast"/>
        <w:ind w:firstLine="227"/>
        <w:jc w:val="both"/>
        <w:rPr>
          <w:rFonts w:ascii="Times New Roman" w:hAnsi="Times New Roman" w:cs="Times New Roman"/>
        </w:rPr>
      </w:pPr>
    </w:p>
    <w:p w14:paraId="7C60BB56" w14:textId="77777777" w:rsidR="009B5C9D" w:rsidRPr="00647D01" w:rsidRDefault="009B5C9D" w:rsidP="009B5C9D">
      <w:pPr>
        <w:spacing w:after="0" w:line="220" w:lineRule="atLeast"/>
        <w:ind w:firstLine="227"/>
        <w:jc w:val="both"/>
        <w:rPr>
          <w:rFonts w:ascii="Times New Roman" w:hAnsi="Times New Roman" w:cs="Times New Roman"/>
        </w:rPr>
      </w:pPr>
      <w:r w:rsidRPr="00647D01">
        <w:rPr>
          <w:rFonts w:ascii="Times New Roman" w:hAnsi="Times New Roman" w:cs="Times New Roman"/>
        </w:rPr>
        <w:t xml:space="preserve">It is therefore challenging to justify that the risk tolerance limit for production installations has not been reduced during this long period, when the statistical fatality rates have been reduced by more than a factor </w:t>
      </w:r>
      <w:r>
        <w:rPr>
          <w:rFonts w:ascii="Times New Roman" w:hAnsi="Times New Roman" w:cs="Times New Roman"/>
        </w:rPr>
        <w:t xml:space="preserve">of </w:t>
      </w:r>
      <w:r w:rsidRPr="00647D01">
        <w:rPr>
          <w:rFonts w:ascii="Times New Roman" w:hAnsi="Times New Roman" w:cs="Times New Roman"/>
        </w:rPr>
        <w:t>20</w:t>
      </w:r>
      <w:r>
        <w:rPr>
          <w:rFonts w:ascii="Times New Roman" w:hAnsi="Times New Roman" w:cs="Times New Roman"/>
        </w:rPr>
        <w:t xml:space="preserve"> during this period</w:t>
      </w:r>
      <w:r w:rsidRPr="00647D01">
        <w:rPr>
          <w:rFonts w:ascii="Times New Roman" w:hAnsi="Times New Roman" w:cs="Times New Roman"/>
        </w:rPr>
        <w:t>.</w:t>
      </w:r>
    </w:p>
    <w:p w14:paraId="25FFDE6F" w14:textId="77777777" w:rsidR="009B5C9D" w:rsidRDefault="009B5C9D" w:rsidP="009B5C9D">
      <w:pPr>
        <w:spacing w:after="120" w:line="220" w:lineRule="atLeast"/>
        <w:ind w:firstLine="227"/>
        <w:jc w:val="both"/>
        <w:rPr>
          <w:rFonts w:ascii="Times New Roman" w:hAnsi="Times New Roman" w:cs="Times New Roman"/>
        </w:rPr>
      </w:pPr>
    </w:p>
    <w:p w14:paraId="64051C78" w14:textId="77777777" w:rsidR="009B5C9D" w:rsidRPr="00647D01" w:rsidRDefault="009B5C9D" w:rsidP="009B5C9D">
      <w:pPr>
        <w:spacing w:after="120" w:line="220" w:lineRule="atLeast"/>
        <w:ind w:firstLine="227"/>
        <w:jc w:val="both"/>
        <w:rPr>
          <w:rFonts w:ascii="Times New Roman" w:hAnsi="Times New Roman" w:cs="Times New Roman"/>
        </w:rPr>
      </w:pPr>
      <w:r w:rsidRPr="00647D01">
        <w:rPr>
          <w:rFonts w:ascii="Times New Roman" w:hAnsi="Times New Roman" w:cs="Times New Roman"/>
        </w:rPr>
        <w:t>If</w:t>
      </w:r>
      <w:r>
        <w:rPr>
          <w:rFonts w:ascii="Times New Roman" w:hAnsi="Times New Roman" w:cs="Times New Roman"/>
        </w:rPr>
        <w:t>,</w:t>
      </w:r>
      <w:r w:rsidRPr="00647D01">
        <w:rPr>
          <w:rFonts w:ascii="Times New Roman" w:hAnsi="Times New Roman" w:cs="Times New Roman"/>
        </w:rPr>
        <w:t xml:space="preserve"> </w:t>
      </w:r>
      <w:r>
        <w:rPr>
          <w:rFonts w:ascii="Times New Roman" w:hAnsi="Times New Roman" w:cs="Times New Roman"/>
        </w:rPr>
        <w:t xml:space="preserve">as an independent approach, we </w:t>
      </w:r>
      <w:r w:rsidRPr="00647D01">
        <w:rPr>
          <w:rFonts w:ascii="Times New Roman" w:hAnsi="Times New Roman" w:cs="Times New Roman"/>
        </w:rPr>
        <w:t>look at worldwide operations, there are two sources of statistical data, neither of them complete, and certainly overlapping:</w:t>
      </w:r>
    </w:p>
    <w:p w14:paraId="332200C2" w14:textId="77777777" w:rsidR="009B5C9D" w:rsidRPr="00647D01" w:rsidRDefault="009B5C9D" w:rsidP="009B5C9D">
      <w:pPr>
        <w:pStyle w:val="Listeavsnitt"/>
        <w:numPr>
          <w:ilvl w:val="0"/>
          <w:numId w:val="4"/>
        </w:numPr>
        <w:spacing w:after="120" w:line="220" w:lineRule="atLeast"/>
        <w:ind w:left="584" w:hanging="357"/>
        <w:jc w:val="both"/>
        <w:rPr>
          <w:rFonts w:ascii="Times New Roman" w:hAnsi="Times New Roman" w:cs="Times New Roman"/>
        </w:rPr>
      </w:pPr>
      <w:r w:rsidRPr="00647D01">
        <w:rPr>
          <w:rFonts w:ascii="Times New Roman" w:hAnsi="Times New Roman" w:cs="Times New Roman"/>
        </w:rPr>
        <w:t>International Regulators Forum (IRF, irfoffshoresafety.com)</w:t>
      </w:r>
    </w:p>
    <w:p w14:paraId="3A83F229" w14:textId="77777777" w:rsidR="009B5C9D" w:rsidRPr="00647D01" w:rsidRDefault="009B5C9D" w:rsidP="009B5C9D">
      <w:pPr>
        <w:pStyle w:val="Listeavsnitt"/>
        <w:numPr>
          <w:ilvl w:val="0"/>
          <w:numId w:val="4"/>
        </w:numPr>
        <w:spacing w:after="120" w:line="220" w:lineRule="atLeast"/>
        <w:ind w:left="584" w:hanging="357"/>
        <w:jc w:val="both"/>
        <w:rPr>
          <w:rFonts w:ascii="Times New Roman" w:hAnsi="Times New Roman" w:cs="Times New Roman"/>
        </w:rPr>
      </w:pPr>
      <w:r w:rsidRPr="00647D01">
        <w:rPr>
          <w:rFonts w:ascii="Times New Roman" w:hAnsi="Times New Roman" w:cs="Times New Roman"/>
        </w:rPr>
        <w:t>International Oil and Gas Producers (IOGP, iogp.org)</w:t>
      </w:r>
    </w:p>
    <w:p w14:paraId="72EDE702" w14:textId="77777777" w:rsidR="009B5C9D" w:rsidRDefault="009B5C9D" w:rsidP="009B5C9D">
      <w:pPr>
        <w:spacing w:after="0" w:line="220" w:lineRule="atLeast"/>
        <w:ind w:firstLine="227"/>
        <w:jc w:val="both"/>
        <w:rPr>
          <w:rFonts w:ascii="Times New Roman" w:hAnsi="Times New Roman" w:cs="Times New Roman"/>
        </w:rPr>
      </w:pPr>
      <w:r w:rsidRPr="00647D01">
        <w:rPr>
          <w:rFonts w:ascii="Times New Roman" w:hAnsi="Times New Roman" w:cs="Times New Roman"/>
        </w:rPr>
        <w:t xml:space="preserve">Neither of these sources </w:t>
      </w:r>
      <w:r>
        <w:rPr>
          <w:rFonts w:ascii="Times New Roman" w:hAnsi="Times New Roman" w:cs="Times New Roman"/>
        </w:rPr>
        <w:t>is</w:t>
      </w:r>
      <w:r w:rsidRPr="00647D01">
        <w:rPr>
          <w:rFonts w:ascii="Times New Roman" w:hAnsi="Times New Roman" w:cs="Times New Roman"/>
        </w:rPr>
        <w:t xml:space="preserve"> </w:t>
      </w:r>
      <w:r>
        <w:rPr>
          <w:rFonts w:ascii="Times New Roman" w:hAnsi="Times New Roman" w:cs="Times New Roman"/>
        </w:rPr>
        <w:t xml:space="preserve">fully </w:t>
      </w:r>
      <w:r w:rsidRPr="00647D01">
        <w:rPr>
          <w:rFonts w:ascii="Times New Roman" w:hAnsi="Times New Roman" w:cs="Times New Roman"/>
        </w:rPr>
        <w:t xml:space="preserve">complete, because not all companies are members of IOGP and not all regulators are members of IRF. For the last </w:t>
      </w:r>
      <w:r>
        <w:rPr>
          <w:rFonts w:ascii="Times New Roman" w:hAnsi="Times New Roman" w:cs="Times New Roman"/>
        </w:rPr>
        <w:t>10</w:t>
      </w:r>
      <w:r w:rsidRPr="00647D01">
        <w:rPr>
          <w:rFonts w:ascii="Times New Roman" w:hAnsi="Times New Roman" w:cs="Times New Roman"/>
        </w:rPr>
        <w:t xml:space="preserve"> years</w:t>
      </w:r>
      <w:r>
        <w:rPr>
          <w:rFonts w:ascii="Times New Roman" w:hAnsi="Times New Roman" w:cs="Times New Roman"/>
        </w:rPr>
        <w:t>,</w:t>
      </w:r>
      <w:r w:rsidRPr="00647D01">
        <w:rPr>
          <w:rFonts w:ascii="Times New Roman" w:hAnsi="Times New Roman" w:cs="Times New Roman"/>
        </w:rPr>
        <w:t xml:space="preserve"> the international ave</w:t>
      </w:r>
      <w:r>
        <w:rPr>
          <w:rFonts w:ascii="Times New Roman" w:hAnsi="Times New Roman" w:cs="Times New Roman"/>
        </w:rPr>
        <w:softHyphen/>
      </w:r>
      <w:r w:rsidRPr="00647D01">
        <w:rPr>
          <w:rFonts w:ascii="Times New Roman" w:hAnsi="Times New Roman" w:cs="Times New Roman"/>
        </w:rPr>
        <w:t xml:space="preserve">rage varies as follows (Vinnem </w:t>
      </w:r>
      <w:r>
        <w:rPr>
          <w:rFonts w:ascii="Times New Roman" w:hAnsi="Times New Roman" w:cs="Times New Roman"/>
        </w:rPr>
        <w:t>and</w:t>
      </w:r>
      <w:r w:rsidRPr="00647D01">
        <w:rPr>
          <w:rFonts w:ascii="Times New Roman" w:hAnsi="Times New Roman" w:cs="Times New Roman"/>
        </w:rPr>
        <w:t xml:space="preserve"> Fossan, 2019):</w:t>
      </w:r>
    </w:p>
    <w:p w14:paraId="2BC428F2" w14:textId="77777777" w:rsidR="009B5C9D" w:rsidRPr="00647D01" w:rsidRDefault="009B5C9D" w:rsidP="009B5C9D">
      <w:pPr>
        <w:spacing w:after="0" w:line="220" w:lineRule="atLeast"/>
        <w:ind w:firstLine="227"/>
        <w:jc w:val="both"/>
        <w:rPr>
          <w:rFonts w:ascii="Times New Roman" w:hAnsi="Times New Roman" w:cs="Times New Roman"/>
        </w:rPr>
      </w:pPr>
    </w:p>
    <w:p w14:paraId="1F639113" w14:textId="79FEB107" w:rsidR="009B5C9D" w:rsidRPr="00647D01" w:rsidRDefault="009B5C9D" w:rsidP="009B5C9D">
      <w:pPr>
        <w:pStyle w:val="Listeavsnitt"/>
        <w:numPr>
          <w:ilvl w:val="0"/>
          <w:numId w:val="5"/>
        </w:numPr>
        <w:spacing w:after="0" w:line="220" w:lineRule="atLeast"/>
        <w:jc w:val="both"/>
        <w:rPr>
          <w:rFonts w:ascii="Times New Roman" w:hAnsi="Times New Roman" w:cs="Times New Roman"/>
        </w:rPr>
      </w:pPr>
      <w:r w:rsidRPr="00647D01">
        <w:rPr>
          <w:rFonts w:ascii="Times New Roman" w:hAnsi="Times New Roman" w:cs="Times New Roman"/>
        </w:rPr>
        <w:t>IRF, FAR:</w:t>
      </w:r>
      <w:r w:rsidRPr="00647D01">
        <w:rPr>
          <w:rFonts w:ascii="Times New Roman" w:hAnsi="Times New Roman" w:cs="Times New Roman"/>
        </w:rPr>
        <w:tab/>
        <w:t>1.0–4.6/</w:t>
      </w:r>
      <w:r w:rsidR="0069573E">
        <w:rPr>
          <w:rFonts w:ascii="Times New Roman" w:hAnsi="Times New Roman" w:cs="Times New Roman"/>
        </w:rPr>
        <w:t>manhours</w:t>
      </w:r>
    </w:p>
    <w:p w14:paraId="49C1527B" w14:textId="3ADA6309" w:rsidR="009B5C9D" w:rsidRPr="00647D01" w:rsidRDefault="009B5C9D" w:rsidP="009B5C9D">
      <w:pPr>
        <w:pStyle w:val="Listeavsnitt"/>
        <w:numPr>
          <w:ilvl w:val="0"/>
          <w:numId w:val="5"/>
        </w:numPr>
        <w:spacing w:after="0" w:line="220" w:lineRule="atLeast"/>
        <w:jc w:val="both"/>
        <w:rPr>
          <w:rFonts w:ascii="Times New Roman" w:hAnsi="Times New Roman" w:cs="Times New Roman"/>
        </w:rPr>
      </w:pPr>
      <w:r w:rsidRPr="00647D01">
        <w:rPr>
          <w:rFonts w:ascii="Times New Roman" w:hAnsi="Times New Roman" w:cs="Times New Roman"/>
        </w:rPr>
        <w:t>IOGP, FAR:</w:t>
      </w:r>
      <w:r w:rsidRPr="00647D01">
        <w:rPr>
          <w:rFonts w:ascii="Times New Roman" w:hAnsi="Times New Roman" w:cs="Times New Roman"/>
        </w:rPr>
        <w:tab/>
        <w:t>1.2–6.3/</w:t>
      </w:r>
      <w:r w:rsidR="0069573E">
        <w:rPr>
          <w:rFonts w:ascii="Times New Roman" w:hAnsi="Times New Roman" w:cs="Times New Roman"/>
        </w:rPr>
        <w:t>manhours</w:t>
      </w:r>
    </w:p>
    <w:p w14:paraId="18860497" w14:textId="77777777" w:rsidR="009B5C9D" w:rsidRDefault="009B5C9D" w:rsidP="009B5C9D">
      <w:pPr>
        <w:spacing w:after="0" w:line="220" w:lineRule="atLeast"/>
        <w:ind w:firstLine="227"/>
        <w:jc w:val="both"/>
        <w:rPr>
          <w:rFonts w:ascii="Times New Roman" w:hAnsi="Times New Roman" w:cs="Times New Roman"/>
        </w:rPr>
      </w:pPr>
    </w:p>
    <w:p w14:paraId="686AC867" w14:textId="336AC54E" w:rsidR="009B5C9D" w:rsidRDefault="009B5C9D" w:rsidP="009B5C9D">
      <w:pPr>
        <w:spacing w:after="0" w:line="220" w:lineRule="atLeast"/>
        <w:ind w:firstLine="227"/>
        <w:jc w:val="both"/>
        <w:rPr>
          <w:rFonts w:ascii="Times New Roman" w:hAnsi="Times New Roman" w:cs="Times New Roman"/>
        </w:rPr>
      </w:pPr>
      <w:r w:rsidRPr="00647D01">
        <w:rPr>
          <w:rFonts w:ascii="Times New Roman" w:hAnsi="Times New Roman" w:cs="Times New Roman"/>
        </w:rPr>
        <w:t>These values include occupational fatality risk and major hazard fatality risk</w:t>
      </w:r>
      <w:r>
        <w:rPr>
          <w:rFonts w:ascii="Times New Roman" w:hAnsi="Times New Roman" w:cs="Times New Roman"/>
        </w:rPr>
        <w:t xml:space="preserve"> and would be reduced by a factor of two if expressed on a ‘per exposure hours’ basis, as is done in Figure</w:t>
      </w:r>
      <w:r w:rsidR="007D2EF2">
        <w:rPr>
          <w:rFonts w:ascii="Times New Roman" w:hAnsi="Times New Roman" w:cs="Times New Roman"/>
        </w:rPr>
        <w:t>s</w:t>
      </w:r>
      <w:r>
        <w:rPr>
          <w:rFonts w:ascii="Times New Roman" w:hAnsi="Times New Roman" w:cs="Times New Roman"/>
        </w:rPr>
        <w:t> </w:t>
      </w:r>
      <w:r w:rsidR="00A231CC">
        <w:rPr>
          <w:rFonts w:ascii="Times New Roman" w:hAnsi="Times New Roman" w:cs="Times New Roman"/>
        </w:rPr>
        <w:t xml:space="preserve">2 and </w:t>
      </w:r>
      <w:r>
        <w:rPr>
          <w:rFonts w:ascii="Times New Roman" w:hAnsi="Times New Roman" w:cs="Times New Roman"/>
        </w:rPr>
        <w:t>4</w:t>
      </w:r>
      <w:r w:rsidRPr="00647D01">
        <w:rPr>
          <w:rFonts w:ascii="Times New Roman" w:hAnsi="Times New Roman" w:cs="Times New Roman"/>
        </w:rPr>
        <w:t>. The relationship between the different sources of fatality risk on installations (pro</w:t>
      </w:r>
      <w:r>
        <w:rPr>
          <w:rFonts w:ascii="Times New Roman" w:hAnsi="Times New Roman" w:cs="Times New Roman"/>
        </w:rPr>
        <w:softHyphen/>
      </w:r>
      <w:r w:rsidRPr="00647D01">
        <w:rPr>
          <w:rFonts w:ascii="Times New Roman" w:hAnsi="Times New Roman" w:cs="Times New Roman"/>
        </w:rPr>
        <w:t xml:space="preserve">duction and mobile units) and helicopter transportation risk, is illustrated in </w:t>
      </w:r>
      <w:r w:rsidRPr="00647D01">
        <w:rPr>
          <w:rFonts w:ascii="Times New Roman" w:hAnsi="Times New Roman" w:cs="Times New Roman"/>
        </w:rPr>
        <w:fldChar w:fldCharType="begin"/>
      </w:r>
      <w:r w:rsidRPr="00647D01">
        <w:rPr>
          <w:rFonts w:ascii="Times New Roman" w:hAnsi="Times New Roman" w:cs="Times New Roman"/>
        </w:rPr>
        <w:instrText xml:space="preserve"> REF _Ref26891801 \h </w:instrText>
      </w:r>
      <w:r>
        <w:rPr>
          <w:rFonts w:ascii="Times New Roman" w:hAnsi="Times New Roman" w:cs="Times New Roman"/>
        </w:rPr>
        <w:instrText xml:space="preserve"> \* MERGEFORMAT </w:instrText>
      </w:r>
      <w:r w:rsidRPr="00647D01">
        <w:rPr>
          <w:rFonts w:ascii="Times New Roman" w:hAnsi="Times New Roman" w:cs="Times New Roman"/>
        </w:rPr>
      </w:r>
      <w:r w:rsidRPr="00647D01">
        <w:rPr>
          <w:rFonts w:ascii="Times New Roman" w:hAnsi="Times New Roman" w:cs="Times New Roman"/>
        </w:rPr>
        <w:fldChar w:fldCharType="separate"/>
      </w:r>
      <w:r w:rsidR="007D2EF2">
        <w:rPr>
          <w:rFonts w:ascii="Times New Roman" w:hAnsi="Times New Roman" w:cs="Times New Roman"/>
          <w:sz w:val="18"/>
          <w:szCs w:val="14"/>
        </w:rPr>
        <w:fldChar w:fldCharType="begin"/>
      </w:r>
      <w:r w:rsidR="007D2EF2">
        <w:rPr>
          <w:rFonts w:ascii="Times New Roman" w:hAnsi="Times New Roman" w:cs="Times New Roman"/>
          <w:sz w:val="18"/>
          <w:szCs w:val="14"/>
        </w:rPr>
        <w:instrText xml:space="preserve"> REF _Ref47350542 \h </w:instrText>
      </w:r>
      <w:r w:rsidR="007D2EF2">
        <w:rPr>
          <w:rFonts w:ascii="Times New Roman" w:hAnsi="Times New Roman" w:cs="Times New Roman"/>
          <w:sz w:val="18"/>
          <w:szCs w:val="14"/>
        </w:rPr>
      </w:r>
      <w:r w:rsidR="007D2EF2">
        <w:rPr>
          <w:rFonts w:ascii="Times New Roman" w:hAnsi="Times New Roman" w:cs="Times New Roman"/>
          <w:sz w:val="18"/>
          <w:szCs w:val="14"/>
        </w:rPr>
        <w:fldChar w:fldCharType="separate"/>
      </w:r>
      <w:r w:rsidR="007D2EF2" w:rsidRPr="0048613E">
        <w:rPr>
          <w:rFonts w:ascii="Times New Roman" w:hAnsi="Times New Roman" w:cs="Times New Roman"/>
          <w:b/>
          <w:bCs/>
          <w:sz w:val="18"/>
          <w:szCs w:val="18"/>
        </w:rPr>
        <w:t xml:space="preserve">Figure </w:t>
      </w:r>
      <w:r w:rsidR="007D2EF2">
        <w:rPr>
          <w:rFonts w:ascii="Times New Roman" w:hAnsi="Times New Roman" w:cs="Times New Roman"/>
          <w:b/>
          <w:bCs/>
          <w:noProof/>
          <w:sz w:val="18"/>
          <w:szCs w:val="18"/>
        </w:rPr>
        <w:t>2</w:t>
      </w:r>
      <w:r w:rsidR="007D2EF2">
        <w:rPr>
          <w:rFonts w:ascii="Times New Roman" w:hAnsi="Times New Roman" w:cs="Times New Roman"/>
          <w:sz w:val="18"/>
          <w:szCs w:val="14"/>
        </w:rPr>
        <w:fldChar w:fldCharType="end"/>
      </w:r>
      <w:r w:rsidRPr="00647D01">
        <w:rPr>
          <w:rFonts w:ascii="Times New Roman" w:hAnsi="Times New Roman" w:cs="Times New Roman"/>
        </w:rPr>
        <w:fldChar w:fldCharType="end"/>
      </w:r>
      <w:r w:rsidRPr="00647D01">
        <w:rPr>
          <w:rFonts w:ascii="Times New Roman" w:hAnsi="Times New Roman" w:cs="Times New Roman"/>
        </w:rPr>
        <w:t>, based on IRF fatality data, based on exposure hours.</w:t>
      </w:r>
    </w:p>
    <w:p w14:paraId="2C999382" w14:textId="2D607979" w:rsidR="00DB7379" w:rsidRPr="00647D01" w:rsidRDefault="000761A4" w:rsidP="009B5C9D">
      <w:pPr>
        <w:spacing w:after="0" w:line="220" w:lineRule="atLeast"/>
        <w:ind w:firstLine="227"/>
        <w:jc w:val="both"/>
        <w:rPr>
          <w:rFonts w:ascii="Times New Roman" w:hAnsi="Times New Roman" w:cs="Times New Roman"/>
        </w:rPr>
      </w:pPr>
      <w:r>
        <w:rPr>
          <w:rFonts w:ascii="Times New Roman" w:hAnsi="Times New Roman" w:cs="Times New Roman"/>
          <w:noProof/>
        </w:rPr>
        <w:drawing>
          <wp:inline distT="0" distB="0" distL="0" distR="0" wp14:anchorId="5CFCCA46" wp14:editId="5092DE21">
            <wp:extent cx="4572635" cy="27432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6397166B" w14:textId="63AA9072" w:rsidR="009B5C9D" w:rsidRPr="0048613E" w:rsidRDefault="009B5C9D" w:rsidP="009B5C9D">
      <w:pPr>
        <w:spacing w:after="0" w:line="220" w:lineRule="atLeast"/>
        <w:ind w:firstLine="227"/>
        <w:jc w:val="both"/>
        <w:rPr>
          <w:rFonts w:ascii="Times New Roman" w:hAnsi="Times New Roman" w:cs="Times New Roman"/>
          <w:sz w:val="18"/>
          <w:szCs w:val="14"/>
        </w:rPr>
      </w:pPr>
      <w:bookmarkStart w:id="33" w:name="_Ref47350542"/>
      <w:bookmarkStart w:id="34" w:name="_Ref26427345"/>
      <w:bookmarkStart w:id="35" w:name="_Ref26891801"/>
      <w:r w:rsidRPr="0048613E">
        <w:rPr>
          <w:rFonts w:ascii="Times New Roman" w:hAnsi="Times New Roman" w:cs="Times New Roman"/>
          <w:b/>
          <w:bCs/>
          <w:sz w:val="18"/>
          <w:szCs w:val="18"/>
        </w:rPr>
        <w:t xml:space="preserve">Figure </w:t>
      </w:r>
      <w:r w:rsidRPr="0048613E">
        <w:rPr>
          <w:rFonts w:ascii="Times New Roman" w:hAnsi="Times New Roman" w:cs="Times New Roman"/>
          <w:b/>
          <w:bCs/>
          <w:sz w:val="18"/>
          <w:szCs w:val="18"/>
        </w:rPr>
        <w:fldChar w:fldCharType="begin"/>
      </w:r>
      <w:r w:rsidRPr="0048613E">
        <w:rPr>
          <w:rFonts w:ascii="Times New Roman" w:hAnsi="Times New Roman" w:cs="Times New Roman"/>
          <w:b/>
          <w:bCs/>
          <w:sz w:val="18"/>
          <w:szCs w:val="18"/>
        </w:rPr>
        <w:instrText xml:space="preserve"> SEQ Figure \* ARABIC </w:instrText>
      </w:r>
      <w:r w:rsidRPr="0048613E">
        <w:rPr>
          <w:rFonts w:ascii="Times New Roman" w:hAnsi="Times New Roman" w:cs="Times New Roman"/>
          <w:b/>
          <w:bCs/>
          <w:sz w:val="18"/>
          <w:szCs w:val="18"/>
        </w:rPr>
        <w:fldChar w:fldCharType="separate"/>
      </w:r>
      <w:r w:rsidR="00A96E95">
        <w:rPr>
          <w:rFonts w:ascii="Times New Roman" w:hAnsi="Times New Roman" w:cs="Times New Roman"/>
          <w:b/>
          <w:bCs/>
          <w:noProof/>
          <w:sz w:val="18"/>
          <w:szCs w:val="18"/>
        </w:rPr>
        <w:t>2</w:t>
      </w:r>
      <w:r w:rsidRPr="0048613E">
        <w:rPr>
          <w:rFonts w:ascii="Times New Roman" w:hAnsi="Times New Roman" w:cs="Times New Roman"/>
          <w:b/>
          <w:bCs/>
          <w:sz w:val="18"/>
          <w:szCs w:val="18"/>
        </w:rPr>
        <w:fldChar w:fldCharType="end"/>
      </w:r>
      <w:bookmarkEnd w:id="33"/>
      <w:r w:rsidRPr="0048613E">
        <w:rPr>
          <w:rFonts w:ascii="Times New Roman" w:hAnsi="Times New Roman" w:cs="Times New Roman"/>
          <w:sz w:val="18"/>
          <w:szCs w:val="18"/>
        </w:rPr>
        <w:t xml:space="preserve"> Average FAR values for all IRF countries, major and occupational accidents on installations, as well as helicopter accidents, 2007–2017, based on exposure hours (on-duty and off-duty</w:t>
      </w:r>
      <w:r w:rsidRPr="0048613E">
        <w:rPr>
          <w:rFonts w:ascii="Times New Roman" w:hAnsi="Times New Roman" w:cs="Times New Roman"/>
          <w:sz w:val="18"/>
          <w:szCs w:val="14"/>
        </w:rPr>
        <w:t xml:space="preserve"> hours)</w:t>
      </w:r>
    </w:p>
    <w:bookmarkEnd w:id="34"/>
    <w:bookmarkEnd w:id="35"/>
    <w:p w14:paraId="36440281" w14:textId="77777777" w:rsidR="009B5C9D" w:rsidRDefault="009B5C9D" w:rsidP="009B5C9D">
      <w:pPr>
        <w:spacing w:after="0" w:line="220" w:lineRule="atLeast"/>
        <w:ind w:firstLine="227"/>
        <w:jc w:val="both"/>
        <w:rPr>
          <w:rFonts w:ascii="Times New Roman" w:hAnsi="Times New Roman" w:cs="Times New Roman"/>
        </w:rPr>
      </w:pPr>
    </w:p>
    <w:p w14:paraId="6A20DD76" w14:textId="4318D208" w:rsidR="009B5C9D" w:rsidRDefault="009B5C9D" w:rsidP="009B5C9D">
      <w:pPr>
        <w:spacing w:after="0" w:line="220" w:lineRule="atLeast"/>
        <w:ind w:firstLine="227"/>
        <w:jc w:val="both"/>
        <w:rPr>
          <w:rFonts w:ascii="Times New Roman" w:hAnsi="Times New Roman" w:cs="Times New Roman"/>
        </w:rPr>
      </w:pPr>
      <w:r>
        <w:rPr>
          <w:rFonts w:ascii="Times New Roman" w:hAnsi="Times New Roman" w:cs="Times New Roman"/>
        </w:rPr>
        <w:t>Norway has had the ambition since 2001 to be world-leading in offshore safety, environ</w:t>
      </w:r>
      <w:r>
        <w:rPr>
          <w:rFonts w:ascii="Times New Roman" w:hAnsi="Times New Roman" w:cs="Times New Roman"/>
        </w:rPr>
        <w:softHyphen/>
        <w:t>ment and health, as noted above. The fatality statistics demonstrate clearly that fatality rates in the Norwegian sector are significantly lower than for other countries.</w:t>
      </w:r>
      <w:r w:rsidR="00650DA8">
        <w:rPr>
          <w:rFonts w:ascii="Times New Roman" w:hAnsi="Times New Roman" w:cs="Times New Roman"/>
        </w:rPr>
        <w:t xml:space="preserve"> This </w:t>
      </w:r>
      <w:r w:rsidR="008D77AB">
        <w:rPr>
          <w:rFonts w:ascii="Times New Roman" w:hAnsi="Times New Roman" w:cs="Times New Roman"/>
        </w:rPr>
        <w:t xml:space="preserve">is indicated by comparing the </w:t>
      </w:r>
      <w:r w:rsidR="00435413">
        <w:rPr>
          <w:rFonts w:ascii="Times New Roman" w:hAnsi="Times New Roman" w:cs="Times New Roman"/>
        </w:rPr>
        <w:t xml:space="preserve">average value for </w:t>
      </w:r>
      <w:r w:rsidR="00286BED">
        <w:rPr>
          <w:rFonts w:ascii="Times New Roman" w:hAnsi="Times New Roman" w:cs="Times New Roman"/>
        </w:rPr>
        <w:t>the Norwegian sector</w:t>
      </w:r>
      <w:r w:rsidR="004C62FE">
        <w:rPr>
          <w:rFonts w:ascii="Times New Roman" w:hAnsi="Times New Roman" w:cs="Times New Roman"/>
        </w:rPr>
        <w:t xml:space="preserve"> (see above)</w:t>
      </w:r>
      <w:r w:rsidR="00286BED">
        <w:rPr>
          <w:rFonts w:ascii="Times New Roman" w:hAnsi="Times New Roman" w:cs="Times New Roman"/>
        </w:rPr>
        <w:t xml:space="preserve">, 0.2 fatalities per 100 million </w:t>
      </w:r>
      <w:r w:rsidR="007F7916">
        <w:rPr>
          <w:rFonts w:ascii="Times New Roman" w:hAnsi="Times New Roman" w:cs="Times New Roman"/>
        </w:rPr>
        <w:t>man</w:t>
      </w:r>
      <w:r w:rsidR="00286BED">
        <w:rPr>
          <w:rFonts w:ascii="Times New Roman" w:hAnsi="Times New Roman" w:cs="Times New Roman"/>
        </w:rPr>
        <w:t xml:space="preserve">hours, with </w:t>
      </w:r>
      <w:r w:rsidR="007F7916">
        <w:rPr>
          <w:rFonts w:ascii="Times New Roman" w:hAnsi="Times New Roman" w:cs="Times New Roman"/>
        </w:rPr>
        <w:t xml:space="preserve">the values presented for worldwide average from IRF and IOGP, </w:t>
      </w:r>
      <w:r w:rsidR="007457B1">
        <w:rPr>
          <w:rFonts w:ascii="Times New Roman" w:hAnsi="Times New Roman" w:cs="Times New Roman"/>
        </w:rPr>
        <w:t>which range from 1.0 to 6.3 fatalities per 100 million manhours.</w:t>
      </w:r>
      <w:r w:rsidR="0069573E">
        <w:rPr>
          <w:rFonts w:ascii="Times New Roman" w:hAnsi="Times New Roman" w:cs="Times New Roman"/>
        </w:rPr>
        <w:t xml:space="preserve"> Further illustration of fatality rates worldwide are presented in Vinnem and Røed (2020).</w:t>
      </w:r>
    </w:p>
    <w:p w14:paraId="09DCE677" w14:textId="77777777" w:rsidR="009B5C9D" w:rsidRPr="00647D01" w:rsidRDefault="009B5C9D" w:rsidP="009B5C9D">
      <w:pPr>
        <w:spacing w:after="0" w:line="220" w:lineRule="atLeast"/>
        <w:ind w:firstLine="227"/>
        <w:jc w:val="both"/>
        <w:rPr>
          <w:rFonts w:ascii="Times New Roman" w:hAnsi="Times New Roman" w:cs="Times New Roman"/>
        </w:rPr>
      </w:pPr>
    </w:p>
    <w:p w14:paraId="7A821A99" w14:textId="2A3E4E48" w:rsidR="009B5C9D" w:rsidRPr="00647D01" w:rsidRDefault="009B5C9D" w:rsidP="009B5C9D">
      <w:pPr>
        <w:spacing w:after="0" w:line="220" w:lineRule="atLeast"/>
        <w:ind w:firstLine="227"/>
        <w:jc w:val="both"/>
        <w:rPr>
          <w:rFonts w:ascii="Times New Roman" w:hAnsi="Times New Roman" w:cs="Times New Roman"/>
        </w:rPr>
      </w:pPr>
      <w:r>
        <w:rPr>
          <w:rFonts w:ascii="Times New Roman" w:hAnsi="Times New Roman" w:cs="Times New Roman"/>
        </w:rPr>
        <w:t xml:space="preserve">Both these approaches lead to the same conclusion </w:t>
      </w:r>
      <w:r w:rsidRPr="00647D01">
        <w:rPr>
          <w:rFonts w:ascii="Times New Roman" w:hAnsi="Times New Roman" w:cs="Times New Roman"/>
        </w:rPr>
        <w:t xml:space="preserve">that the FAR </w:t>
      </w:r>
      <w:r>
        <w:rPr>
          <w:rFonts w:ascii="Times New Roman" w:hAnsi="Times New Roman" w:cs="Times New Roman"/>
        </w:rPr>
        <w:t xml:space="preserve">risk tolerance </w:t>
      </w:r>
      <w:r w:rsidRPr="00647D01">
        <w:rPr>
          <w:rFonts w:ascii="Times New Roman" w:hAnsi="Times New Roman" w:cs="Times New Roman"/>
        </w:rPr>
        <w:t xml:space="preserve">limit of 10 </w:t>
      </w:r>
      <w:r>
        <w:rPr>
          <w:rFonts w:ascii="Times New Roman" w:hAnsi="Times New Roman" w:cs="Times New Roman"/>
        </w:rPr>
        <w:t xml:space="preserve">adopted by Norwegian companies </w:t>
      </w:r>
      <w:r w:rsidRPr="00647D01">
        <w:rPr>
          <w:rFonts w:ascii="Times New Roman" w:hAnsi="Times New Roman" w:cs="Times New Roman"/>
        </w:rPr>
        <w:t xml:space="preserve">should </w:t>
      </w:r>
      <w:r>
        <w:rPr>
          <w:rFonts w:ascii="Times New Roman" w:hAnsi="Times New Roman" w:cs="Times New Roman"/>
        </w:rPr>
        <w:t xml:space="preserve">in principle </w:t>
      </w:r>
      <w:r w:rsidRPr="00647D01">
        <w:rPr>
          <w:rFonts w:ascii="Times New Roman" w:hAnsi="Times New Roman" w:cs="Times New Roman"/>
        </w:rPr>
        <w:t>be reduced by a factor of 10, to FAR=1.0</w:t>
      </w:r>
      <w:r>
        <w:rPr>
          <w:rFonts w:ascii="Times New Roman" w:hAnsi="Times New Roman" w:cs="Times New Roman"/>
        </w:rPr>
        <w:t xml:space="preserve">, also in line with what </w:t>
      </w:r>
      <w:r w:rsidRPr="00647D01">
        <w:rPr>
          <w:rFonts w:ascii="Times New Roman" w:hAnsi="Times New Roman" w:cs="Times New Roman"/>
        </w:rPr>
        <w:t>is argued in Vinnem &amp; Røed (20</w:t>
      </w:r>
      <w:r>
        <w:rPr>
          <w:rFonts w:ascii="Times New Roman" w:hAnsi="Times New Roman" w:cs="Times New Roman"/>
        </w:rPr>
        <w:t>20</w:t>
      </w:r>
      <w:r w:rsidRPr="00647D01">
        <w:rPr>
          <w:rFonts w:ascii="Times New Roman" w:hAnsi="Times New Roman" w:cs="Times New Roman"/>
        </w:rPr>
        <w:t>).</w:t>
      </w:r>
    </w:p>
    <w:p w14:paraId="6C4368B3" w14:textId="77777777" w:rsidR="009B5C9D" w:rsidRDefault="009B5C9D" w:rsidP="009B5C9D">
      <w:pPr>
        <w:spacing w:after="0" w:line="220" w:lineRule="atLeast"/>
        <w:ind w:firstLine="227"/>
        <w:jc w:val="both"/>
        <w:rPr>
          <w:rFonts w:ascii="Times New Roman" w:hAnsi="Times New Roman" w:cs="Times New Roman"/>
        </w:rPr>
      </w:pPr>
    </w:p>
    <w:p w14:paraId="71148473" w14:textId="77777777" w:rsidR="009B5C9D" w:rsidRPr="00647D01" w:rsidRDefault="009B5C9D" w:rsidP="009B5C9D">
      <w:pPr>
        <w:spacing w:after="0" w:line="220" w:lineRule="atLeast"/>
        <w:ind w:firstLine="227"/>
        <w:jc w:val="both"/>
        <w:rPr>
          <w:rFonts w:ascii="Times New Roman" w:hAnsi="Times New Roman" w:cs="Times New Roman"/>
        </w:rPr>
      </w:pPr>
      <w:r w:rsidRPr="00647D01">
        <w:rPr>
          <w:rFonts w:ascii="Times New Roman" w:hAnsi="Times New Roman" w:cs="Times New Roman"/>
        </w:rPr>
        <w:t>The failure to perform such reduction is not consistent with the obligation for oil compa</w:t>
      </w:r>
      <w:r>
        <w:rPr>
          <w:rFonts w:ascii="Times New Roman" w:hAnsi="Times New Roman" w:cs="Times New Roman"/>
        </w:rPr>
        <w:softHyphen/>
      </w:r>
      <w:r w:rsidRPr="00647D01">
        <w:rPr>
          <w:rFonts w:ascii="Times New Roman" w:hAnsi="Times New Roman" w:cs="Times New Roman"/>
        </w:rPr>
        <w:t xml:space="preserve">nies under Norwegian jurisdiction to </w:t>
      </w:r>
      <w:r>
        <w:rPr>
          <w:rFonts w:ascii="Times New Roman" w:hAnsi="Times New Roman" w:cs="Times New Roman"/>
        </w:rPr>
        <w:t xml:space="preserve">work </w:t>
      </w:r>
      <w:r w:rsidRPr="00647D01">
        <w:rPr>
          <w:rFonts w:ascii="Times New Roman" w:hAnsi="Times New Roman" w:cs="Times New Roman"/>
        </w:rPr>
        <w:t xml:space="preserve">for continuous improvement. It is therefore </w:t>
      </w:r>
      <w:r>
        <w:rPr>
          <w:rFonts w:ascii="Times New Roman" w:hAnsi="Times New Roman" w:cs="Times New Roman"/>
        </w:rPr>
        <w:t>incom</w:t>
      </w:r>
      <w:r>
        <w:rPr>
          <w:rFonts w:ascii="Times New Roman" w:hAnsi="Times New Roman" w:cs="Times New Roman"/>
        </w:rPr>
        <w:softHyphen/>
      </w:r>
      <w:r w:rsidRPr="00647D01">
        <w:rPr>
          <w:rFonts w:ascii="Times New Roman" w:hAnsi="Times New Roman" w:cs="Times New Roman"/>
        </w:rPr>
        <w:t>prehensible why the Petroleum Safety Authority (PSA) has accepted this position</w:t>
      </w:r>
      <w:r>
        <w:rPr>
          <w:rFonts w:ascii="Times New Roman" w:hAnsi="Times New Roman" w:cs="Times New Roman"/>
        </w:rPr>
        <w:t>, especially in view of the significant focus on improvement over the last few years</w:t>
      </w:r>
      <w:r w:rsidRPr="00647D01">
        <w:rPr>
          <w:rFonts w:ascii="Times New Roman" w:hAnsi="Times New Roman" w:cs="Times New Roman"/>
        </w:rPr>
        <w:t xml:space="preserve">. </w:t>
      </w:r>
    </w:p>
    <w:p w14:paraId="3B2A1F7F" w14:textId="77777777" w:rsidR="009B5C9D" w:rsidRDefault="009B5C9D" w:rsidP="009B5C9D">
      <w:pPr>
        <w:spacing w:after="0" w:line="220" w:lineRule="atLeast"/>
        <w:ind w:firstLine="227"/>
        <w:jc w:val="both"/>
        <w:rPr>
          <w:rFonts w:ascii="Times New Roman" w:hAnsi="Times New Roman" w:cs="Times New Roman"/>
        </w:rPr>
      </w:pPr>
    </w:p>
    <w:p w14:paraId="5A071E61" w14:textId="6480E8EF" w:rsidR="009B5C9D" w:rsidRPr="00647D01" w:rsidRDefault="009B5C9D" w:rsidP="009B5C9D">
      <w:pPr>
        <w:spacing w:after="0" w:line="220" w:lineRule="atLeast"/>
        <w:ind w:firstLine="227"/>
        <w:jc w:val="both"/>
        <w:rPr>
          <w:rFonts w:ascii="Times New Roman" w:hAnsi="Times New Roman" w:cs="Times New Roman"/>
        </w:rPr>
      </w:pPr>
      <w:r>
        <w:rPr>
          <w:rFonts w:ascii="Times New Roman" w:hAnsi="Times New Roman" w:cs="Times New Roman"/>
        </w:rPr>
        <w:t xml:space="preserve">The </w:t>
      </w:r>
      <w:r w:rsidRPr="00647D01">
        <w:rPr>
          <w:rFonts w:ascii="Times New Roman" w:hAnsi="Times New Roman" w:cs="Times New Roman"/>
        </w:rPr>
        <w:t xml:space="preserve">PSA was recommended to focus on this aspect in a report by an expert group in 2013 to the Ministry of Labour and Social Affairs (ASD, 2013). Most of the recommendations in the report have been addressed by </w:t>
      </w:r>
      <w:r>
        <w:rPr>
          <w:rFonts w:ascii="Times New Roman" w:hAnsi="Times New Roman" w:cs="Times New Roman"/>
        </w:rPr>
        <w:t xml:space="preserve">the </w:t>
      </w:r>
      <w:r w:rsidRPr="00647D01">
        <w:rPr>
          <w:rFonts w:ascii="Times New Roman" w:hAnsi="Times New Roman" w:cs="Times New Roman"/>
        </w:rPr>
        <w:t xml:space="preserve">PSA, but not the aspect associated with RTC. This lack of attention </w:t>
      </w:r>
      <w:r w:rsidR="001E774A">
        <w:rPr>
          <w:rFonts w:ascii="Times New Roman" w:hAnsi="Times New Roman" w:cs="Times New Roman"/>
        </w:rPr>
        <w:t xml:space="preserve">is </w:t>
      </w:r>
      <w:r w:rsidRPr="00647D01">
        <w:rPr>
          <w:rFonts w:ascii="Times New Roman" w:hAnsi="Times New Roman" w:cs="Times New Roman"/>
        </w:rPr>
        <w:t>impossible to compre</w:t>
      </w:r>
      <w:r w:rsidRPr="00647D01">
        <w:rPr>
          <w:rFonts w:ascii="Times New Roman" w:hAnsi="Times New Roman" w:cs="Times New Roman"/>
        </w:rPr>
        <w:softHyphen/>
        <w:t xml:space="preserve">hend, given the high importance placed on risk tolerance </w:t>
      </w:r>
      <w:r>
        <w:rPr>
          <w:rFonts w:ascii="Times New Roman" w:hAnsi="Times New Roman" w:cs="Times New Roman"/>
        </w:rPr>
        <w:t xml:space="preserve">and risk-informed decision-making </w:t>
      </w:r>
      <w:r w:rsidRPr="00647D01">
        <w:rPr>
          <w:rFonts w:ascii="Times New Roman" w:hAnsi="Times New Roman" w:cs="Times New Roman"/>
        </w:rPr>
        <w:t xml:space="preserve">in the regulations. This appears to undermine </w:t>
      </w:r>
      <w:r>
        <w:rPr>
          <w:rFonts w:ascii="Times New Roman" w:hAnsi="Times New Roman" w:cs="Times New Roman"/>
        </w:rPr>
        <w:t xml:space="preserve">the </w:t>
      </w:r>
      <w:r w:rsidRPr="00647D01">
        <w:rPr>
          <w:rFonts w:ascii="Times New Roman" w:hAnsi="Times New Roman" w:cs="Times New Roman"/>
        </w:rPr>
        <w:t xml:space="preserve">PSA’s authority in </w:t>
      </w:r>
      <w:r>
        <w:rPr>
          <w:rFonts w:ascii="Times New Roman" w:hAnsi="Times New Roman" w:cs="Times New Roman"/>
        </w:rPr>
        <w:t xml:space="preserve">the view of </w:t>
      </w:r>
      <w:r w:rsidRPr="00647D01">
        <w:rPr>
          <w:rFonts w:ascii="Times New Roman" w:hAnsi="Times New Roman" w:cs="Times New Roman"/>
        </w:rPr>
        <w:t>many experts.</w:t>
      </w:r>
      <w:r>
        <w:rPr>
          <w:rFonts w:ascii="Times New Roman" w:hAnsi="Times New Roman" w:cs="Times New Roman"/>
        </w:rPr>
        <w:t xml:space="preserve"> The </w:t>
      </w:r>
      <w:r w:rsidRPr="00647D01">
        <w:rPr>
          <w:rFonts w:ascii="Times New Roman" w:hAnsi="Times New Roman" w:cs="Times New Roman"/>
        </w:rPr>
        <w:t xml:space="preserve">PSA has been reminded </w:t>
      </w:r>
      <w:r>
        <w:rPr>
          <w:rFonts w:ascii="Times New Roman" w:hAnsi="Times New Roman" w:cs="Times New Roman"/>
        </w:rPr>
        <w:t>o</w:t>
      </w:r>
      <w:r w:rsidRPr="00647D01">
        <w:rPr>
          <w:rFonts w:ascii="Times New Roman" w:hAnsi="Times New Roman" w:cs="Times New Roman"/>
        </w:rPr>
        <w:t xml:space="preserve">n several </w:t>
      </w:r>
      <w:r>
        <w:rPr>
          <w:rFonts w:ascii="Times New Roman" w:hAnsi="Times New Roman" w:cs="Times New Roman"/>
        </w:rPr>
        <w:t>occasions</w:t>
      </w:r>
      <w:r w:rsidRPr="00647D01">
        <w:rPr>
          <w:rFonts w:ascii="Times New Roman" w:hAnsi="Times New Roman" w:cs="Times New Roman"/>
        </w:rPr>
        <w:t xml:space="preserve"> and in several ways about this but </w:t>
      </w:r>
      <w:r>
        <w:rPr>
          <w:rFonts w:ascii="Times New Roman" w:hAnsi="Times New Roman" w:cs="Times New Roman"/>
        </w:rPr>
        <w:t xml:space="preserve">appears to </w:t>
      </w:r>
      <w:r w:rsidRPr="00647D01">
        <w:rPr>
          <w:rFonts w:ascii="Times New Roman" w:hAnsi="Times New Roman" w:cs="Times New Roman"/>
        </w:rPr>
        <w:t xml:space="preserve">have </w:t>
      </w:r>
      <w:r>
        <w:rPr>
          <w:rFonts w:ascii="Times New Roman" w:hAnsi="Times New Roman" w:cs="Times New Roman"/>
        </w:rPr>
        <w:t xml:space="preserve">ignored </w:t>
      </w:r>
      <w:r w:rsidRPr="00647D01">
        <w:rPr>
          <w:rFonts w:ascii="Times New Roman" w:hAnsi="Times New Roman" w:cs="Times New Roman"/>
        </w:rPr>
        <w:t xml:space="preserve">over </w:t>
      </w:r>
      <w:r>
        <w:rPr>
          <w:rFonts w:ascii="Times New Roman" w:hAnsi="Times New Roman" w:cs="Times New Roman"/>
        </w:rPr>
        <w:t xml:space="preserve">several </w:t>
      </w:r>
      <w:r w:rsidRPr="00647D01">
        <w:rPr>
          <w:rFonts w:ascii="Times New Roman" w:hAnsi="Times New Roman" w:cs="Times New Roman"/>
        </w:rPr>
        <w:t>years to act in this regard.</w:t>
      </w:r>
    </w:p>
    <w:p w14:paraId="5E2567DF" w14:textId="77777777" w:rsidR="009B5C9D" w:rsidRDefault="009B5C9D" w:rsidP="009B5C9D">
      <w:pPr>
        <w:spacing w:after="0" w:line="220" w:lineRule="atLeast"/>
        <w:ind w:firstLine="227"/>
        <w:jc w:val="both"/>
        <w:rPr>
          <w:rFonts w:ascii="Times New Roman" w:hAnsi="Times New Roman" w:cs="Times New Roman"/>
        </w:rPr>
      </w:pPr>
    </w:p>
    <w:p w14:paraId="5C0EC0C8" w14:textId="77777777" w:rsidR="009B5C9D" w:rsidRPr="00647D01" w:rsidRDefault="009B5C9D" w:rsidP="009B5C9D">
      <w:pPr>
        <w:spacing w:after="0" w:line="220" w:lineRule="atLeast"/>
        <w:ind w:firstLine="227"/>
        <w:jc w:val="both"/>
        <w:rPr>
          <w:rFonts w:ascii="Times New Roman" w:hAnsi="Times New Roman" w:cs="Times New Roman"/>
        </w:rPr>
      </w:pPr>
      <w:r w:rsidRPr="00647D01">
        <w:rPr>
          <w:rFonts w:ascii="Times New Roman" w:hAnsi="Times New Roman" w:cs="Times New Roman"/>
        </w:rPr>
        <w:t xml:space="preserve">It is </w:t>
      </w:r>
      <w:r>
        <w:rPr>
          <w:rFonts w:ascii="Times New Roman" w:hAnsi="Times New Roman" w:cs="Times New Roman"/>
        </w:rPr>
        <w:t xml:space="preserve">also </w:t>
      </w:r>
      <w:r w:rsidRPr="00647D01">
        <w:rPr>
          <w:rFonts w:ascii="Times New Roman" w:hAnsi="Times New Roman" w:cs="Times New Roman"/>
        </w:rPr>
        <w:t xml:space="preserve">noteworthy that one international operator with </w:t>
      </w:r>
      <w:r>
        <w:rPr>
          <w:rFonts w:ascii="Times New Roman" w:hAnsi="Times New Roman" w:cs="Times New Roman"/>
        </w:rPr>
        <w:t xml:space="preserve">a </w:t>
      </w:r>
      <w:r w:rsidRPr="00647D01">
        <w:rPr>
          <w:rFonts w:ascii="Times New Roman" w:hAnsi="Times New Roman" w:cs="Times New Roman"/>
        </w:rPr>
        <w:t xml:space="preserve">background </w:t>
      </w:r>
      <w:r>
        <w:rPr>
          <w:rFonts w:ascii="Times New Roman" w:hAnsi="Times New Roman" w:cs="Times New Roman"/>
        </w:rPr>
        <w:t>in</w:t>
      </w:r>
      <w:r w:rsidRPr="00647D01">
        <w:rPr>
          <w:rFonts w:ascii="Times New Roman" w:hAnsi="Times New Roman" w:cs="Times New Roman"/>
        </w:rPr>
        <w:t xml:space="preserve"> Norwegian operations, when faced with the need to decide on RTC for a new field development (outside the Norwegian sector), decided on these values:</w:t>
      </w:r>
    </w:p>
    <w:p w14:paraId="3D06B2A4" w14:textId="77777777" w:rsidR="009B5C9D" w:rsidRPr="00647D01" w:rsidRDefault="009B5C9D" w:rsidP="009B5C9D">
      <w:pPr>
        <w:spacing w:after="0" w:line="220" w:lineRule="atLeast"/>
        <w:ind w:firstLine="227"/>
        <w:jc w:val="both"/>
        <w:rPr>
          <w:rFonts w:ascii="Times New Roman" w:hAnsi="Times New Roman" w:cs="Times New Roman"/>
        </w:rPr>
      </w:pP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843"/>
      </w:tblGrid>
      <w:tr w:rsidR="009B5C9D" w:rsidRPr="00647D01" w14:paraId="6350B711" w14:textId="77777777" w:rsidTr="00CD3B0E">
        <w:tc>
          <w:tcPr>
            <w:tcW w:w="2552" w:type="dxa"/>
          </w:tcPr>
          <w:p w14:paraId="45000C54" w14:textId="77777777" w:rsidR="009B5C9D" w:rsidRPr="00647D01" w:rsidRDefault="009B5C9D" w:rsidP="00CD3B0E">
            <w:pPr>
              <w:spacing w:line="220" w:lineRule="atLeast"/>
              <w:jc w:val="both"/>
              <w:rPr>
                <w:rFonts w:ascii="Times New Roman" w:hAnsi="Times New Roman" w:cs="Times New Roman"/>
              </w:rPr>
            </w:pPr>
            <w:r w:rsidRPr="00647D01">
              <w:rPr>
                <w:rFonts w:ascii="Times New Roman" w:hAnsi="Times New Roman" w:cs="Times New Roman"/>
                <w:color w:val="000000"/>
                <w:lang w:val="en-GB"/>
              </w:rPr>
              <w:t>Average individual risk:</w:t>
            </w:r>
          </w:p>
        </w:tc>
        <w:tc>
          <w:tcPr>
            <w:tcW w:w="1843" w:type="dxa"/>
          </w:tcPr>
          <w:p w14:paraId="2DE5C8AF" w14:textId="77777777" w:rsidR="009B5C9D" w:rsidRPr="00647D01" w:rsidRDefault="009B5C9D" w:rsidP="00CD3B0E">
            <w:pPr>
              <w:spacing w:line="220" w:lineRule="atLeast"/>
              <w:jc w:val="both"/>
              <w:rPr>
                <w:rFonts w:ascii="Times New Roman" w:hAnsi="Times New Roman" w:cs="Times New Roman"/>
              </w:rPr>
            </w:pPr>
            <w:r w:rsidRPr="00647D01">
              <w:rPr>
                <w:rFonts w:ascii="Times New Roman" w:hAnsi="Times New Roman" w:cs="Times New Roman"/>
                <w:color w:val="000000"/>
                <w:lang w:val="en-GB"/>
              </w:rPr>
              <w:t>2</w:t>
            </w:r>
            <w:r w:rsidRPr="00647D01">
              <w:rPr>
                <w:rFonts w:ascii="Times New Roman" w:hAnsi="Times New Roman" w:cs="Times New Roman"/>
              </w:rPr>
              <w:t xml:space="preserve"> </w:t>
            </w:r>
            <w:r w:rsidRPr="00647D01">
              <w:rPr>
                <w:rFonts w:ascii="Times New Roman" w:hAnsi="Times New Roman" w:cs="Times New Roman"/>
              </w:rPr>
              <w:sym w:font="Wingdings" w:char="F0A0"/>
            </w:r>
            <w:r w:rsidRPr="00647D01">
              <w:rPr>
                <w:rFonts w:ascii="Times New Roman" w:hAnsi="Times New Roman" w:cs="Times New Roman"/>
              </w:rPr>
              <w:t xml:space="preserve"> 10</w:t>
            </w:r>
            <w:r w:rsidRPr="00647D01">
              <w:rPr>
                <w:rFonts w:ascii="Times New Roman" w:hAnsi="Times New Roman" w:cs="Times New Roman"/>
                <w:vertAlign w:val="superscript"/>
              </w:rPr>
              <w:t>-4</w:t>
            </w:r>
            <w:r w:rsidRPr="00647D01">
              <w:rPr>
                <w:rFonts w:ascii="Times New Roman" w:hAnsi="Times New Roman" w:cs="Times New Roman"/>
              </w:rPr>
              <w:t xml:space="preserve"> per year</w:t>
            </w:r>
          </w:p>
        </w:tc>
      </w:tr>
      <w:tr w:rsidR="009B5C9D" w:rsidRPr="00647D01" w14:paraId="42742AD6" w14:textId="77777777" w:rsidTr="00CD3B0E">
        <w:tc>
          <w:tcPr>
            <w:tcW w:w="2552" w:type="dxa"/>
          </w:tcPr>
          <w:p w14:paraId="2A8BEAAF" w14:textId="77777777" w:rsidR="009B5C9D" w:rsidRPr="00647D01" w:rsidRDefault="009B5C9D" w:rsidP="00CD3B0E">
            <w:pPr>
              <w:spacing w:line="220" w:lineRule="atLeast"/>
              <w:rPr>
                <w:rFonts w:ascii="Times New Roman" w:hAnsi="Times New Roman" w:cs="Times New Roman"/>
              </w:rPr>
            </w:pPr>
            <w:r w:rsidRPr="00647D01">
              <w:rPr>
                <w:rFonts w:ascii="Times New Roman" w:hAnsi="Times New Roman" w:cs="Times New Roman"/>
                <w:color w:val="000000"/>
                <w:lang w:val="en-GB"/>
              </w:rPr>
              <w:t>Individual risk for most exposed group:</w:t>
            </w:r>
          </w:p>
        </w:tc>
        <w:tc>
          <w:tcPr>
            <w:tcW w:w="1843" w:type="dxa"/>
          </w:tcPr>
          <w:p w14:paraId="54B6F771" w14:textId="77777777" w:rsidR="009B5C9D" w:rsidRPr="00647D01" w:rsidRDefault="009B5C9D" w:rsidP="00CD3B0E">
            <w:pPr>
              <w:spacing w:line="220" w:lineRule="atLeast"/>
              <w:jc w:val="both"/>
              <w:rPr>
                <w:rFonts w:ascii="Times New Roman" w:hAnsi="Times New Roman" w:cs="Times New Roman"/>
                <w:color w:val="000000"/>
                <w:lang w:val="en-GB"/>
              </w:rPr>
            </w:pPr>
          </w:p>
          <w:p w14:paraId="0A3F88EA" w14:textId="77777777" w:rsidR="009B5C9D" w:rsidRPr="00647D01" w:rsidRDefault="009B5C9D" w:rsidP="00CD3B0E">
            <w:pPr>
              <w:spacing w:line="220" w:lineRule="atLeast"/>
              <w:jc w:val="both"/>
              <w:rPr>
                <w:rFonts w:ascii="Times New Roman" w:hAnsi="Times New Roman" w:cs="Times New Roman"/>
              </w:rPr>
            </w:pPr>
            <w:r w:rsidRPr="00647D01">
              <w:rPr>
                <w:rFonts w:ascii="Times New Roman" w:hAnsi="Times New Roman" w:cs="Times New Roman"/>
                <w:color w:val="000000"/>
                <w:lang w:val="en-GB"/>
              </w:rPr>
              <w:t>5</w:t>
            </w:r>
            <w:r w:rsidRPr="00647D01">
              <w:rPr>
                <w:rFonts w:ascii="Times New Roman" w:hAnsi="Times New Roman" w:cs="Times New Roman"/>
              </w:rPr>
              <w:t xml:space="preserve"> </w:t>
            </w:r>
            <w:r w:rsidRPr="00647D01">
              <w:rPr>
                <w:rFonts w:ascii="Times New Roman" w:hAnsi="Times New Roman" w:cs="Times New Roman"/>
              </w:rPr>
              <w:sym w:font="Wingdings" w:char="F0A0"/>
            </w:r>
            <w:r w:rsidRPr="00647D01">
              <w:rPr>
                <w:rFonts w:ascii="Times New Roman" w:hAnsi="Times New Roman" w:cs="Times New Roman"/>
              </w:rPr>
              <w:t xml:space="preserve"> 10</w:t>
            </w:r>
            <w:r w:rsidRPr="00647D01">
              <w:rPr>
                <w:rFonts w:ascii="Times New Roman" w:hAnsi="Times New Roman" w:cs="Times New Roman"/>
                <w:vertAlign w:val="superscript"/>
              </w:rPr>
              <w:t>-4</w:t>
            </w:r>
            <w:r w:rsidRPr="00647D01">
              <w:rPr>
                <w:rFonts w:ascii="Times New Roman" w:hAnsi="Times New Roman" w:cs="Times New Roman"/>
              </w:rPr>
              <w:t xml:space="preserve"> per year</w:t>
            </w:r>
          </w:p>
        </w:tc>
      </w:tr>
    </w:tbl>
    <w:p w14:paraId="7D9C258F" w14:textId="77777777" w:rsidR="009B5C9D" w:rsidRDefault="009B5C9D" w:rsidP="009B5C9D">
      <w:pPr>
        <w:spacing w:after="0" w:line="220" w:lineRule="atLeast"/>
        <w:ind w:firstLine="227"/>
        <w:jc w:val="both"/>
        <w:rPr>
          <w:rFonts w:ascii="Times New Roman" w:hAnsi="Times New Roman" w:cs="Times New Roman"/>
        </w:rPr>
      </w:pPr>
    </w:p>
    <w:p w14:paraId="6A59ECA3" w14:textId="20F5AE26" w:rsidR="009B5C9D" w:rsidRDefault="009B5C9D" w:rsidP="009B5C9D">
      <w:pPr>
        <w:spacing w:after="0" w:line="220" w:lineRule="atLeast"/>
        <w:ind w:firstLine="227"/>
        <w:jc w:val="both"/>
        <w:rPr>
          <w:rFonts w:ascii="Times New Roman" w:hAnsi="Times New Roman" w:cs="Times New Roman"/>
        </w:rPr>
      </w:pPr>
      <w:r>
        <w:rPr>
          <w:rFonts w:ascii="Times New Roman" w:hAnsi="Times New Roman" w:cs="Times New Roman"/>
        </w:rPr>
        <w:t>These values correspond to FAR values of 4.6 and 11.4 respectively (2 persons per posi</w:t>
      </w:r>
      <w:r>
        <w:rPr>
          <w:rFonts w:ascii="Times New Roman" w:hAnsi="Times New Roman" w:cs="Times New Roman"/>
        </w:rPr>
        <w:softHyphen/>
        <w:t>tion). They are thus significantly above FAR = 1.0, but it should be considered that the field development is planned for a sector with significantly higher fatality statistics compared to the Norwegian sector. Still, the value chosen for the average FAR (4.6) is significantly below what Norwegian companies have adopted.</w:t>
      </w:r>
    </w:p>
    <w:p w14:paraId="710D57FC" w14:textId="77777777" w:rsidR="009B5C9D" w:rsidRPr="00DC3B33" w:rsidRDefault="009B5C9D" w:rsidP="00036449">
      <w:pPr>
        <w:spacing w:after="0" w:line="220" w:lineRule="atLeast"/>
        <w:ind w:firstLine="227"/>
        <w:jc w:val="both"/>
        <w:rPr>
          <w:rFonts w:ascii="Times New Roman" w:hAnsi="Times New Roman" w:cs="Times New Roman"/>
        </w:rPr>
      </w:pPr>
    </w:p>
    <w:p w14:paraId="4C1DB892" w14:textId="25E446A7" w:rsidR="00036449" w:rsidRPr="00DC3B33" w:rsidRDefault="00F976C2" w:rsidP="00036449">
      <w:pPr>
        <w:keepNext/>
        <w:spacing w:before="230" w:after="100" w:line="220" w:lineRule="atLeast"/>
        <w:ind w:left="227" w:hanging="227"/>
        <w:rPr>
          <w:rFonts w:ascii="Times New Roman" w:hAnsi="Times New Roman" w:cs="Times New Roman"/>
          <w:b/>
        </w:rPr>
      </w:pPr>
      <w:r>
        <w:rPr>
          <w:rFonts w:ascii="Times New Roman" w:hAnsi="Times New Roman" w:cs="Times New Roman"/>
          <w:b/>
        </w:rPr>
        <w:t>4</w:t>
      </w:r>
      <w:r w:rsidR="00036449" w:rsidRPr="00DC3B33">
        <w:rPr>
          <w:rFonts w:ascii="Times New Roman" w:hAnsi="Times New Roman" w:cs="Times New Roman"/>
          <w:b/>
        </w:rPr>
        <w:t xml:space="preserve">. Case Study </w:t>
      </w:r>
      <w:r w:rsidR="007A62DF">
        <w:rPr>
          <w:rFonts w:ascii="Times New Roman" w:hAnsi="Times New Roman" w:cs="Times New Roman"/>
          <w:b/>
        </w:rPr>
        <w:t>Risk Results</w:t>
      </w:r>
      <w:r w:rsidR="005A763B">
        <w:rPr>
          <w:rFonts w:ascii="Times New Roman" w:hAnsi="Times New Roman" w:cs="Times New Roman"/>
          <w:b/>
        </w:rPr>
        <w:t xml:space="preserve"> and </w:t>
      </w:r>
      <w:r w:rsidR="001A5C78">
        <w:rPr>
          <w:rFonts w:ascii="Times New Roman" w:hAnsi="Times New Roman" w:cs="Times New Roman"/>
          <w:b/>
        </w:rPr>
        <w:t>Assessment of Risk</w:t>
      </w:r>
      <w:r w:rsidR="00036449" w:rsidRPr="00DC3B33">
        <w:rPr>
          <w:rFonts w:ascii="Times New Roman" w:hAnsi="Times New Roman" w:cs="Times New Roman"/>
          <w:b/>
        </w:rPr>
        <w:t xml:space="preserve"> </w:t>
      </w:r>
    </w:p>
    <w:p w14:paraId="7FED22B8" w14:textId="2EB179C3" w:rsidR="000000C4" w:rsidRPr="00DC3B33" w:rsidRDefault="00F976C2" w:rsidP="00B4738B">
      <w:pPr>
        <w:keepNext/>
        <w:spacing w:before="230" w:after="100" w:line="220" w:lineRule="atLeast"/>
        <w:ind w:left="227" w:hanging="227"/>
        <w:rPr>
          <w:rFonts w:ascii="Times New Roman" w:hAnsi="Times New Roman" w:cs="Times New Roman"/>
          <w:i/>
        </w:rPr>
      </w:pPr>
      <w:r>
        <w:rPr>
          <w:rFonts w:ascii="Times New Roman" w:hAnsi="Times New Roman" w:cs="Times New Roman"/>
          <w:i/>
        </w:rPr>
        <w:t>4</w:t>
      </w:r>
      <w:r w:rsidR="00FD1576">
        <w:rPr>
          <w:rFonts w:ascii="Times New Roman" w:hAnsi="Times New Roman" w:cs="Times New Roman"/>
          <w:i/>
        </w:rPr>
        <w:t>.1</w:t>
      </w:r>
      <w:r w:rsidR="000000C4" w:rsidRPr="00DC3B33">
        <w:rPr>
          <w:rFonts w:ascii="Times New Roman" w:hAnsi="Times New Roman" w:cs="Times New Roman"/>
          <w:i/>
        </w:rPr>
        <w:t xml:space="preserve"> Personnel </w:t>
      </w:r>
      <w:r w:rsidR="00E1476C" w:rsidRPr="00DC3B33">
        <w:rPr>
          <w:rFonts w:ascii="Times New Roman" w:hAnsi="Times New Roman" w:cs="Times New Roman"/>
          <w:i/>
        </w:rPr>
        <w:t>Risk Results</w:t>
      </w:r>
    </w:p>
    <w:p w14:paraId="76B5F9AB" w14:textId="79A16405" w:rsidR="00701BD6" w:rsidRDefault="000000C4" w:rsidP="00B4738B">
      <w:pPr>
        <w:spacing w:after="0" w:line="220" w:lineRule="atLeast"/>
        <w:jc w:val="both"/>
        <w:rPr>
          <w:rFonts w:ascii="Times New Roman" w:hAnsi="Times New Roman" w:cs="Times New Roman"/>
          <w:lang w:val="en-US"/>
        </w:rPr>
      </w:pPr>
      <w:r w:rsidRPr="00DC3B33">
        <w:rPr>
          <w:rFonts w:ascii="Times New Roman" w:hAnsi="Times New Roman" w:cs="Times New Roman"/>
          <w:lang w:val="en-US"/>
        </w:rPr>
        <w:t xml:space="preserve">The personnel risk results </w:t>
      </w:r>
      <w:r w:rsidR="005F78E7">
        <w:rPr>
          <w:rFonts w:ascii="Times New Roman" w:hAnsi="Times New Roman" w:cs="Times New Roman"/>
          <w:lang w:val="en-US"/>
        </w:rPr>
        <w:t xml:space="preserve">for the case study as outlined in Chapter 2 </w:t>
      </w:r>
      <w:r w:rsidR="004563DD" w:rsidRPr="00DC3B33">
        <w:rPr>
          <w:rFonts w:ascii="Times New Roman" w:hAnsi="Times New Roman" w:cs="Times New Roman"/>
          <w:lang w:val="en-US"/>
        </w:rPr>
        <w:t xml:space="preserve">were </w:t>
      </w:r>
      <w:r w:rsidRPr="00DC3B33">
        <w:rPr>
          <w:rFonts w:ascii="Times New Roman" w:hAnsi="Times New Roman" w:cs="Times New Roman"/>
          <w:lang w:val="en-US"/>
        </w:rPr>
        <w:t>calculated on the basis of the adjusted leak fre</w:t>
      </w:r>
      <w:r w:rsidRPr="00DC3B33">
        <w:rPr>
          <w:rFonts w:ascii="Times New Roman" w:hAnsi="Times New Roman" w:cs="Times New Roman"/>
          <w:lang w:val="en-US"/>
        </w:rPr>
        <w:softHyphen/>
        <w:t xml:space="preserve">quencies as </w:t>
      </w:r>
      <w:r w:rsidR="00BF06D0" w:rsidRPr="00DC3B33">
        <w:rPr>
          <w:rFonts w:ascii="Times New Roman" w:hAnsi="Times New Roman" w:cs="Times New Roman"/>
          <w:lang w:val="en-US"/>
        </w:rPr>
        <w:t xml:space="preserve">presented </w:t>
      </w:r>
      <w:r w:rsidRPr="00DC3B33">
        <w:rPr>
          <w:rFonts w:ascii="Times New Roman" w:hAnsi="Times New Roman" w:cs="Times New Roman"/>
          <w:lang w:val="en-US"/>
        </w:rPr>
        <w:t>above, as well as the revised node probabi</w:t>
      </w:r>
      <w:r w:rsidRPr="00DC3B33">
        <w:rPr>
          <w:rFonts w:ascii="Times New Roman" w:hAnsi="Times New Roman" w:cs="Times New Roman"/>
          <w:lang w:val="en-US"/>
        </w:rPr>
        <w:softHyphen/>
        <w:t>lities</w:t>
      </w:r>
      <w:r w:rsidR="00095788">
        <w:rPr>
          <w:rFonts w:ascii="Times New Roman" w:hAnsi="Times New Roman" w:cs="Times New Roman"/>
          <w:lang w:val="en-US"/>
        </w:rPr>
        <w:t xml:space="preserve"> according to d</w:t>
      </w:r>
      <w:r w:rsidR="006A61DF" w:rsidRPr="00DC3B33">
        <w:rPr>
          <w:rFonts w:ascii="Times New Roman" w:hAnsi="Times New Roman" w:cs="Times New Roman"/>
          <w:lang w:val="en-US"/>
        </w:rPr>
        <w:t>etails</w:t>
      </w:r>
      <w:r w:rsidR="003924E7" w:rsidRPr="00DC3B33">
        <w:rPr>
          <w:rFonts w:ascii="Times New Roman" w:hAnsi="Times New Roman" w:cs="Times New Roman"/>
          <w:lang w:val="en-US"/>
        </w:rPr>
        <w:t xml:space="preserve"> discussed in Vinnem and Røed (20</w:t>
      </w:r>
      <w:r w:rsidR="00276A7C">
        <w:rPr>
          <w:rFonts w:ascii="Times New Roman" w:hAnsi="Times New Roman" w:cs="Times New Roman"/>
          <w:lang w:val="en-US"/>
        </w:rPr>
        <w:t>20</w:t>
      </w:r>
      <w:r w:rsidR="003924E7" w:rsidRPr="00DC3B33">
        <w:rPr>
          <w:rFonts w:ascii="Times New Roman" w:hAnsi="Times New Roman" w:cs="Times New Roman"/>
          <w:lang w:val="en-US"/>
        </w:rPr>
        <w:t>) and Vinnem and Bud</w:t>
      </w:r>
      <w:r w:rsidR="00450A3B" w:rsidRPr="00DC3B33">
        <w:rPr>
          <w:rFonts w:ascii="Times New Roman" w:hAnsi="Times New Roman" w:cs="Times New Roman"/>
          <w:lang w:val="en-US"/>
        </w:rPr>
        <w:t xml:space="preserve">de (2019). </w:t>
      </w:r>
      <w:r w:rsidRPr="00DC3B33">
        <w:rPr>
          <w:rFonts w:ascii="Times New Roman" w:hAnsi="Times New Roman" w:cs="Times New Roman"/>
          <w:lang w:val="en-US"/>
        </w:rPr>
        <w:t xml:space="preserve">The risk </w:t>
      </w:r>
      <w:r w:rsidR="00095788">
        <w:rPr>
          <w:rFonts w:ascii="Times New Roman" w:hAnsi="Times New Roman" w:cs="Times New Roman"/>
          <w:lang w:val="en-US"/>
        </w:rPr>
        <w:t xml:space="preserve">levels presented </w:t>
      </w:r>
      <w:r w:rsidRPr="00DC3B33">
        <w:rPr>
          <w:rFonts w:ascii="Times New Roman" w:hAnsi="Times New Roman" w:cs="Times New Roman"/>
          <w:lang w:val="en-US"/>
        </w:rPr>
        <w:t xml:space="preserve">for personnel </w:t>
      </w:r>
      <w:r w:rsidR="00095788">
        <w:rPr>
          <w:rFonts w:ascii="Times New Roman" w:hAnsi="Times New Roman" w:cs="Times New Roman"/>
          <w:lang w:val="en-US"/>
        </w:rPr>
        <w:t xml:space="preserve">are </w:t>
      </w:r>
      <w:r w:rsidRPr="00DC3B33">
        <w:rPr>
          <w:rFonts w:ascii="Times New Roman" w:hAnsi="Times New Roman" w:cs="Times New Roman"/>
          <w:lang w:val="en-US"/>
        </w:rPr>
        <w:t xml:space="preserve">obviously only relevant in the periods when the installation is manned. The risk results presented here only reflect fire and explosion hazards due to process systems on the topsides of the installation. </w:t>
      </w:r>
    </w:p>
    <w:p w14:paraId="0965D997" w14:textId="02139B0C" w:rsidR="00701BD6" w:rsidRDefault="00701BD6" w:rsidP="00B4738B">
      <w:pPr>
        <w:spacing w:after="0" w:line="220" w:lineRule="atLeast"/>
        <w:jc w:val="both"/>
        <w:rPr>
          <w:rFonts w:ascii="Times New Roman" w:hAnsi="Times New Roman" w:cs="Times New Roman"/>
          <w:lang w:val="en-US"/>
        </w:rPr>
      </w:pPr>
    </w:p>
    <w:p w14:paraId="452FD97A" w14:textId="6999067A" w:rsidR="00BA1313" w:rsidRDefault="00BA1313" w:rsidP="00B4738B">
      <w:pPr>
        <w:spacing w:after="0" w:line="220" w:lineRule="atLeast"/>
        <w:jc w:val="both"/>
        <w:rPr>
          <w:rFonts w:ascii="Times New Roman" w:hAnsi="Times New Roman" w:cs="Times New Roman"/>
          <w:lang w:val="en-US"/>
        </w:rPr>
      </w:pPr>
      <w:r>
        <w:rPr>
          <w:rFonts w:ascii="Times New Roman" w:hAnsi="Times New Roman" w:cs="Times New Roman"/>
          <w:lang w:val="en-US"/>
        </w:rPr>
        <w:t>Individual risk for personnel is presented as Fatal Accident Rate, i.e. fatalities</w:t>
      </w:r>
      <w:r w:rsidR="00B55405">
        <w:rPr>
          <w:rFonts w:ascii="Times New Roman" w:hAnsi="Times New Roman" w:cs="Times New Roman"/>
          <w:lang w:val="en-US"/>
        </w:rPr>
        <w:t xml:space="preserve"> per 100 million </w:t>
      </w:r>
      <w:r w:rsidR="004716C7">
        <w:rPr>
          <w:rFonts w:ascii="Times New Roman" w:hAnsi="Times New Roman" w:cs="Times New Roman"/>
          <w:lang w:val="en-US"/>
        </w:rPr>
        <w:t xml:space="preserve">exposure </w:t>
      </w:r>
      <w:r w:rsidR="00B55405">
        <w:rPr>
          <w:rFonts w:ascii="Times New Roman" w:hAnsi="Times New Roman" w:cs="Times New Roman"/>
          <w:lang w:val="en-US"/>
        </w:rPr>
        <w:t>hours</w:t>
      </w:r>
      <w:r w:rsidR="004716C7">
        <w:rPr>
          <w:rFonts w:ascii="Times New Roman" w:hAnsi="Times New Roman" w:cs="Times New Roman"/>
          <w:lang w:val="en-US"/>
        </w:rPr>
        <w:t>.</w:t>
      </w:r>
      <w:r w:rsidR="00AA301B">
        <w:rPr>
          <w:rFonts w:ascii="Times New Roman" w:hAnsi="Times New Roman" w:cs="Times New Roman"/>
          <w:lang w:val="en-US"/>
        </w:rPr>
        <w:t xml:space="preserve"> Societal risk is </w:t>
      </w:r>
      <w:r w:rsidR="008069D9">
        <w:rPr>
          <w:rFonts w:ascii="Times New Roman" w:hAnsi="Times New Roman" w:cs="Times New Roman"/>
          <w:lang w:val="en-US"/>
        </w:rPr>
        <w:t>presented as Potential Loss of Life (PLL) values</w:t>
      </w:r>
      <w:r w:rsidR="008E0E0D">
        <w:rPr>
          <w:rFonts w:ascii="Times New Roman" w:hAnsi="Times New Roman" w:cs="Times New Roman"/>
          <w:lang w:val="en-US"/>
        </w:rPr>
        <w:t xml:space="preserve">, expressing the </w:t>
      </w:r>
      <w:r w:rsidR="00BD4C05">
        <w:rPr>
          <w:rFonts w:ascii="Times New Roman" w:hAnsi="Times New Roman" w:cs="Times New Roman"/>
          <w:lang w:val="en-US"/>
        </w:rPr>
        <w:t xml:space="preserve">total number of </w:t>
      </w:r>
      <w:r w:rsidR="00413EE7">
        <w:rPr>
          <w:rFonts w:ascii="Times New Roman" w:hAnsi="Times New Roman" w:cs="Times New Roman"/>
          <w:lang w:val="en-US"/>
        </w:rPr>
        <w:t xml:space="preserve">expected </w:t>
      </w:r>
      <w:r w:rsidR="00BD4C05">
        <w:rPr>
          <w:rFonts w:ascii="Times New Roman" w:hAnsi="Times New Roman" w:cs="Times New Roman"/>
          <w:lang w:val="en-US"/>
        </w:rPr>
        <w:t xml:space="preserve">fatalities for the </w:t>
      </w:r>
      <w:r w:rsidR="00413EE7">
        <w:rPr>
          <w:rFonts w:ascii="Times New Roman" w:hAnsi="Times New Roman" w:cs="Times New Roman"/>
          <w:lang w:val="en-US"/>
        </w:rPr>
        <w:t>installation per year.</w:t>
      </w:r>
    </w:p>
    <w:p w14:paraId="63C2088E" w14:textId="77777777" w:rsidR="004716C7" w:rsidRDefault="004716C7" w:rsidP="00B4738B">
      <w:pPr>
        <w:spacing w:after="0" w:line="220" w:lineRule="atLeast"/>
        <w:jc w:val="both"/>
        <w:rPr>
          <w:rFonts w:ascii="Times New Roman" w:hAnsi="Times New Roman" w:cs="Times New Roman"/>
          <w:lang w:val="en-US"/>
        </w:rPr>
      </w:pPr>
    </w:p>
    <w:p w14:paraId="0BAEDA21" w14:textId="76126C3D" w:rsidR="00DC13AB" w:rsidRPr="00DC3B33" w:rsidRDefault="005F78E7" w:rsidP="00B4738B">
      <w:pPr>
        <w:spacing w:after="0" w:line="220" w:lineRule="atLeast"/>
        <w:jc w:val="both"/>
        <w:rPr>
          <w:rFonts w:ascii="Times New Roman" w:hAnsi="Times New Roman" w:cs="Times New Roman"/>
          <w:lang w:val="en-US"/>
        </w:rPr>
      </w:pPr>
      <w:r w:rsidRPr="00A75975">
        <w:rPr>
          <w:rFonts w:ascii="Times New Roman" w:hAnsi="Times New Roman" w:cs="Times New Roman"/>
          <w:lang w:val="en-US"/>
        </w:rPr>
        <w:fldChar w:fldCharType="begin"/>
      </w:r>
      <w:r w:rsidRPr="005F78E7">
        <w:rPr>
          <w:rFonts w:ascii="Times New Roman" w:hAnsi="Times New Roman" w:cs="Times New Roman"/>
          <w:lang w:val="en-US"/>
        </w:rPr>
        <w:instrText xml:space="preserve"> REF _Ref47334914 \h </w:instrText>
      </w:r>
      <w:r>
        <w:rPr>
          <w:rFonts w:ascii="Times New Roman" w:hAnsi="Times New Roman" w:cs="Times New Roman"/>
          <w:lang w:val="en-US"/>
        </w:rPr>
        <w:instrText xml:space="preserve"> \* MERGEFORMAT </w:instrText>
      </w:r>
      <w:r w:rsidRPr="00A75975">
        <w:rPr>
          <w:rFonts w:ascii="Times New Roman" w:hAnsi="Times New Roman" w:cs="Times New Roman"/>
          <w:lang w:val="en-US"/>
        </w:rPr>
      </w:r>
      <w:r w:rsidRPr="00A75975">
        <w:rPr>
          <w:rFonts w:ascii="Times New Roman" w:hAnsi="Times New Roman" w:cs="Times New Roman"/>
          <w:lang w:val="en-US"/>
        </w:rPr>
        <w:fldChar w:fldCharType="separate"/>
      </w:r>
      <w:r w:rsidRPr="00A75975">
        <w:rPr>
          <w:rFonts w:ascii="Times New Roman" w:hAnsi="Times New Roman" w:cs="Times New Roman"/>
        </w:rPr>
        <w:t xml:space="preserve">Figure </w:t>
      </w:r>
      <w:r w:rsidRPr="00A75975">
        <w:rPr>
          <w:rFonts w:ascii="Times New Roman" w:hAnsi="Times New Roman" w:cs="Times New Roman"/>
          <w:noProof/>
        </w:rPr>
        <w:t>3</w:t>
      </w:r>
      <w:r w:rsidRPr="00A75975">
        <w:rPr>
          <w:rFonts w:ascii="Times New Roman" w:hAnsi="Times New Roman" w:cs="Times New Roman"/>
          <w:lang w:val="en-US"/>
        </w:rPr>
        <w:fldChar w:fldCharType="end"/>
      </w:r>
      <w:r>
        <w:rPr>
          <w:rFonts w:ascii="Times New Roman" w:hAnsi="Times New Roman" w:cs="Times New Roman"/>
          <w:lang w:val="en-US"/>
        </w:rPr>
        <w:t xml:space="preserve"> </w:t>
      </w:r>
      <w:r w:rsidR="000000C4" w:rsidRPr="00DC3B33">
        <w:rPr>
          <w:rFonts w:ascii="Times New Roman" w:hAnsi="Times New Roman" w:cs="Times New Roman"/>
          <w:lang w:val="en-US"/>
        </w:rPr>
        <w:t>presents the different cases</w:t>
      </w:r>
      <w:r w:rsidR="004716C7">
        <w:rPr>
          <w:rFonts w:ascii="Times New Roman" w:hAnsi="Times New Roman" w:cs="Times New Roman"/>
          <w:lang w:val="en-US"/>
        </w:rPr>
        <w:t xml:space="preserve"> for individual risk</w:t>
      </w:r>
      <w:r w:rsidR="00413EE7">
        <w:rPr>
          <w:rFonts w:ascii="Times New Roman" w:hAnsi="Times New Roman" w:cs="Times New Roman"/>
          <w:lang w:val="en-US"/>
        </w:rPr>
        <w:t xml:space="preserve"> </w:t>
      </w:r>
      <w:r w:rsidR="002F2923">
        <w:rPr>
          <w:rFonts w:ascii="Times New Roman" w:hAnsi="Times New Roman" w:cs="Times New Roman"/>
          <w:lang w:val="en-US"/>
        </w:rPr>
        <w:t>(FAR v</w:t>
      </w:r>
      <w:r w:rsidR="009077EC">
        <w:rPr>
          <w:rFonts w:ascii="Times New Roman" w:hAnsi="Times New Roman" w:cs="Times New Roman"/>
          <w:lang w:val="en-US"/>
        </w:rPr>
        <w:t xml:space="preserve">alues) </w:t>
      </w:r>
      <w:r w:rsidR="00413EE7">
        <w:rPr>
          <w:rFonts w:ascii="Times New Roman" w:hAnsi="Times New Roman" w:cs="Times New Roman"/>
          <w:lang w:val="en-US"/>
        </w:rPr>
        <w:t xml:space="preserve">with different manning levels and </w:t>
      </w:r>
      <w:r w:rsidR="009C322C">
        <w:rPr>
          <w:rFonts w:ascii="Times New Roman" w:hAnsi="Times New Roman" w:cs="Times New Roman"/>
          <w:lang w:val="en-US"/>
        </w:rPr>
        <w:t>extent of safety systems</w:t>
      </w:r>
      <w:r w:rsidR="000000C4" w:rsidRPr="00DC3B33">
        <w:rPr>
          <w:rFonts w:ascii="Times New Roman" w:hAnsi="Times New Roman" w:cs="Times New Roman"/>
          <w:lang w:val="en-US"/>
        </w:rPr>
        <w:t>.</w:t>
      </w:r>
      <w:bookmarkStart w:id="36" w:name="_Ref962147"/>
      <w:bookmarkStart w:id="37" w:name="_Ref531112015"/>
    </w:p>
    <w:bookmarkEnd w:id="36"/>
    <w:bookmarkEnd w:id="37"/>
    <w:p w14:paraId="7DF1935D" w14:textId="0A54A337" w:rsidR="002540DA" w:rsidRPr="007C0A3B" w:rsidRDefault="00276A7C" w:rsidP="00B4738B">
      <w:pPr>
        <w:spacing w:line="220" w:lineRule="atLeast"/>
        <w:jc w:val="center"/>
        <w:rPr>
          <w:lang w:val="en-GB" w:eastAsia="nb-NO"/>
        </w:rPr>
      </w:pPr>
      <w:r>
        <w:rPr>
          <w:noProof/>
          <w:lang w:val="en-GB" w:eastAsia="en-GB"/>
        </w:rPr>
        <w:drawing>
          <wp:inline distT="0" distB="0" distL="0" distR="0" wp14:anchorId="2C702794" wp14:editId="3476AD9B">
            <wp:extent cx="4032000" cy="2418864"/>
            <wp:effectExtent l="0" t="0" r="6985" b="63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5611" cy="2427030"/>
                    </a:xfrm>
                    <a:prstGeom prst="rect">
                      <a:avLst/>
                    </a:prstGeom>
                    <a:noFill/>
                  </pic:spPr>
                </pic:pic>
              </a:graphicData>
            </a:graphic>
          </wp:inline>
        </w:drawing>
      </w:r>
    </w:p>
    <w:p w14:paraId="37AF42C2" w14:textId="2B13E15C" w:rsidR="002540DA" w:rsidRDefault="002540DA" w:rsidP="00B4738B">
      <w:pPr>
        <w:pStyle w:val="Bildetekst"/>
        <w:spacing w:line="220" w:lineRule="atLeast"/>
        <w:jc w:val="center"/>
        <w:rPr>
          <w:rFonts w:ascii="Times New Roman" w:hAnsi="Times New Roman"/>
          <w:b w:val="0"/>
          <w:bCs/>
        </w:rPr>
      </w:pPr>
      <w:bookmarkStart w:id="38" w:name="_Ref47334914"/>
      <w:r>
        <w:t xml:space="preserve">Figure </w:t>
      </w:r>
      <w:r>
        <w:fldChar w:fldCharType="begin"/>
      </w:r>
      <w:r>
        <w:instrText xml:space="preserve"> SEQ Figure \* ARABIC </w:instrText>
      </w:r>
      <w:r>
        <w:fldChar w:fldCharType="separate"/>
      </w:r>
      <w:r w:rsidR="00A96E95">
        <w:rPr>
          <w:noProof/>
        </w:rPr>
        <w:t>3</w:t>
      </w:r>
      <w:r>
        <w:fldChar w:fldCharType="end"/>
      </w:r>
      <w:bookmarkEnd w:id="38"/>
      <w:r>
        <w:t xml:space="preserve"> </w:t>
      </w:r>
      <w:r>
        <w:rPr>
          <w:rFonts w:ascii="Times New Roman" w:hAnsi="Times New Roman"/>
          <w:b w:val="0"/>
          <w:bCs/>
        </w:rPr>
        <w:t>Fatality risk results for NUI production installation (process risk only), with different manning and safety system assumptions</w:t>
      </w:r>
    </w:p>
    <w:p w14:paraId="5F3E1EA9" w14:textId="1B0D1FDA" w:rsidR="000000C4" w:rsidRPr="00DC3B33" w:rsidRDefault="000000C4" w:rsidP="00B4738B">
      <w:pPr>
        <w:spacing w:after="0" w:line="220" w:lineRule="atLeast"/>
        <w:ind w:firstLine="227"/>
        <w:jc w:val="both"/>
        <w:rPr>
          <w:rFonts w:ascii="Times New Roman" w:hAnsi="Times New Roman" w:cs="Times New Roman"/>
        </w:rPr>
      </w:pPr>
      <w:r w:rsidRPr="00DC3B33">
        <w:rPr>
          <w:rFonts w:ascii="Times New Roman" w:hAnsi="Times New Roman" w:cs="Times New Roman"/>
        </w:rPr>
        <w:t>The first bar in the diagram is for reference only, indicating what the fatal accident rate (FAR</w:t>
      </w:r>
      <w:r w:rsidR="00095788">
        <w:rPr>
          <w:rFonts w:ascii="Times New Roman" w:hAnsi="Times New Roman" w:cs="Times New Roman"/>
        </w:rPr>
        <w:t>, i.e. fatalities per 100 million exposure hours</w:t>
      </w:r>
      <w:r w:rsidRPr="00DC3B33">
        <w:rPr>
          <w:rFonts w:ascii="Times New Roman" w:hAnsi="Times New Roman" w:cs="Times New Roman"/>
        </w:rPr>
        <w:t>) value would be if the installation was constantly manned</w:t>
      </w:r>
      <w:r w:rsidR="008B2BC0">
        <w:rPr>
          <w:rFonts w:ascii="Times New Roman" w:hAnsi="Times New Roman" w:cs="Times New Roman"/>
        </w:rPr>
        <w:t xml:space="preserve"> (with a higher manning level)</w:t>
      </w:r>
      <w:r w:rsidR="00A912DC">
        <w:rPr>
          <w:rFonts w:ascii="Times New Roman" w:hAnsi="Times New Roman" w:cs="Times New Roman"/>
        </w:rPr>
        <w:t>;</w:t>
      </w:r>
      <w:r w:rsidRPr="00DC3B33">
        <w:rPr>
          <w:rFonts w:ascii="Times New Roman" w:hAnsi="Times New Roman" w:cs="Times New Roman"/>
        </w:rPr>
        <w:t xml:space="preserve"> this may be used for comparison with </w:t>
      </w:r>
      <w:r w:rsidR="00A912DC">
        <w:rPr>
          <w:rFonts w:ascii="Times New Roman" w:hAnsi="Times New Roman" w:cs="Times New Roman"/>
        </w:rPr>
        <w:t xml:space="preserve">the </w:t>
      </w:r>
      <w:r w:rsidRPr="00DC3B33">
        <w:rPr>
          <w:rFonts w:ascii="Times New Roman" w:hAnsi="Times New Roman" w:cs="Times New Roman"/>
        </w:rPr>
        <w:t>results for the different cases. Case max is a</w:t>
      </w:r>
      <w:r w:rsidR="00C92EB1">
        <w:rPr>
          <w:rFonts w:ascii="Times New Roman" w:hAnsi="Times New Roman" w:cs="Times New Roman"/>
        </w:rPr>
        <w:t>n</w:t>
      </w:r>
      <w:r w:rsidRPr="00DC3B33">
        <w:rPr>
          <w:rFonts w:ascii="Times New Roman" w:hAnsi="Times New Roman" w:cs="Times New Roman"/>
        </w:rPr>
        <w:t xml:space="preserve"> </w:t>
      </w:r>
      <w:r w:rsidR="00B81C4D">
        <w:rPr>
          <w:rFonts w:ascii="Times New Roman" w:hAnsi="Times New Roman" w:cs="Times New Roman"/>
        </w:rPr>
        <w:t xml:space="preserve">UPP </w:t>
      </w:r>
      <w:r w:rsidRPr="00DC3B33">
        <w:rPr>
          <w:rFonts w:ascii="Times New Roman" w:hAnsi="Times New Roman" w:cs="Times New Roman"/>
        </w:rPr>
        <w:t xml:space="preserve">with all </w:t>
      </w:r>
      <w:r w:rsidR="00A912DC">
        <w:rPr>
          <w:rFonts w:ascii="Times New Roman" w:hAnsi="Times New Roman" w:cs="Times New Roman"/>
        </w:rPr>
        <w:t xml:space="preserve">the </w:t>
      </w:r>
      <w:r w:rsidR="008B2BC0">
        <w:rPr>
          <w:rFonts w:ascii="Times New Roman" w:hAnsi="Times New Roman" w:cs="Times New Roman"/>
        </w:rPr>
        <w:t>barrier (</w:t>
      </w:r>
      <w:r w:rsidR="008B2BC0" w:rsidRPr="00DC3B33">
        <w:rPr>
          <w:rFonts w:ascii="Times New Roman" w:hAnsi="Times New Roman" w:cs="Times New Roman"/>
        </w:rPr>
        <w:t>safety</w:t>
      </w:r>
      <w:r w:rsidR="008B2BC0">
        <w:rPr>
          <w:rFonts w:ascii="Times New Roman" w:hAnsi="Times New Roman" w:cs="Times New Roman"/>
        </w:rPr>
        <w:t>)</w:t>
      </w:r>
      <w:r w:rsidR="008B2BC0" w:rsidRPr="00DC3B33">
        <w:rPr>
          <w:rFonts w:ascii="Times New Roman" w:hAnsi="Times New Roman" w:cs="Times New Roman"/>
        </w:rPr>
        <w:t xml:space="preserve"> </w:t>
      </w:r>
      <w:r w:rsidRPr="00DC3B33">
        <w:rPr>
          <w:rFonts w:ascii="Times New Roman" w:hAnsi="Times New Roman" w:cs="Times New Roman"/>
        </w:rPr>
        <w:t xml:space="preserve">systems </w:t>
      </w:r>
      <w:r w:rsidR="008B2BC0">
        <w:rPr>
          <w:rFonts w:ascii="Times New Roman" w:hAnsi="Times New Roman" w:cs="Times New Roman"/>
        </w:rPr>
        <w:t>and ele</w:t>
      </w:r>
      <w:r w:rsidR="008B2BC0">
        <w:rPr>
          <w:rFonts w:ascii="Times New Roman" w:hAnsi="Times New Roman" w:cs="Times New Roman"/>
        </w:rPr>
        <w:softHyphen/>
        <w:t xml:space="preserve">ments </w:t>
      </w:r>
      <w:r w:rsidRPr="00DC3B33">
        <w:rPr>
          <w:rFonts w:ascii="Times New Roman" w:hAnsi="Times New Roman" w:cs="Times New Roman"/>
        </w:rPr>
        <w:t>of a manned installation.</w:t>
      </w:r>
    </w:p>
    <w:p w14:paraId="28F342C6" w14:textId="77777777" w:rsidR="008B2BC0" w:rsidRDefault="008B2BC0" w:rsidP="00B4738B">
      <w:pPr>
        <w:spacing w:after="0" w:line="220" w:lineRule="atLeast"/>
        <w:ind w:firstLine="227"/>
        <w:jc w:val="both"/>
        <w:rPr>
          <w:rFonts w:ascii="Times New Roman" w:hAnsi="Times New Roman" w:cs="Times New Roman"/>
        </w:rPr>
      </w:pPr>
    </w:p>
    <w:p w14:paraId="6D2B1FBF" w14:textId="461C25C4" w:rsidR="000000C4" w:rsidRPr="00DC3B33" w:rsidRDefault="000000C4" w:rsidP="00B4738B">
      <w:pPr>
        <w:spacing w:after="0" w:line="220" w:lineRule="atLeast"/>
        <w:ind w:firstLine="227"/>
        <w:jc w:val="both"/>
        <w:rPr>
          <w:rFonts w:ascii="Times New Roman" w:hAnsi="Times New Roman" w:cs="Times New Roman"/>
        </w:rPr>
      </w:pPr>
      <w:r w:rsidRPr="00DC3B33">
        <w:rPr>
          <w:rFonts w:ascii="Times New Roman" w:hAnsi="Times New Roman" w:cs="Times New Roman"/>
        </w:rPr>
        <w:t>Case lim is a</w:t>
      </w:r>
      <w:r w:rsidR="00C92EB1">
        <w:rPr>
          <w:rFonts w:ascii="Times New Roman" w:hAnsi="Times New Roman" w:cs="Times New Roman"/>
        </w:rPr>
        <w:t>n</w:t>
      </w:r>
      <w:r w:rsidRPr="00DC3B33">
        <w:rPr>
          <w:rFonts w:ascii="Times New Roman" w:hAnsi="Times New Roman" w:cs="Times New Roman"/>
        </w:rPr>
        <w:t xml:space="preserve"> U</w:t>
      </w:r>
      <w:r w:rsidR="00B81C4D">
        <w:rPr>
          <w:rFonts w:ascii="Times New Roman" w:hAnsi="Times New Roman" w:cs="Times New Roman"/>
        </w:rPr>
        <w:t>PP</w:t>
      </w:r>
      <w:r w:rsidRPr="00DC3B33">
        <w:rPr>
          <w:rFonts w:ascii="Times New Roman" w:hAnsi="Times New Roman" w:cs="Times New Roman"/>
        </w:rPr>
        <w:t xml:space="preserve"> with </w:t>
      </w:r>
      <w:r w:rsidR="00B44946">
        <w:rPr>
          <w:rFonts w:ascii="Times New Roman" w:hAnsi="Times New Roman" w:cs="Times New Roman"/>
        </w:rPr>
        <w:t xml:space="preserve">a </w:t>
      </w:r>
      <w:r w:rsidRPr="00DC3B33">
        <w:rPr>
          <w:rFonts w:ascii="Times New Roman" w:hAnsi="Times New Roman" w:cs="Times New Roman"/>
        </w:rPr>
        <w:t xml:space="preserve">reduced extent of </w:t>
      </w:r>
      <w:r w:rsidR="00095788">
        <w:rPr>
          <w:rFonts w:ascii="Times New Roman" w:hAnsi="Times New Roman" w:cs="Times New Roman"/>
        </w:rPr>
        <w:t xml:space="preserve">barrier </w:t>
      </w:r>
      <w:r w:rsidRPr="00DC3B33">
        <w:rPr>
          <w:rFonts w:ascii="Times New Roman" w:hAnsi="Times New Roman" w:cs="Times New Roman"/>
        </w:rPr>
        <w:t>systems</w:t>
      </w:r>
      <w:r w:rsidR="00095788">
        <w:rPr>
          <w:rFonts w:ascii="Times New Roman" w:hAnsi="Times New Roman" w:cs="Times New Roman"/>
        </w:rPr>
        <w:t xml:space="preserve"> and elements</w:t>
      </w:r>
      <w:r w:rsidRPr="00DC3B33">
        <w:rPr>
          <w:rFonts w:ascii="Times New Roman" w:hAnsi="Times New Roman" w:cs="Times New Roman"/>
        </w:rPr>
        <w:t xml:space="preserve">, but not to the lowest level. </w:t>
      </w:r>
      <w:r w:rsidR="000B5556" w:rsidRPr="00DC3B33">
        <w:rPr>
          <w:rFonts w:ascii="Times New Roman" w:hAnsi="Times New Roman" w:cs="Times New Roman"/>
        </w:rPr>
        <w:t xml:space="preserve">Figure 2 </w:t>
      </w:r>
      <w:r w:rsidRPr="00DC3B33">
        <w:rPr>
          <w:rFonts w:ascii="Times New Roman" w:hAnsi="Times New Roman" w:cs="Times New Roman"/>
        </w:rPr>
        <w:t xml:space="preserve">shows that the FAR level is more than double </w:t>
      </w:r>
      <w:r w:rsidR="00B44946">
        <w:rPr>
          <w:rFonts w:ascii="Times New Roman" w:hAnsi="Times New Roman" w:cs="Times New Roman"/>
        </w:rPr>
        <w:t>that of</w:t>
      </w:r>
      <w:r w:rsidRPr="00DC3B33">
        <w:rPr>
          <w:rFonts w:ascii="Times New Roman" w:hAnsi="Times New Roman" w:cs="Times New Roman"/>
        </w:rPr>
        <w:t xml:space="preserve"> the Case max, but only marginally increased from the level for a manned installation.</w:t>
      </w:r>
    </w:p>
    <w:p w14:paraId="4313FCC5" w14:textId="77777777" w:rsidR="008B2BC0" w:rsidRDefault="008B2BC0" w:rsidP="00B4738B">
      <w:pPr>
        <w:spacing w:after="0" w:line="220" w:lineRule="atLeast"/>
        <w:ind w:firstLine="227"/>
        <w:jc w:val="both"/>
        <w:rPr>
          <w:rFonts w:ascii="Times New Roman" w:hAnsi="Times New Roman" w:cs="Times New Roman"/>
        </w:rPr>
      </w:pPr>
    </w:p>
    <w:p w14:paraId="2A6DC0DF" w14:textId="2D730C17" w:rsidR="000000C4" w:rsidRPr="00DC3B33" w:rsidRDefault="000000C4" w:rsidP="00B4738B">
      <w:pPr>
        <w:spacing w:after="0" w:line="220" w:lineRule="atLeast"/>
        <w:ind w:firstLine="227"/>
        <w:jc w:val="both"/>
        <w:rPr>
          <w:rFonts w:ascii="Times New Roman" w:hAnsi="Times New Roman" w:cs="Times New Roman"/>
        </w:rPr>
      </w:pPr>
      <w:r w:rsidRPr="00DC3B33">
        <w:rPr>
          <w:rFonts w:ascii="Times New Roman" w:hAnsi="Times New Roman" w:cs="Times New Roman"/>
        </w:rPr>
        <w:t>Case min is a</w:t>
      </w:r>
      <w:r w:rsidR="00C92EB1">
        <w:rPr>
          <w:rFonts w:ascii="Times New Roman" w:hAnsi="Times New Roman" w:cs="Times New Roman"/>
        </w:rPr>
        <w:t>n</w:t>
      </w:r>
      <w:r w:rsidRPr="00DC3B33">
        <w:rPr>
          <w:rFonts w:ascii="Times New Roman" w:hAnsi="Times New Roman" w:cs="Times New Roman"/>
        </w:rPr>
        <w:t xml:space="preserve"> U</w:t>
      </w:r>
      <w:r w:rsidR="00C92EB1">
        <w:rPr>
          <w:rFonts w:ascii="Times New Roman" w:hAnsi="Times New Roman" w:cs="Times New Roman"/>
        </w:rPr>
        <w:t>PP</w:t>
      </w:r>
      <w:r w:rsidRPr="00DC3B33">
        <w:rPr>
          <w:rFonts w:ascii="Times New Roman" w:hAnsi="Times New Roman" w:cs="Times New Roman"/>
        </w:rPr>
        <w:t xml:space="preserve"> with </w:t>
      </w:r>
      <w:r w:rsidR="00B44946">
        <w:rPr>
          <w:rFonts w:ascii="Times New Roman" w:hAnsi="Times New Roman" w:cs="Times New Roman"/>
        </w:rPr>
        <w:t xml:space="preserve">a </w:t>
      </w:r>
      <w:r w:rsidRPr="00DC3B33">
        <w:rPr>
          <w:rFonts w:ascii="Times New Roman" w:hAnsi="Times New Roman" w:cs="Times New Roman"/>
        </w:rPr>
        <w:t xml:space="preserve">very limited extent of </w:t>
      </w:r>
      <w:r w:rsidR="00095788">
        <w:rPr>
          <w:rFonts w:ascii="Times New Roman" w:hAnsi="Times New Roman" w:cs="Times New Roman"/>
        </w:rPr>
        <w:t xml:space="preserve">barrier </w:t>
      </w:r>
      <w:r w:rsidRPr="00DC3B33">
        <w:rPr>
          <w:rFonts w:ascii="Times New Roman" w:hAnsi="Times New Roman" w:cs="Times New Roman"/>
        </w:rPr>
        <w:t>systems</w:t>
      </w:r>
      <w:r w:rsidR="00095788">
        <w:rPr>
          <w:rFonts w:ascii="Times New Roman" w:hAnsi="Times New Roman" w:cs="Times New Roman"/>
        </w:rPr>
        <w:t xml:space="preserve"> and elements</w:t>
      </w:r>
      <w:r w:rsidRPr="00DC3B33">
        <w:rPr>
          <w:rFonts w:ascii="Times New Roman" w:hAnsi="Times New Roman" w:cs="Times New Roman"/>
        </w:rPr>
        <w:t xml:space="preserve">, and thus </w:t>
      </w:r>
      <w:r w:rsidR="00B44946">
        <w:rPr>
          <w:rFonts w:ascii="Times New Roman" w:hAnsi="Times New Roman" w:cs="Times New Roman"/>
        </w:rPr>
        <w:t xml:space="preserve">a </w:t>
      </w:r>
      <w:r w:rsidRPr="00DC3B33">
        <w:rPr>
          <w:rFonts w:ascii="Times New Roman" w:hAnsi="Times New Roman" w:cs="Times New Roman"/>
        </w:rPr>
        <w:t xml:space="preserve">quite limited extent of manning for maintenance purposes. </w:t>
      </w:r>
      <w:r w:rsidR="000B5556" w:rsidRPr="00DC3B33">
        <w:rPr>
          <w:rFonts w:ascii="Times New Roman" w:hAnsi="Times New Roman" w:cs="Times New Roman"/>
        </w:rPr>
        <w:t xml:space="preserve">Figure 2 </w:t>
      </w:r>
      <w:r w:rsidRPr="00DC3B33">
        <w:rPr>
          <w:rFonts w:ascii="Times New Roman" w:hAnsi="Times New Roman" w:cs="Times New Roman"/>
        </w:rPr>
        <w:t>shows that the FAR level for this case is almost triple</w:t>
      </w:r>
      <w:r w:rsidR="00B44946">
        <w:rPr>
          <w:rFonts w:ascii="Times New Roman" w:hAnsi="Times New Roman" w:cs="Times New Roman"/>
        </w:rPr>
        <w:t xml:space="preserve"> that of</w:t>
      </w:r>
      <w:r w:rsidRPr="00DC3B33">
        <w:rPr>
          <w:rFonts w:ascii="Times New Roman" w:hAnsi="Times New Roman" w:cs="Times New Roman"/>
        </w:rPr>
        <w:t xml:space="preserve"> the Case lim, and almost a</w:t>
      </w:r>
      <w:r w:rsidR="00DF77AD" w:rsidRPr="00DC3B33">
        <w:rPr>
          <w:rFonts w:ascii="Times New Roman" w:hAnsi="Times New Roman" w:cs="Times New Roman"/>
        </w:rPr>
        <w:t>n order of magnitude</w:t>
      </w:r>
      <w:r w:rsidRPr="00DC3B33">
        <w:rPr>
          <w:rFonts w:ascii="Times New Roman" w:hAnsi="Times New Roman" w:cs="Times New Roman"/>
        </w:rPr>
        <w:t xml:space="preserve"> higher than for the Case max lowest level. This is a very significant increase, but it is worth not</w:t>
      </w:r>
      <w:r w:rsidR="00B44946">
        <w:rPr>
          <w:rFonts w:ascii="Times New Roman" w:hAnsi="Times New Roman" w:cs="Times New Roman"/>
        </w:rPr>
        <w:t>ing</w:t>
      </w:r>
      <w:r w:rsidRPr="00DC3B33">
        <w:rPr>
          <w:rFonts w:ascii="Times New Roman" w:hAnsi="Times New Roman" w:cs="Times New Roman"/>
        </w:rPr>
        <w:t xml:space="preserve"> that the value is </w:t>
      </w:r>
      <w:r w:rsidR="00C42336">
        <w:rPr>
          <w:rFonts w:ascii="Times New Roman" w:hAnsi="Times New Roman" w:cs="Times New Roman"/>
        </w:rPr>
        <w:t xml:space="preserve">still </w:t>
      </w:r>
      <w:r w:rsidRPr="00DC3B33">
        <w:rPr>
          <w:rFonts w:ascii="Times New Roman" w:hAnsi="Times New Roman" w:cs="Times New Roman"/>
        </w:rPr>
        <w:t xml:space="preserve">lower than a FAR = 1.0. </w:t>
      </w:r>
    </w:p>
    <w:p w14:paraId="3171FC4F" w14:textId="77777777" w:rsidR="008B2BC0" w:rsidRDefault="008B2BC0" w:rsidP="00B4738B">
      <w:pPr>
        <w:spacing w:after="0" w:line="220" w:lineRule="atLeast"/>
        <w:ind w:firstLine="227"/>
        <w:jc w:val="both"/>
        <w:rPr>
          <w:rFonts w:ascii="Times New Roman" w:hAnsi="Times New Roman" w:cs="Times New Roman"/>
        </w:rPr>
      </w:pPr>
    </w:p>
    <w:p w14:paraId="4F8D06CC" w14:textId="700BB62B" w:rsidR="000000C4" w:rsidRPr="00DC3B33" w:rsidRDefault="000000C4" w:rsidP="00B4738B">
      <w:pPr>
        <w:spacing w:after="0" w:line="220" w:lineRule="atLeast"/>
        <w:ind w:firstLine="227"/>
        <w:jc w:val="both"/>
        <w:rPr>
          <w:rFonts w:ascii="Times New Roman" w:hAnsi="Times New Roman" w:cs="Times New Roman"/>
        </w:rPr>
      </w:pPr>
      <w:r w:rsidRPr="00DC3B33">
        <w:rPr>
          <w:rFonts w:ascii="Times New Roman" w:hAnsi="Times New Roman" w:cs="Times New Roman"/>
        </w:rPr>
        <w:t xml:space="preserve">Potential Loss of Life (PLL) results </w:t>
      </w:r>
      <w:r w:rsidR="00095788">
        <w:rPr>
          <w:rFonts w:ascii="Times New Roman" w:hAnsi="Times New Roman" w:cs="Times New Roman"/>
        </w:rPr>
        <w:t>represent the societal risk</w:t>
      </w:r>
      <w:r w:rsidR="00367610">
        <w:rPr>
          <w:rFonts w:ascii="Times New Roman" w:hAnsi="Times New Roman" w:cs="Times New Roman"/>
        </w:rPr>
        <w:t>, which is</w:t>
      </w:r>
      <w:r w:rsidRPr="00DC3B33">
        <w:rPr>
          <w:rFonts w:ascii="Times New Roman" w:hAnsi="Times New Roman" w:cs="Times New Roman"/>
        </w:rPr>
        <w:t xml:space="preserve"> also important for risk evaluation in addition to FAR values. PLL values are shown in </w:t>
      </w:r>
      <w:r w:rsidRPr="00DC3B33">
        <w:rPr>
          <w:rFonts w:ascii="Times New Roman" w:hAnsi="Times New Roman" w:cs="Times New Roman"/>
        </w:rPr>
        <w:fldChar w:fldCharType="begin"/>
      </w:r>
      <w:r w:rsidRPr="00DC3B33">
        <w:rPr>
          <w:rFonts w:ascii="Times New Roman" w:hAnsi="Times New Roman" w:cs="Times New Roman"/>
        </w:rPr>
        <w:instrText xml:space="preserve"> REF _Ref962277 \h </w:instrText>
      </w:r>
      <w:r w:rsidR="00855517" w:rsidRPr="00DC3B33">
        <w:rPr>
          <w:rFonts w:ascii="Times New Roman" w:hAnsi="Times New Roman" w:cs="Times New Roman"/>
        </w:rPr>
        <w:instrText xml:space="preserve"> \* MERGEFORMAT </w:instrText>
      </w:r>
      <w:r w:rsidRPr="00DC3B33">
        <w:rPr>
          <w:rFonts w:ascii="Times New Roman" w:hAnsi="Times New Roman" w:cs="Times New Roman"/>
        </w:rPr>
      </w:r>
      <w:r w:rsidRPr="00DC3B33">
        <w:rPr>
          <w:rFonts w:ascii="Times New Roman" w:hAnsi="Times New Roman" w:cs="Times New Roman"/>
        </w:rPr>
        <w:fldChar w:fldCharType="separate"/>
      </w:r>
      <w:r w:rsidR="00A96E95" w:rsidRPr="00A96E95">
        <w:rPr>
          <w:rFonts w:ascii="Times New Roman" w:hAnsi="Times New Roman" w:cs="Times New Roman"/>
        </w:rPr>
        <w:t>Table 4</w:t>
      </w:r>
      <w:r w:rsidRPr="00DC3B33">
        <w:rPr>
          <w:rFonts w:ascii="Times New Roman" w:hAnsi="Times New Roman" w:cs="Times New Roman"/>
        </w:rPr>
        <w:fldChar w:fldCharType="end"/>
      </w:r>
      <w:r w:rsidRPr="00DC3B33">
        <w:rPr>
          <w:rFonts w:ascii="Times New Roman" w:hAnsi="Times New Roman" w:cs="Times New Roman"/>
        </w:rPr>
        <w:t>.</w:t>
      </w:r>
    </w:p>
    <w:p w14:paraId="6E34B1A3" w14:textId="64F7710B" w:rsidR="00FD4E15" w:rsidRDefault="00FD4E15" w:rsidP="00B4738B">
      <w:pPr>
        <w:pStyle w:val="Bildetekst"/>
        <w:keepNext/>
        <w:spacing w:line="220" w:lineRule="atLeast"/>
        <w:jc w:val="left"/>
      </w:pPr>
      <w:bookmarkStart w:id="39" w:name="_Ref962277"/>
      <w:r>
        <w:t xml:space="preserve">Table </w:t>
      </w:r>
      <w:r>
        <w:fldChar w:fldCharType="begin"/>
      </w:r>
      <w:r>
        <w:instrText xml:space="preserve"> SEQ Table \* ARABIC </w:instrText>
      </w:r>
      <w:r>
        <w:fldChar w:fldCharType="separate"/>
      </w:r>
      <w:r w:rsidR="00A96E95">
        <w:rPr>
          <w:noProof/>
        </w:rPr>
        <w:t>4</w:t>
      </w:r>
      <w:r>
        <w:fldChar w:fldCharType="end"/>
      </w:r>
      <w:bookmarkEnd w:id="39"/>
      <w:r>
        <w:t xml:space="preserve"> </w:t>
      </w:r>
      <w:r>
        <w:rPr>
          <w:b w:val="0"/>
          <w:bCs/>
        </w:rPr>
        <w:t xml:space="preserve">PLL values </w:t>
      </w:r>
      <w:r w:rsidR="00B44946">
        <w:rPr>
          <w:b w:val="0"/>
          <w:bCs/>
        </w:rPr>
        <w:t xml:space="preserve">for </w:t>
      </w:r>
      <w:r>
        <w:rPr>
          <w:rFonts w:ascii="Times New Roman" w:hAnsi="Times New Roman"/>
          <w:b w:val="0"/>
          <w:bCs/>
        </w:rPr>
        <w:t>NUI production installation (process risk only) with different manning and safety system assumptions</w:t>
      </w:r>
    </w:p>
    <w:tbl>
      <w:tblPr>
        <w:tblW w:w="3459" w:type="dxa"/>
        <w:jc w:val="center"/>
        <w:tblCellMar>
          <w:left w:w="70" w:type="dxa"/>
          <w:right w:w="70" w:type="dxa"/>
        </w:tblCellMar>
        <w:tblLook w:val="04A0" w:firstRow="1" w:lastRow="0" w:firstColumn="1" w:lastColumn="0" w:noHBand="0" w:noVBand="1"/>
      </w:tblPr>
      <w:tblGrid>
        <w:gridCol w:w="1843"/>
        <w:gridCol w:w="1616"/>
      </w:tblGrid>
      <w:tr w:rsidR="00BF0FE3" w:rsidRPr="008B7770" w14:paraId="642939E7" w14:textId="77777777" w:rsidTr="00A75975">
        <w:trPr>
          <w:cantSplit/>
          <w:trHeight w:val="227"/>
          <w:jc w:val="center"/>
        </w:trPr>
        <w:tc>
          <w:tcPr>
            <w:tcW w:w="1843" w:type="dxa"/>
            <w:tcBorders>
              <w:top w:val="single" w:sz="4" w:space="0" w:color="auto"/>
              <w:left w:val="nil"/>
              <w:bottom w:val="single" w:sz="4" w:space="0" w:color="auto"/>
              <w:right w:val="nil"/>
            </w:tcBorders>
            <w:shd w:val="clear" w:color="auto" w:fill="auto"/>
            <w:noWrap/>
            <w:vAlign w:val="bottom"/>
            <w:hideMark/>
          </w:tcPr>
          <w:p w14:paraId="48685BD4" w14:textId="77777777" w:rsidR="00BF0FE3" w:rsidRPr="00A75975" w:rsidRDefault="00BF0FE3" w:rsidP="00367610">
            <w:pPr>
              <w:keepNext/>
              <w:spacing w:after="0" w:line="220" w:lineRule="atLeast"/>
              <w:rPr>
                <w:rFonts w:ascii="Times New Roman" w:hAnsi="Times New Roman" w:cs="Times New Roman"/>
                <w:b/>
                <w:bCs/>
                <w:sz w:val="18"/>
                <w:szCs w:val="18"/>
                <w:lang w:val="en-GB"/>
              </w:rPr>
            </w:pPr>
            <w:r w:rsidRPr="00A75975">
              <w:rPr>
                <w:rFonts w:ascii="Times New Roman" w:hAnsi="Times New Roman" w:cs="Times New Roman"/>
                <w:b/>
                <w:bCs/>
                <w:sz w:val="18"/>
                <w:szCs w:val="18"/>
                <w:lang w:val="en-GB"/>
              </w:rPr>
              <w:t>Case</w:t>
            </w:r>
          </w:p>
        </w:tc>
        <w:tc>
          <w:tcPr>
            <w:tcW w:w="1616" w:type="dxa"/>
            <w:tcBorders>
              <w:top w:val="single" w:sz="4" w:space="0" w:color="auto"/>
              <w:left w:val="nil"/>
              <w:bottom w:val="single" w:sz="4" w:space="0" w:color="auto"/>
              <w:right w:val="nil"/>
            </w:tcBorders>
            <w:shd w:val="clear" w:color="auto" w:fill="auto"/>
            <w:noWrap/>
            <w:vAlign w:val="bottom"/>
            <w:hideMark/>
          </w:tcPr>
          <w:p w14:paraId="040EBFDC" w14:textId="77777777" w:rsidR="003A451B" w:rsidRPr="00A75975" w:rsidRDefault="00BF0FE3" w:rsidP="00A75975">
            <w:pPr>
              <w:spacing w:after="0" w:line="220" w:lineRule="atLeast"/>
              <w:jc w:val="center"/>
              <w:rPr>
                <w:rFonts w:ascii="Times New Roman" w:hAnsi="Times New Roman" w:cs="Times New Roman"/>
                <w:b/>
                <w:bCs/>
                <w:sz w:val="18"/>
                <w:szCs w:val="18"/>
                <w:lang w:val="en-GB"/>
              </w:rPr>
            </w:pPr>
            <w:r w:rsidRPr="00A75975">
              <w:rPr>
                <w:rFonts w:ascii="Times New Roman" w:hAnsi="Times New Roman" w:cs="Times New Roman"/>
                <w:b/>
                <w:bCs/>
                <w:sz w:val="18"/>
                <w:szCs w:val="18"/>
                <w:lang w:val="en-GB"/>
              </w:rPr>
              <w:t>PLL</w:t>
            </w:r>
          </w:p>
          <w:p w14:paraId="6697AF34" w14:textId="57E9808B" w:rsidR="00BF0FE3" w:rsidRPr="005913AD" w:rsidRDefault="00492F7F" w:rsidP="00A75975">
            <w:pPr>
              <w:spacing w:after="0" w:line="220" w:lineRule="atLeast"/>
              <w:jc w:val="center"/>
              <w:rPr>
                <w:rFonts w:ascii="Times New Roman" w:hAnsi="Times New Roman" w:cs="Times New Roman"/>
                <w:sz w:val="18"/>
                <w:szCs w:val="18"/>
                <w:lang w:val="en-GB"/>
              </w:rPr>
            </w:pPr>
            <w:r>
              <w:rPr>
                <w:rFonts w:ascii="Times New Roman" w:hAnsi="Times New Roman" w:cs="Times New Roman"/>
                <w:sz w:val="18"/>
                <w:szCs w:val="18"/>
                <w:lang w:val="en-GB"/>
              </w:rPr>
              <w:t>(fatalities per year)</w:t>
            </w:r>
          </w:p>
        </w:tc>
      </w:tr>
      <w:tr w:rsidR="00BF0FE3" w:rsidRPr="008B7770" w14:paraId="114B8023" w14:textId="77777777" w:rsidTr="00A75975">
        <w:trPr>
          <w:cantSplit/>
          <w:trHeight w:val="227"/>
          <w:jc w:val="center"/>
        </w:trPr>
        <w:tc>
          <w:tcPr>
            <w:tcW w:w="1843" w:type="dxa"/>
            <w:tcBorders>
              <w:top w:val="single" w:sz="4" w:space="0" w:color="auto"/>
              <w:left w:val="nil"/>
              <w:bottom w:val="nil"/>
              <w:right w:val="nil"/>
            </w:tcBorders>
            <w:shd w:val="clear" w:color="auto" w:fill="auto"/>
            <w:noWrap/>
            <w:vAlign w:val="bottom"/>
            <w:hideMark/>
          </w:tcPr>
          <w:p w14:paraId="1C9F2EDC" w14:textId="77777777" w:rsidR="00BF0FE3" w:rsidRPr="005913AD" w:rsidRDefault="00BF0FE3" w:rsidP="00367610">
            <w:pPr>
              <w:keepNext/>
              <w:spacing w:after="0" w:line="220" w:lineRule="atLeast"/>
              <w:rPr>
                <w:rFonts w:ascii="Times New Roman" w:hAnsi="Times New Roman" w:cs="Times New Roman"/>
                <w:sz w:val="18"/>
                <w:szCs w:val="18"/>
                <w:lang w:val="en-GB"/>
              </w:rPr>
            </w:pPr>
            <w:r w:rsidRPr="005913AD">
              <w:rPr>
                <w:rFonts w:ascii="Times New Roman" w:hAnsi="Times New Roman" w:cs="Times New Roman"/>
                <w:sz w:val="18"/>
                <w:szCs w:val="18"/>
                <w:lang w:val="en-GB"/>
              </w:rPr>
              <w:t>Case manned</w:t>
            </w:r>
          </w:p>
        </w:tc>
        <w:tc>
          <w:tcPr>
            <w:tcW w:w="1616" w:type="dxa"/>
            <w:tcBorders>
              <w:top w:val="single" w:sz="4" w:space="0" w:color="auto"/>
              <w:left w:val="nil"/>
              <w:bottom w:val="nil"/>
              <w:right w:val="nil"/>
            </w:tcBorders>
            <w:shd w:val="clear" w:color="auto" w:fill="auto"/>
            <w:noWrap/>
            <w:vAlign w:val="bottom"/>
            <w:hideMark/>
          </w:tcPr>
          <w:p w14:paraId="21D55C88" w14:textId="7E197779" w:rsidR="00BF0FE3" w:rsidRPr="005913AD" w:rsidRDefault="00BF0FE3" w:rsidP="00A75975">
            <w:pPr>
              <w:spacing w:after="0" w:line="220" w:lineRule="atLeast"/>
              <w:jc w:val="center"/>
              <w:rPr>
                <w:rFonts w:ascii="Times New Roman" w:hAnsi="Times New Roman" w:cs="Times New Roman"/>
                <w:sz w:val="18"/>
                <w:szCs w:val="18"/>
                <w:lang w:val="en-GB"/>
              </w:rPr>
            </w:pPr>
            <w:r w:rsidRPr="005913AD">
              <w:rPr>
                <w:rFonts w:ascii="Times New Roman" w:hAnsi="Times New Roman" w:cs="Times New Roman"/>
                <w:sz w:val="18"/>
                <w:szCs w:val="18"/>
                <w:lang w:val="en-GB"/>
              </w:rPr>
              <w:t>2</w:t>
            </w:r>
            <w:r w:rsidR="00B44946">
              <w:rPr>
                <w:rFonts w:ascii="Times New Roman" w:hAnsi="Times New Roman" w:cs="Times New Roman"/>
                <w:sz w:val="18"/>
                <w:szCs w:val="18"/>
                <w:lang w:val="en-GB"/>
              </w:rPr>
              <w:t>.</w:t>
            </w:r>
            <w:r w:rsidRPr="005913AD">
              <w:rPr>
                <w:rFonts w:ascii="Times New Roman" w:hAnsi="Times New Roman" w:cs="Times New Roman"/>
                <w:sz w:val="18"/>
                <w:szCs w:val="18"/>
                <w:lang w:val="en-GB"/>
              </w:rPr>
              <w:t xml:space="preserve">2 </w:t>
            </w:r>
            <w:r w:rsidRPr="005913AD">
              <w:rPr>
                <w:rFonts w:ascii="Times New Roman" w:hAnsi="Times New Roman" w:cs="Times New Roman"/>
                <w:sz w:val="18"/>
                <w:szCs w:val="18"/>
                <w:lang w:val="en-GB"/>
              </w:rPr>
              <w:sym w:font="Wingdings" w:char="F0A0"/>
            </w:r>
            <w:r w:rsidRPr="005913AD">
              <w:rPr>
                <w:rFonts w:ascii="Times New Roman" w:hAnsi="Times New Roman" w:cs="Times New Roman"/>
                <w:sz w:val="18"/>
                <w:szCs w:val="18"/>
                <w:lang w:val="en-GB"/>
              </w:rPr>
              <w:t xml:space="preserve"> 10-4</w:t>
            </w:r>
          </w:p>
        </w:tc>
      </w:tr>
      <w:tr w:rsidR="00BF0FE3" w:rsidRPr="008B7770" w14:paraId="5AA22DFC" w14:textId="77777777" w:rsidTr="00A75975">
        <w:trPr>
          <w:trHeight w:val="227"/>
          <w:jc w:val="center"/>
        </w:trPr>
        <w:tc>
          <w:tcPr>
            <w:tcW w:w="1843" w:type="dxa"/>
            <w:tcBorders>
              <w:top w:val="nil"/>
              <w:left w:val="nil"/>
              <w:bottom w:val="nil"/>
              <w:right w:val="nil"/>
            </w:tcBorders>
            <w:shd w:val="clear" w:color="auto" w:fill="auto"/>
            <w:noWrap/>
            <w:vAlign w:val="bottom"/>
            <w:hideMark/>
          </w:tcPr>
          <w:p w14:paraId="187F7112" w14:textId="77777777" w:rsidR="00BF0FE3" w:rsidRPr="005913AD" w:rsidRDefault="00BF0FE3" w:rsidP="00B4738B">
            <w:pPr>
              <w:spacing w:after="0" w:line="220" w:lineRule="atLeast"/>
              <w:rPr>
                <w:rFonts w:ascii="Times New Roman" w:hAnsi="Times New Roman" w:cs="Times New Roman"/>
                <w:sz w:val="18"/>
                <w:szCs w:val="18"/>
                <w:lang w:val="en-GB"/>
              </w:rPr>
            </w:pPr>
            <w:r w:rsidRPr="005913AD">
              <w:rPr>
                <w:rFonts w:ascii="Times New Roman" w:hAnsi="Times New Roman" w:cs="Times New Roman"/>
                <w:sz w:val="18"/>
                <w:szCs w:val="18"/>
                <w:lang w:val="en-GB"/>
              </w:rPr>
              <w:t>Case max</w:t>
            </w:r>
          </w:p>
        </w:tc>
        <w:tc>
          <w:tcPr>
            <w:tcW w:w="1616" w:type="dxa"/>
            <w:tcBorders>
              <w:top w:val="nil"/>
              <w:left w:val="nil"/>
              <w:bottom w:val="nil"/>
              <w:right w:val="nil"/>
            </w:tcBorders>
            <w:shd w:val="clear" w:color="auto" w:fill="auto"/>
            <w:noWrap/>
            <w:vAlign w:val="bottom"/>
            <w:hideMark/>
          </w:tcPr>
          <w:p w14:paraId="6C217569" w14:textId="32094C27" w:rsidR="00BF0FE3" w:rsidRPr="005913AD" w:rsidRDefault="00BF0FE3" w:rsidP="00A75975">
            <w:pPr>
              <w:spacing w:after="0" w:line="220" w:lineRule="atLeast"/>
              <w:jc w:val="center"/>
              <w:rPr>
                <w:rFonts w:ascii="Times New Roman" w:hAnsi="Times New Roman" w:cs="Times New Roman"/>
                <w:sz w:val="18"/>
                <w:szCs w:val="18"/>
                <w:lang w:val="en-GB"/>
              </w:rPr>
            </w:pPr>
            <w:r w:rsidRPr="005913AD">
              <w:rPr>
                <w:rFonts w:ascii="Times New Roman" w:hAnsi="Times New Roman" w:cs="Times New Roman"/>
                <w:sz w:val="18"/>
                <w:szCs w:val="18"/>
                <w:lang w:val="en-GB"/>
              </w:rPr>
              <w:t>3</w:t>
            </w:r>
            <w:r w:rsidR="00B44946">
              <w:rPr>
                <w:rFonts w:ascii="Times New Roman" w:hAnsi="Times New Roman" w:cs="Times New Roman"/>
                <w:sz w:val="18"/>
                <w:szCs w:val="18"/>
                <w:lang w:val="en-GB"/>
              </w:rPr>
              <w:t>.</w:t>
            </w:r>
            <w:r w:rsidRPr="005913AD">
              <w:rPr>
                <w:rFonts w:ascii="Times New Roman" w:hAnsi="Times New Roman" w:cs="Times New Roman"/>
                <w:sz w:val="18"/>
                <w:szCs w:val="18"/>
                <w:lang w:val="en-GB"/>
              </w:rPr>
              <w:t xml:space="preserve">3 </w:t>
            </w:r>
            <w:r w:rsidRPr="005913AD">
              <w:rPr>
                <w:rFonts w:ascii="Times New Roman" w:hAnsi="Times New Roman" w:cs="Times New Roman"/>
                <w:sz w:val="18"/>
                <w:szCs w:val="18"/>
                <w:lang w:val="en-GB"/>
              </w:rPr>
              <w:sym w:font="Wingdings" w:char="F0A0"/>
            </w:r>
            <w:r w:rsidRPr="005913AD">
              <w:rPr>
                <w:rFonts w:ascii="Times New Roman" w:hAnsi="Times New Roman" w:cs="Times New Roman"/>
                <w:sz w:val="18"/>
                <w:szCs w:val="18"/>
                <w:lang w:val="en-GB"/>
              </w:rPr>
              <w:t xml:space="preserve"> 10-5</w:t>
            </w:r>
          </w:p>
        </w:tc>
      </w:tr>
      <w:tr w:rsidR="00BF0FE3" w:rsidRPr="008B7770" w14:paraId="5011908D" w14:textId="77777777" w:rsidTr="00A75975">
        <w:trPr>
          <w:trHeight w:val="227"/>
          <w:jc w:val="center"/>
        </w:trPr>
        <w:tc>
          <w:tcPr>
            <w:tcW w:w="1843" w:type="dxa"/>
            <w:tcBorders>
              <w:top w:val="nil"/>
              <w:left w:val="nil"/>
              <w:right w:val="nil"/>
            </w:tcBorders>
            <w:shd w:val="clear" w:color="auto" w:fill="auto"/>
            <w:noWrap/>
            <w:vAlign w:val="bottom"/>
            <w:hideMark/>
          </w:tcPr>
          <w:p w14:paraId="1ACB0BAB" w14:textId="77777777" w:rsidR="00BF0FE3" w:rsidRPr="005913AD" w:rsidRDefault="00BF0FE3" w:rsidP="00B4738B">
            <w:pPr>
              <w:spacing w:after="0" w:line="220" w:lineRule="atLeast"/>
              <w:rPr>
                <w:rFonts w:ascii="Times New Roman" w:hAnsi="Times New Roman" w:cs="Times New Roman"/>
                <w:sz w:val="18"/>
                <w:szCs w:val="18"/>
                <w:lang w:val="en-GB"/>
              </w:rPr>
            </w:pPr>
            <w:r w:rsidRPr="005913AD">
              <w:rPr>
                <w:rFonts w:ascii="Times New Roman" w:hAnsi="Times New Roman" w:cs="Times New Roman"/>
                <w:sz w:val="18"/>
                <w:szCs w:val="18"/>
                <w:lang w:val="en-GB"/>
              </w:rPr>
              <w:t>Case lim</w:t>
            </w:r>
          </w:p>
        </w:tc>
        <w:tc>
          <w:tcPr>
            <w:tcW w:w="1616" w:type="dxa"/>
            <w:tcBorders>
              <w:top w:val="nil"/>
              <w:left w:val="nil"/>
              <w:right w:val="nil"/>
            </w:tcBorders>
            <w:shd w:val="clear" w:color="auto" w:fill="auto"/>
            <w:noWrap/>
            <w:vAlign w:val="bottom"/>
            <w:hideMark/>
          </w:tcPr>
          <w:p w14:paraId="7A8B60E8" w14:textId="29BB3CED" w:rsidR="00BF0FE3" w:rsidRPr="005913AD" w:rsidRDefault="00BF0FE3" w:rsidP="00A75975">
            <w:pPr>
              <w:spacing w:after="0" w:line="220" w:lineRule="atLeast"/>
              <w:jc w:val="center"/>
              <w:rPr>
                <w:rFonts w:ascii="Times New Roman" w:hAnsi="Times New Roman" w:cs="Times New Roman"/>
                <w:sz w:val="18"/>
                <w:szCs w:val="18"/>
                <w:lang w:val="en-GB"/>
              </w:rPr>
            </w:pPr>
            <w:r w:rsidRPr="005913AD">
              <w:rPr>
                <w:rFonts w:ascii="Times New Roman" w:hAnsi="Times New Roman" w:cs="Times New Roman"/>
                <w:sz w:val="18"/>
                <w:szCs w:val="18"/>
                <w:lang w:val="en-GB"/>
              </w:rPr>
              <w:t>5</w:t>
            </w:r>
            <w:r w:rsidR="00B44946">
              <w:rPr>
                <w:rFonts w:ascii="Times New Roman" w:hAnsi="Times New Roman" w:cs="Times New Roman"/>
                <w:sz w:val="18"/>
                <w:szCs w:val="18"/>
                <w:lang w:val="en-GB"/>
              </w:rPr>
              <w:t>.</w:t>
            </w:r>
            <w:r w:rsidRPr="005913AD">
              <w:rPr>
                <w:rFonts w:ascii="Times New Roman" w:hAnsi="Times New Roman" w:cs="Times New Roman"/>
                <w:sz w:val="18"/>
                <w:szCs w:val="18"/>
                <w:lang w:val="en-GB"/>
              </w:rPr>
              <w:t xml:space="preserve">2 </w:t>
            </w:r>
            <w:r w:rsidRPr="005913AD">
              <w:rPr>
                <w:rFonts w:ascii="Times New Roman" w:hAnsi="Times New Roman" w:cs="Times New Roman"/>
                <w:sz w:val="18"/>
                <w:szCs w:val="18"/>
                <w:lang w:val="en-GB"/>
              </w:rPr>
              <w:sym w:font="Wingdings" w:char="F0A0"/>
            </w:r>
            <w:r w:rsidRPr="005913AD">
              <w:rPr>
                <w:rFonts w:ascii="Times New Roman" w:hAnsi="Times New Roman" w:cs="Times New Roman"/>
                <w:sz w:val="18"/>
                <w:szCs w:val="18"/>
                <w:lang w:val="en-GB"/>
              </w:rPr>
              <w:t xml:space="preserve"> 10-5</w:t>
            </w:r>
          </w:p>
        </w:tc>
      </w:tr>
      <w:tr w:rsidR="00BF0FE3" w:rsidRPr="008B7770" w14:paraId="123565FB" w14:textId="77777777" w:rsidTr="00A75975">
        <w:trPr>
          <w:trHeight w:val="227"/>
          <w:jc w:val="center"/>
        </w:trPr>
        <w:tc>
          <w:tcPr>
            <w:tcW w:w="1843" w:type="dxa"/>
            <w:tcBorders>
              <w:top w:val="nil"/>
              <w:left w:val="nil"/>
              <w:bottom w:val="single" w:sz="4" w:space="0" w:color="auto"/>
              <w:right w:val="nil"/>
            </w:tcBorders>
            <w:shd w:val="clear" w:color="auto" w:fill="auto"/>
            <w:noWrap/>
            <w:vAlign w:val="bottom"/>
            <w:hideMark/>
          </w:tcPr>
          <w:p w14:paraId="4CE35D32" w14:textId="77777777" w:rsidR="00BF0FE3" w:rsidRPr="005913AD" w:rsidRDefault="00BF0FE3" w:rsidP="00B4738B">
            <w:pPr>
              <w:spacing w:after="0" w:line="220" w:lineRule="atLeast"/>
              <w:rPr>
                <w:rFonts w:ascii="Times New Roman" w:hAnsi="Times New Roman" w:cs="Times New Roman"/>
                <w:sz w:val="18"/>
                <w:szCs w:val="18"/>
                <w:lang w:val="en-GB"/>
              </w:rPr>
            </w:pPr>
            <w:r w:rsidRPr="005913AD">
              <w:rPr>
                <w:rFonts w:ascii="Times New Roman" w:hAnsi="Times New Roman" w:cs="Times New Roman"/>
                <w:sz w:val="18"/>
                <w:szCs w:val="18"/>
                <w:lang w:val="en-GB"/>
              </w:rPr>
              <w:t>Case min</w:t>
            </w:r>
          </w:p>
        </w:tc>
        <w:tc>
          <w:tcPr>
            <w:tcW w:w="1616" w:type="dxa"/>
            <w:tcBorders>
              <w:top w:val="nil"/>
              <w:left w:val="nil"/>
              <w:bottom w:val="single" w:sz="4" w:space="0" w:color="auto"/>
              <w:right w:val="nil"/>
            </w:tcBorders>
            <w:shd w:val="clear" w:color="auto" w:fill="auto"/>
            <w:noWrap/>
            <w:vAlign w:val="bottom"/>
            <w:hideMark/>
          </w:tcPr>
          <w:p w14:paraId="497B1730" w14:textId="0F1D11E3" w:rsidR="00BF0FE3" w:rsidRPr="005913AD" w:rsidRDefault="00BF0FE3" w:rsidP="00A75975">
            <w:pPr>
              <w:spacing w:after="0" w:line="220" w:lineRule="atLeast"/>
              <w:jc w:val="center"/>
              <w:rPr>
                <w:rFonts w:ascii="Times New Roman" w:hAnsi="Times New Roman" w:cs="Times New Roman"/>
                <w:sz w:val="18"/>
                <w:szCs w:val="18"/>
                <w:lang w:val="en-GB"/>
              </w:rPr>
            </w:pPr>
            <w:r w:rsidRPr="005913AD">
              <w:rPr>
                <w:rFonts w:ascii="Times New Roman" w:hAnsi="Times New Roman" w:cs="Times New Roman"/>
                <w:sz w:val="18"/>
                <w:szCs w:val="18"/>
                <w:lang w:val="en-GB"/>
              </w:rPr>
              <w:t>5</w:t>
            </w:r>
            <w:r w:rsidR="00B44946">
              <w:rPr>
                <w:rFonts w:ascii="Times New Roman" w:hAnsi="Times New Roman" w:cs="Times New Roman"/>
                <w:sz w:val="18"/>
                <w:szCs w:val="18"/>
                <w:lang w:val="en-GB"/>
              </w:rPr>
              <w:t>.</w:t>
            </w:r>
            <w:r w:rsidRPr="005913AD">
              <w:rPr>
                <w:rFonts w:ascii="Times New Roman" w:hAnsi="Times New Roman" w:cs="Times New Roman"/>
                <w:sz w:val="18"/>
                <w:szCs w:val="18"/>
                <w:lang w:val="en-GB"/>
              </w:rPr>
              <w:t xml:space="preserve">8 </w:t>
            </w:r>
            <w:r w:rsidRPr="005913AD">
              <w:rPr>
                <w:rFonts w:ascii="Times New Roman" w:hAnsi="Times New Roman" w:cs="Times New Roman"/>
                <w:sz w:val="18"/>
                <w:szCs w:val="18"/>
                <w:lang w:val="en-GB"/>
              </w:rPr>
              <w:sym w:font="Wingdings" w:char="F0A0"/>
            </w:r>
            <w:r w:rsidRPr="005913AD">
              <w:rPr>
                <w:rFonts w:ascii="Times New Roman" w:hAnsi="Times New Roman" w:cs="Times New Roman"/>
                <w:sz w:val="18"/>
                <w:szCs w:val="18"/>
                <w:lang w:val="en-GB"/>
              </w:rPr>
              <w:t xml:space="preserve"> 10-5</w:t>
            </w:r>
          </w:p>
        </w:tc>
      </w:tr>
    </w:tbl>
    <w:p w14:paraId="3DA1E2D2" w14:textId="77777777" w:rsidR="00DC4D8B" w:rsidRDefault="00DC4D8B" w:rsidP="00B4738B">
      <w:pPr>
        <w:spacing w:after="0" w:line="220" w:lineRule="atLeast"/>
        <w:jc w:val="both"/>
        <w:rPr>
          <w:rFonts w:ascii="Times New Roman" w:hAnsi="Times New Roman" w:cs="Times New Roman"/>
          <w:lang w:val="en-US"/>
        </w:rPr>
      </w:pPr>
    </w:p>
    <w:p w14:paraId="056C5E0C" w14:textId="6FA82AA8" w:rsidR="00FB1FC8" w:rsidRPr="00A75975" w:rsidRDefault="000000C4" w:rsidP="00A75975">
      <w:pPr>
        <w:spacing w:after="0" w:line="220" w:lineRule="atLeast"/>
        <w:ind w:firstLine="227"/>
        <w:jc w:val="both"/>
        <w:rPr>
          <w:rFonts w:ascii="Times New Roman" w:hAnsi="Times New Roman" w:cs="Times New Roman"/>
        </w:rPr>
      </w:pPr>
      <w:r w:rsidRPr="00A75975">
        <w:rPr>
          <w:rFonts w:ascii="Times New Roman" w:hAnsi="Times New Roman" w:cs="Times New Roman"/>
        </w:rPr>
        <w:t xml:space="preserve">The changes when comparing Case max and Case min are quite </w:t>
      </w:r>
      <w:r w:rsidR="00A40059" w:rsidRPr="00A75975">
        <w:rPr>
          <w:rFonts w:ascii="Times New Roman" w:hAnsi="Times New Roman" w:cs="Times New Roman"/>
        </w:rPr>
        <w:t xml:space="preserve">extensive </w:t>
      </w:r>
      <w:r w:rsidR="00367610" w:rsidRPr="00A75975">
        <w:rPr>
          <w:rFonts w:ascii="Times New Roman" w:hAnsi="Times New Roman" w:cs="Times New Roman"/>
        </w:rPr>
        <w:t xml:space="preserve">when social risk is compared with individual risk </w:t>
      </w:r>
      <w:r w:rsidRPr="00A75975">
        <w:rPr>
          <w:rFonts w:ascii="Times New Roman" w:hAnsi="Times New Roman" w:cs="Times New Roman"/>
        </w:rPr>
        <w:t xml:space="preserve">in </w:t>
      </w:r>
      <w:r w:rsidR="000B5556" w:rsidRPr="00A75975">
        <w:rPr>
          <w:rFonts w:ascii="Times New Roman" w:hAnsi="Times New Roman" w:cs="Times New Roman"/>
        </w:rPr>
        <w:t xml:space="preserve">Figure 2. </w:t>
      </w:r>
      <w:r w:rsidR="009C3965" w:rsidRPr="00A75975">
        <w:rPr>
          <w:rFonts w:ascii="Times New Roman" w:hAnsi="Times New Roman" w:cs="Times New Roman"/>
        </w:rPr>
        <w:t>For instance, the FAR value</w:t>
      </w:r>
      <w:r w:rsidR="00093A62" w:rsidRPr="00A75975">
        <w:rPr>
          <w:rFonts w:ascii="Times New Roman" w:hAnsi="Times New Roman" w:cs="Times New Roman"/>
        </w:rPr>
        <w:t xml:space="preserve"> of Case min is 7.4</w:t>
      </w:r>
      <w:r w:rsidR="001F23D7" w:rsidRPr="00A75975">
        <w:rPr>
          <w:rFonts w:ascii="Times New Roman" w:hAnsi="Times New Roman" w:cs="Times New Roman"/>
        </w:rPr>
        <w:t xml:space="preserve"> times higher than for Case max in </w:t>
      </w:r>
      <w:r w:rsidR="00D25D2D" w:rsidRPr="00A75975">
        <w:rPr>
          <w:rFonts w:ascii="Times New Roman" w:hAnsi="Times New Roman" w:cs="Times New Roman"/>
        </w:rPr>
        <w:fldChar w:fldCharType="begin"/>
      </w:r>
      <w:r w:rsidR="00D25D2D" w:rsidRPr="00A75975">
        <w:rPr>
          <w:rFonts w:ascii="Times New Roman" w:hAnsi="Times New Roman" w:cs="Times New Roman"/>
        </w:rPr>
        <w:instrText xml:space="preserve"> REF _Ref47334914 \h </w:instrText>
      </w:r>
      <w:r w:rsidR="00DC4D8B">
        <w:rPr>
          <w:rFonts w:ascii="Times New Roman" w:hAnsi="Times New Roman" w:cs="Times New Roman"/>
        </w:rPr>
        <w:instrText xml:space="preserve"> \* MERGEFORMAT </w:instrText>
      </w:r>
      <w:r w:rsidR="00D25D2D" w:rsidRPr="00A75975">
        <w:rPr>
          <w:rFonts w:ascii="Times New Roman" w:hAnsi="Times New Roman" w:cs="Times New Roman"/>
        </w:rPr>
      </w:r>
      <w:r w:rsidR="00D25D2D" w:rsidRPr="00A75975">
        <w:rPr>
          <w:rFonts w:ascii="Times New Roman" w:hAnsi="Times New Roman" w:cs="Times New Roman"/>
        </w:rPr>
        <w:fldChar w:fldCharType="separate"/>
      </w:r>
      <w:r w:rsidR="00A96E95" w:rsidRPr="00A96E95">
        <w:rPr>
          <w:rFonts w:ascii="Times New Roman" w:hAnsi="Times New Roman" w:cs="Times New Roman"/>
        </w:rPr>
        <w:t>Figure 3</w:t>
      </w:r>
      <w:r w:rsidR="00D25D2D" w:rsidRPr="00A75975">
        <w:rPr>
          <w:rFonts w:ascii="Times New Roman" w:hAnsi="Times New Roman" w:cs="Times New Roman"/>
        </w:rPr>
        <w:fldChar w:fldCharType="end"/>
      </w:r>
      <w:r w:rsidR="00D25D2D" w:rsidRPr="00A75975">
        <w:rPr>
          <w:rFonts w:ascii="Times New Roman" w:hAnsi="Times New Roman" w:cs="Times New Roman"/>
        </w:rPr>
        <w:t xml:space="preserve">. </w:t>
      </w:r>
      <w:r w:rsidRPr="00A75975">
        <w:rPr>
          <w:rFonts w:ascii="Times New Roman" w:hAnsi="Times New Roman" w:cs="Times New Roman"/>
        </w:rPr>
        <w:t xml:space="preserve">This implies that the risk levels for personnel in the Case min should be considered as quite high, </w:t>
      </w:r>
      <w:r w:rsidR="00C42336" w:rsidRPr="00A75975">
        <w:rPr>
          <w:rFonts w:ascii="Times New Roman" w:hAnsi="Times New Roman" w:cs="Times New Roman"/>
        </w:rPr>
        <w:t xml:space="preserve">both </w:t>
      </w:r>
      <w:r w:rsidRPr="00A75975">
        <w:rPr>
          <w:rFonts w:ascii="Times New Roman" w:hAnsi="Times New Roman" w:cs="Times New Roman"/>
        </w:rPr>
        <w:t xml:space="preserve">relatively speaking and when seen in isolation. </w:t>
      </w:r>
    </w:p>
    <w:p w14:paraId="7B3CDA9E" w14:textId="77777777" w:rsidR="00FB1FC8" w:rsidRPr="00A75975" w:rsidRDefault="00FB1FC8" w:rsidP="00A75975">
      <w:pPr>
        <w:spacing w:after="0" w:line="220" w:lineRule="atLeast"/>
        <w:ind w:firstLine="227"/>
        <w:jc w:val="both"/>
        <w:rPr>
          <w:rFonts w:ascii="Times New Roman" w:hAnsi="Times New Roman" w:cs="Times New Roman"/>
        </w:rPr>
      </w:pPr>
    </w:p>
    <w:p w14:paraId="7BEF0F31" w14:textId="4A7DEF85" w:rsidR="000000C4" w:rsidRPr="00A75975" w:rsidRDefault="008E53C8" w:rsidP="00A75975">
      <w:pPr>
        <w:spacing w:after="0" w:line="220" w:lineRule="atLeast"/>
        <w:ind w:firstLine="227"/>
        <w:jc w:val="both"/>
        <w:rPr>
          <w:rFonts w:ascii="Times New Roman" w:hAnsi="Times New Roman" w:cs="Times New Roman"/>
        </w:rPr>
      </w:pPr>
      <w:r w:rsidRPr="00A75975">
        <w:rPr>
          <w:rFonts w:ascii="Times New Roman" w:hAnsi="Times New Roman" w:cs="Times New Roman"/>
        </w:rPr>
        <w:t xml:space="preserve">On the other hand, the PLL value of </w:t>
      </w:r>
      <w:r w:rsidR="00341915" w:rsidRPr="00A75975">
        <w:rPr>
          <w:rFonts w:ascii="Times New Roman" w:hAnsi="Times New Roman" w:cs="Times New Roman"/>
        </w:rPr>
        <w:t xml:space="preserve">Case min is only </w:t>
      </w:r>
      <w:r w:rsidR="001D0032" w:rsidRPr="00A75975">
        <w:rPr>
          <w:rFonts w:ascii="Times New Roman" w:hAnsi="Times New Roman" w:cs="Times New Roman"/>
        </w:rPr>
        <w:t>1.7 times higher than the PLL value of Case max.</w:t>
      </w:r>
      <w:r w:rsidR="00FB1FC8" w:rsidRPr="00A75975">
        <w:rPr>
          <w:rFonts w:ascii="Times New Roman" w:hAnsi="Times New Roman" w:cs="Times New Roman"/>
        </w:rPr>
        <w:t xml:space="preserve"> </w:t>
      </w:r>
      <w:r w:rsidR="000C3038" w:rsidRPr="00A75975">
        <w:rPr>
          <w:rFonts w:ascii="Times New Roman" w:hAnsi="Times New Roman" w:cs="Times New Roman"/>
        </w:rPr>
        <w:t xml:space="preserve">This reflects the significantly lower </w:t>
      </w:r>
    </w:p>
    <w:p w14:paraId="3FB29F1F" w14:textId="77777777" w:rsidR="00FB1FC8" w:rsidRPr="00A75975" w:rsidRDefault="00FB1FC8" w:rsidP="00A75975">
      <w:pPr>
        <w:spacing w:after="0" w:line="220" w:lineRule="atLeast"/>
        <w:ind w:firstLine="227"/>
        <w:jc w:val="both"/>
        <w:rPr>
          <w:rFonts w:ascii="Times New Roman" w:hAnsi="Times New Roman" w:cs="Times New Roman"/>
        </w:rPr>
      </w:pPr>
    </w:p>
    <w:p w14:paraId="1D26C935" w14:textId="7AB098FD" w:rsidR="000000C4" w:rsidRPr="00DC3B33" w:rsidRDefault="000000C4" w:rsidP="00B4738B">
      <w:pPr>
        <w:spacing w:after="0" w:line="220" w:lineRule="atLeast"/>
        <w:ind w:firstLine="227"/>
        <w:jc w:val="both"/>
        <w:rPr>
          <w:rFonts w:ascii="Times New Roman" w:hAnsi="Times New Roman" w:cs="Times New Roman"/>
        </w:rPr>
      </w:pPr>
      <w:r w:rsidRPr="00DC3B33">
        <w:rPr>
          <w:rFonts w:ascii="Times New Roman" w:hAnsi="Times New Roman" w:cs="Times New Roman"/>
        </w:rPr>
        <w:t xml:space="preserve">It may be noted that </w:t>
      </w:r>
      <w:r w:rsidR="00B44946">
        <w:rPr>
          <w:rFonts w:ascii="Times New Roman" w:hAnsi="Times New Roman" w:cs="Times New Roman"/>
        </w:rPr>
        <w:t xml:space="preserve">the </w:t>
      </w:r>
      <w:r w:rsidRPr="00DC3B33">
        <w:rPr>
          <w:rFonts w:ascii="Times New Roman" w:hAnsi="Times New Roman" w:cs="Times New Roman"/>
        </w:rPr>
        <w:t xml:space="preserve">FAR values are virtually constant if the number </w:t>
      </w:r>
      <w:r w:rsidR="00B44946">
        <w:rPr>
          <w:rFonts w:ascii="Times New Roman" w:hAnsi="Times New Roman" w:cs="Times New Roman"/>
        </w:rPr>
        <w:t xml:space="preserve">of </w:t>
      </w:r>
      <w:r w:rsidRPr="00DC3B33">
        <w:rPr>
          <w:rFonts w:ascii="Times New Roman" w:hAnsi="Times New Roman" w:cs="Times New Roman"/>
        </w:rPr>
        <w:t>manhours spent on the installation is changed from what was assumed for the case study. There</w:t>
      </w:r>
      <w:r w:rsidRPr="00DC3B33">
        <w:rPr>
          <w:rFonts w:ascii="Times New Roman" w:hAnsi="Times New Roman" w:cs="Times New Roman"/>
        </w:rPr>
        <w:softHyphen/>
        <w:t xml:space="preserve">fore, even if </w:t>
      </w:r>
      <w:r w:rsidR="00C42336">
        <w:rPr>
          <w:rFonts w:ascii="Times New Roman" w:hAnsi="Times New Roman" w:cs="Times New Roman"/>
        </w:rPr>
        <w:t>it</w:t>
      </w:r>
      <w:r w:rsidRPr="00DC3B33">
        <w:rPr>
          <w:rFonts w:ascii="Times New Roman" w:hAnsi="Times New Roman" w:cs="Times New Roman"/>
        </w:rPr>
        <w:t xml:space="preserve"> may </w:t>
      </w:r>
      <w:r w:rsidR="00C42336">
        <w:rPr>
          <w:rFonts w:ascii="Times New Roman" w:hAnsi="Times New Roman" w:cs="Times New Roman"/>
        </w:rPr>
        <w:t xml:space="preserve">be considered by some </w:t>
      </w:r>
      <w:r w:rsidRPr="00DC3B33">
        <w:rPr>
          <w:rFonts w:ascii="Times New Roman" w:hAnsi="Times New Roman" w:cs="Times New Roman"/>
        </w:rPr>
        <w:t>that the assumed manhours are too high, the high values in</w:t>
      </w:r>
      <w:r w:rsidR="000B5556" w:rsidRPr="00DC3B33">
        <w:rPr>
          <w:rFonts w:ascii="Times New Roman" w:hAnsi="Times New Roman" w:cs="Times New Roman"/>
        </w:rPr>
        <w:t xml:space="preserve"> Figure 2</w:t>
      </w:r>
      <w:r w:rsidRPr="00DC3B33">
        <w:rPr>
          <w:rFonts w:ascii="Times New Roman" w:hAnsi="Times New Roman" w:cs="Times New Roman"/>
        </w:rPr>
        <w:t xml:space="preserve"> will still be </w:t>
      </w:r>
      <w:r w:rsidR="00B44946">
        <w:rPr>
          <w:rFonts w:ascii="Times New Roman" w:hAnsi="Times New Roman" w:cs="Times New Roman"/>
        </w:rPr>
        <w:t>large</w:t>
      </w:r>
      <w:r w:rsidR="00367610">
        <w:rPr>
          <w:rFonts w:ascii="Times New Roman" w:hAnsi="Times New Roman" w:cs="Times New Roman"/>
        </w:rPr>
        <w:t xml:space="preserve">ly </w:t>
      </w:r>
      <w:r w:rsidRPr="00DC3B33">
        <w:rPr>
          <w:rFonts w:ascii="Times New Roman" w:hAnsi="Times New Roman" w:cs="Times New Roman"/>
        </w:rPr>
        <w:t xml:space="preserve">applicable. The PLL values will on the other hand be reduced </w:t>
      </w:r>
      <w:r w:rsidR="00367610">
        <w:rPr>
          <w:rFonts w:ascii="Times New Roman" w:hAnsi="Times New Roman" w:cs="Times New Roman"/>
        </w:rPr>
        <w:t>correspond</w:t>
      </w:r>
      <w:r w:rsidR="00367610">
        <w:rPr>
          <w:rFonts w:ascii="Times New Roman" w:hAnsi="Times New Roman" w:cs="Times New Roman"/>
        </w:rPr>
        <w:softHyphen/>
      </w:r>
      <w:r w:rsidRPr="00DC3B33">
        <w:rPr>
          <w:rFonts w:ascii="Times New Roman" w:hAnsi="Times New Roman" w:cs="Times New Roman"/>
        </w:rPr>
        <w:t>ingly.</w:t>
      </w:r>
    </w:p>
    <w:p w14:paraId="472FAAF6" w14:textId="0ABE6DE5" w:rsidR="00FE1B19" w:rsidRPr="00DC3B33" w:rsidRDefault="00FE1B19" w:rsidP="00B4738B">
      <w:pPr>
        <w:spacing w:after="0" w:line="220" w:lineRule="atLeast"/>
        <w:ind w:firstLine="227"/>
        <w:jc w:val="both"/>
        <w:rPr>
          <w:rFonts w:ascii="Times New Roman" w:hAnsi="Times New Roman" w:cs="Times New Roman"/>
        </w:rPr>
      </w:pPr>
    </w:p>
    <w:p w14:paraId="35FBDFF1" w14:textId="512D9F7D" w:rsidR="00332985" w:rsidRPr="00DC3B33" w:rsidRDefault="00F976C2" w:rsidP="00B4738B">
      <w:pPr>
        <w:spacing w:before="230" w:after="100" w:line="220" w:lineRule="atLeast"/>
        <w:ind w:left="227" w:hanging="227"/>
        <w:rPr>
          <w:rFonts w:ascii="Times New Roman" w:hAnsi="Times New Roman" w:cs="Times New Roman"/>
          <w:i/>
        </w:rPr>
      </w:pPr>
      <w:r>
        <w:rPr>
          <w:rFonts w:ascii="Times New Roman" w:hAnsi="Times New Roman" w:cs="Times New Roman"/>
          <w:i/>
        </w:rPr>
        <w:t>4</w:t>
      </w:r>
      <w:r w:rsidR="006B6075">
        <w:rPr>
          <w:rFonts w:ascii="Times New Roman" w:hAnsi="Times New Roman" w:cs="Times New Roman"/>
          <w:i/>
        </w:rPr>
        <w:t>.</w:t>
      </w:r>
      <w:r w:rsidR="00533DF2">
        <w:rPr>
          <w:rFonts w:ascii="Times New Roman" w:hAnsi="Times New Roman" w:cs="Times New Roman"/>
          <w:i/>
        </w:rPr>
        <w:t>2</w:t>
      </w:r>
      <w:r w:rsidR="00332985" w:rsidRPr="00DC3B33">
        <w:rPr>
          <w:rFonts w:ascii="Times New Roman" w:hAnsi="Times New Roman" w:cs="Times New Roman"/>
          <w:i/>
        </w:rPr>
        <w:t xml:space="preserve"> Evaluation of Risk for Case Study</w:t>
      </w:r>
    </w:p>
    <w:p w14:paraId="52B8B4E3" w14:textId="306F919B" w:rsidR="00C94486" w:rsidRPr="00DC3B33" w:rsidRDefault="00332985" w:rsidP="00B4738B">
      <w:pPr>
        <w:spacing w:after="0" w:line="220" w:lineRule="atLeast"/>
        <w:jc w:val="both"/>
        <w:rPr>
          <w:rFonts w:ascii="Times New Roman" w:hAnsi="Times New Roman" w:cs="Times New Roman"/>
          <w:lang w:val="en-US"/>
        </w:rPr>
      </w:pPr>
      <w:r w:rsidRPr="00DC3B33">
        <w:rPr>
          <w:rFonts w:ascii="Times New Roman" w:hAnsi="Times New Roman" w:cs="Times New Roman"/>
          <w:lang w:val="en-US"/>
        </w:rPr>
        <w:t xml:space="preserve">The differences between </w:t>
      </w:r>
      <w:r w:rsidR="00B44946">
        <w:rPr>
          <w:rFonts w:ascii="Times New Roman" w:hAnsi="Times New Roman" w:cs="Times New Roman"/>
          <w:lang w:val="en-US"/>
        </w:rPr>
        <w:t xml:space="preserve">the </w:t>
      </w:r>
      <w:r w:rsidRPr="00DC3B33">
        <w:rPr>
          <w:rFonts w:ascii="Times New Roman" w:hAnsi="Times New Roman" w:cs="Times New Roman"/>
          <w:lang w:val="en-US"/>
        </w:rPr>
        <w:t xml:space="preserve">FAR and PLL values are demonstrated by referring to Figure </w:t>
      </w:r>
      <w:r w:rsidR="00533DF2">
        <w:rPr>
          <w:rFonts w:ascii="Times New Roman" w:hAnsi="Times New Roman" w:cs="Times New Roman"/>
          <w:lang w:val="en-US"/>
        </w:rPr>
        <w:t>3</w:t>
      </w:r>
      <w:r w:rsidR="00B44946">
        <w:rPr>
          <w:rFonts w:ascii="Times New Roman" w:hAnsi="Times New Roman" w:cs="Times New Roman"/>
          <w:lang w:val="en-US"/>
        </w:rPr>
        <w:t>,</w:t>
      </w:r>
      <w:r w:rsidRPr="00DC3B33">
        <w:rPr>
          <w:rFonts w:ascii="Times New Roman" w:hAnsi="Times New Roman" w:cs="Times New Roman"/>
          <w:lang w:val="en-US"/>
        </w:rPr>
        <w:t xml:space="preserve"> which shows that Case min has a significantly higher FAR value compared to Case manned. </w:t>
      </w:r>
      <w:r w:rsidR="00C42336">
        <w:rPr>
          <w:rFonts w:ascii="Times New Roman" w:hAnsi="Times New Roman" w:cs="Times New Roman"/>
          <w:lang w:val="en-US"/>
        </w:rPr>
        <w:t xml:space="preserve">Table </w:t>
      </w:r>
      <w:r w:rsidR="00894D30">
        <w:rPr>
          <w:rFonts w:ascii="Times New Roman" w:hAnsi="Times New Roman" w:cs="Times New Roman"/>
          <w:lang w:val="en-US"/>
        </w:rPr>
        <w:t>4</w:t>
      </w:r>
      <w:r w:rsidR="00C42336">
        <w:rPr>
          <w:rFonts w:ascii="Times New Roman" w:hAnsi="Times New Roman" w:cs="Times New Roman"/>
          <w:lang w:val="en-US"/>
        </w:rPr>
        <w:t xml:space="preserve"> shows that t</w:t>
      </w:r>
      <w:r w:rsidRPr="00DC3B33">
        <w:rPr>
          <w:rFonts w:ascii="Times New Roman" w:hAnsi="Times New Roman" w:cs="Times New Roman"/>
          <w:lang w:val="en-US"/>
        </w:rPr>
        <w:t>he PLL value of the Case min is still significantly lower than for Case manned. It has to be observed that these values only apply to fire and explosion hazards from leaks of flammable gas or oil.</w:t>
      </w:r>
    </w:p>
    <w:p w14:paraId="1601A991" w14:textId="77777777" w:rsidR="004E172C" w:rsidRPr="00DC3B33" w:rsidRDefault="004E172C" w:rsidP="00B4738B">
      <w:pPr>
        <w:spacing w:after="0" w:line="220" w:lineRule="atLeast"/>
        <w:jc w:val="both"/>
        <w:rPr>
          <w:rFonts w:ascii="Times New Roman" w:hAnsi="Times New Roman" w:cs="Times New Roman"/>
          <w:lang w:val="en-GB"/>
        </w:rPr>
      </w:pPr>
    </w:p>
    <w:p w14:paraId="307A5607" w14:textId="4331BB3A" w:rsidR="00D03B0F" w:rsidRPr="00DC3B33" w:rsidRDefault="00D03B0F" w:rsidP="00B4738B">
      <w:pPr>
        <w:spacing w:after="0" w:line="220" w:lineRule="atLeast"/>
        <w:ind w:firstLine="227"/>
        <w:jc w:val="both"/>
        <w:rPr>
          <w:rFonts w:ascii="Times New Roman" w:hAnsi="Times New Roman" w:cs="Times New Roman"/>
        </w:rPr>
      </w:pPr>
      <w:r w:rsidRPr="00DC3B33">
        <w:rPr>
          <w:rFonts w:ascii="Times New Roman" w:hAnsi="Times New Roman" w:cs="Times New Roman"/>
        </w:rPr>
        <w:t xml:space="preserve">Figure </w:t>
      </w:r>
      <w:r w:rsidR="00C54778">
        <w:rPr>
          <w:rFonts w:ascii="Times New Roman" w:hAnsi="Times New Roman" w:cs="Times New Roman"/>
        </w:rPr>
        <w:t>4</w:t>
      </w:r>
      <w:r w:rsidRPr="00DC3B33">
        <w:rPr>
          <w:rFonts w:ascii="Times New Roman" w:hAnsi="Times New Roman" w:cs="Times New Roman"/>
        </w:rPr>
        <w:t xml:space="preserve"> is </w:t>
      </w:r>
      <w:r w:rsidR="00B44946">
        <w:rPr>
          <w:rFonts w:ascii="Times New Roman" w:hAnsi="Times New Roman" w:cs="Times New Roman"/>
        </w:rPr>
        <w:t xml:space="preserve">an </w:t>
      </w:r>
      <w:r w:rsidRPr="00DC3B33">
        <w:rPr>
          <w:rFonts w:ascii="Times New Roman" w:hAnsi="Times New Roman" w:cs="Times New Roman"/>
        </w:rPr>
        <w:t>attempt to illustrate the diffe</w:t>
      </w:r>
      <w:r w:rsidRPr="00DC3B33">
        <w:rPr>
          <w:rFonts w:ascii="Times New Roman" w:hAnsi="Times New Roman" w:cs="Times New Roman"/>
        </w:rPr>
        <w:softHyphen/>
        <w:t>rences between manned and normally unman</w:t>
      </w:r>
      <w:r w:rsidR="00367610">
        <w:rPr>
          <w:rFonts w:ascii="Times New Roman" w:hAnsi="Times New Roman" w:cs="Times New Roman"/>
        </w:rPr>
        <w:softHyphen/>
      </w:r>
      <w:r w:rsidRPr="00DC3B33">
        <w:rPr>
          <w:rFonts w:ascii="Times New Roman" w:hAnsi="Times New Roman" w:cs="Times New Roman"/>
        </w:rPr>
        <w:t>ned installations</w:t>
      </w:r>
      <w:r w:rsidR="00367610">
        <w:rPr>
          <w:rFonts w:ascii="Times New Roman" w:hAnsi="Times New Roman" w:cs="Times New Roman"/>
        </w:rPr>
        <w:t xml:space="preserve">, when all </w:t>
      </w:r>
      <w:r w:rsidR="00B44946">
        <w:rPr>
          <w:rFonts w:ascii="Times New Roman" w:hAnsi="Times New Roman" w:cs="Times New Roman"/>
        </w:rPr>
        <w:t xml:space="preserve">the </w:t>
      </w:r>
      <w:r w:rsidR="00367610">
        <w:rPr>
          <w:rFonts w:ascii="Times New Roman" w:hAnsi="Times New Roman" w:cs="Times New Roman"/>
        </w:rPr>
        <w:t xml:space="preserve">contributions to major accident risk </w:t>
      </w:r>
      <w:r w:rsidR="001272FC">
        <w:rPr>
          <w:rFonts w:ascii="Times New Roman" w:hAnsi="Times New Roman" w:cs="Times New Roman"/>
        </w:rPr>
        <w:t xml:space="preserve">on the installation as well as during personnel transportation </w:t>
      </w:r>
      <w:r w:rsidR="00367610">
        <w:rPr>
          <w:rFonts w:ascii="Times New Roman" w:hAnsi="Times New Roman" w:cs="Times New Roman"/>
        </w:rPr>
        <w:t>are included</w:t>
      </w:r>
      <w:r w:rsidRPr="00DC3B33">
        <w:rPr>
          <w:rFonts w:ascii="Times New Roman" w:hAnsi="Times New Roman" w:cs="Times New Roman"/>
        </w:rPr>
        <w:t xml:space="preserve">. </w:t>
      </w:r>
    </w:p>
    <w:p w14:paraId="5AB52C33" w14:textId="25481A05" w:rsidR="00872A2E" w:rsidRPr="004804D4" w:rsidRDefault="00276A7C" w:rsidP="00B4738B">
      <w:pPr>
        <w:pStyle w:val="Bildetekst"/>
        <w:spacing w:line="220" w:lineRule="atLeast"/>
        <w:jc w:val="center"/>
        <w:rPr>
          <w:b w:val="0"/>
          <w:bCs/>
        </w:rPr>
      </w:pPr>
      <w:r>
        <w:rPr>
          <w:b w:val="0"/>
          <w:bCs/>
          <w:noProof/>
          <w:lang w:eastAsia="en-GB"/>
        </w:rPr>
        <w:drawing>
          <wp:inline distT="0" distB="0" distL="0" distR="0" wp14:anchorId="38B9E245" wp14:editId="6EADF1A3">
            <wp:extent cx="3367454" cy="2020192"/>
            <wp:effectExtent l="0" t="0" r="444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0176" cy="2039822"/>
                    </a:xfrm>
                    <a:prstGeom prst="rect">
                      <a:avLst/>
                    </a:prstGeom>
                    <a:noFill/>
                  </pic:spPr>
                </pic:pic>
              </a:graphicData>
            </a:graphic>
          </wp:inline>
        </w:drawing>
      </w:r>
    </w:p>
    <w:p w14:paraId="736D7BDD" w14:textId="318ED240" w:rsidR="00872A2E" w:rsidRPr="00527A4F" w:rsidRDefault="00872A2E" w:rsidP="00B4738B">
      <w:pPr>
        <w:pStyle w:val="Bildetekst"/>
        <w:spacing w:line="220" w:lineRule="atLeast"/>
        <w:jc w:val="center"/>
        <w:rPr>
          <w:rFonts w:ascii="Times New Roman" w:hAnsi="Times New Roman"/>
        </w:rPr>
      </w:pPr>
      <w:r>
        <w:t xml:space="preserve">Figure </w:t>
      </w:r>
      <w:r>
        <w:fldChar w:fldCharType="begin"/>
      </w:r>
      <w:r>
        <w:instrText xml:space="preserve"> SEQ Figure \* ARABIC </w:instrText>
      </w:r>
      <w:r>
        <w:fldChar w:fldCharType="separate"/>
      </w:r>
      <w:r w:rsidR="00A96E95">
        <w:rPr>
          <w:noProof/>
        </w:rPr>
        <w:t>4</w:t>
      </w:r>
      <w:r>
        <w:fldChar w:fldCharType="end"/>
      </w:r>
      <w:r>
        <w:t xml:space="preserve"> </w:t>
      </w:r>
      <w:r>
        <w:rPr>
          <w:rFonts w:ascii="Times New Roman" w:hAnsi="Times New Roman"/>
          <w:b w:val="0"/>
          <w:bCs/>
        </w:rPr>
        <w:t>Fatality risk results for NUI production installation, comparison of cases with assumed contributions from structural, occupational and transportation hazards</w:t>
      </w:r>
    </w:p>
    <w:p w14:paraId="4762B303" w14:textId="3CC6D292" w:rsidR="00D03B0F" w:rsidRDefault="00D03B0F" w:rsidP="00B4738B">
      <w:pPr>
        <w:spacing w:after="0" w:line="220" w:lineRule="atLeast"/>
        <w:ind w:firstLine="227"/>
        <w:jc w:val="both"/>
        <w:rPr>
          <w:rFonts w:ascii="Times New Roman" w:hAnsi="Times New Roman" w:cs="Times New Roman"/>
        </w:rPr>
      </w:pPr>
      <w:r w:rsidRPr="00DC3B33">
        <w:rPr>
          <w:rFonts w:ascii="Times New Roman" w:hAnsi="Times New Roman" w:cs="Times New Roman"/>
        </w:rPr>
        <w:t>It is demonstrated that the numbers in the pre</w:t>
      </w:r>
      <w:r w:rsidRPr="00DC3B33">
        <w:rPr>
          <w:rFonts w:ascii="Times New Roman" w:hAnsi="Times New Roman" w:cs="Times New Roman"/>
        </w:rPr>
        <w:softHyphen/>
        <w:t xml:space="preserve">sent case imply that the Case manned has </w:t>
      </w:r>
      <w:r w:rsidR="00B44946">
        <w:rPr>
          <w:rFonts w:ascii="Times New Roman" w:hAnsi="Times New Roman" w:cs="Times New Roman"/>
        </w:rPr>
        <w:t xml:space="preserve">a </w:t>
      </w:r>
      <w:r w:rsidRPr="00DC3B33">
        <w:rPr>
          <w:rFonts w:ascii="Times New Roman" w:hAnsi="Times New Roman" w:cs="Times New Roman"/>
        </w:rPr>
        <w:t xml:space="preserve">5% higher equivalent FAR value </w:t>
      </w:r>
      <w:r w:rsidR="00B44946">
        <w:rPr>
          <w:rFonts w:ascii="Times New Roman" w:hAnsi="Times New Roman" w:cs="Times New Roman"/>
        </w:rPr>
        <w:t>than</w:t>
      </w:r>
      <w:r w:rsidRPr="00DC3B33">
        <w:rPr>
          <w:rFonts w:ascii="Times New Roman" w:hAnsi="Times New Roman" w:cs="Times New Roman"/>
        </w:rPr>
        <w:t xml:space="preserve"> the Case min</w:t>
      </w:r>
      <w:r w:rsidR="001272FC">
        <w:rPr>
          <w:rFonts w:ascii="Times New Roman" w:hAnsi="Times New Roman" w:cs="Times New Roman"/>
        </w:rPr>
        <w:t>, when all major accident risk contributions are included</w:t>
      </w:r>
      <w:r w:rsidRPr="00DC3B33">
        <w:rPr>
          <w:rFonts w:ascii="Times New Roman" w:hAnsi="Times New Roman" w:cs="Times New Roman"/>
        </w:rPr>
        <w:t xml:space="preserve">. It is on the other </w:t>
      </w:r>
      <w:r w:rsidR="00B44946">
        <w:rPr>
          <w:rFonts w:ascii="Times New Roman" w:hAnsi="Times New Roman" w:cs="Times New Roman"/>
        </w:rPr>
        <w:t xml:space="preserve">hand </w:t>
      </w:r>
      <w:r w:rsidRPr="00DC3B33">
        <w:rPr>
          <w:rFonts w:ascii="Times New Roman" w:hAnsi="Times New Roman" w:cs="Times New Roman"/>
        </w:rPr>
        <w:t xml:space="preserve">clear from Figure </w:t>
      </w:r>
      <w:r w:rsidR="00C54778">
        <w:rPr>
          <w:rFonts w:ascii="Times New Roman" w:hAnsi="Times New Roman" w:cs="Times New Roman"/>
        </w:rPr>
        <w:t>4</w:t>
      </w:r>
      <w:r w:rsidRPr="00DC3B33">
        <w:rPr>
          <w:rFonts w:ascii="Times New Roman" w:hAnsi="Times New Roman" w:cs="Times New Roman"/>
        </w:rPr>
        <w:t xml:space="preserve"> that only minor changes to some of the contri</w:t>
      </w:r>
      <w:r w:rsidRPr="00DC3B33">
        <w:rPr>
          <w:rFonts w:ascii="Times New Roman" w:hAnsi="Times New Roman" w:cs="Times New Roman"/>
        </w:rPr>
        <w:softHyphen/>
        <w:t xml:space="preserve">butions may result in the reverse </w:t>
      </w:r>
      <w:r w:rsidR="001272FC">
        <w:rPr>
          <w:rFonts w:ascii="Times New Roman" w:hAnsi="Times New Roman" w:cs="Times New Roman"/>
        </w:rPr>
        <w:t xml:space="preserve">relationship </w:t>
      </w:r>
      <w:r w:rsidRPr="00DC3B33">
        <w:rPr>
          <w:rFonts w:ascii="Times New Roman" w:hAnsi="Times New Roman" w:cs="Times New Roman"/>
        </w:rPr>
        <w:t xml:space="preserve">between the two cases. It is therefore </w:t>
      </w:r>
      <w:r w:rsidR="001272FC">
        <w:rPr>
          <w:rFonts w:ascii="Times New Roman" w:hAnsi="Times New Roman" w:cs="Times New Roman"/>
        </w:rPr>
        <w:t xml:space="preserve">obvious </w:t>
      </w:r>
      <w:r w:rsidRPr="00DC3B33">
        <w:rPr>
          <w:rFonts w:ascii="Times New Roman" w:hAnsi="Times New Roman" w:cs="Times New Roman"/>
        </w:rPr>
        <w:t xml:space="preserve">that even though Case min has a significantly lower PLL value when compared to Case manned (see Table </w:t>
      </w:r>
      <w:r w:rsidR="00F31424">
        <w:rPr>
          <w:rFonts w:ascii="Times New Roman" w:hAnsi="Times New Roman" w:cs="Times New Roman"/>
        </w:rPr>
        <w:t>4</w:t>
      </w:r>
      <w:r w:rsidRPr="00DC3B33">
        <w:rPr>
          <w:rFonts w:ascii="Times New Roman" w:hAnsi="Times New Roman" w:cs="Times New Roman"/>
        </w:rPr>
        <w:t>), we may easily end up with the average total FAR values for the Case min being slightly higher (or in fact lower</w:t>
      </w:r>
      <w:r w:rsidR="00E3460A">
        <w:rPr>
          <w:rFonts w:ascii="Times New Roman" w:hAnsi="Times New Roman" w:cs="Times New Roman"/>
        </w:rPr>
        <w:t>,</w:t>
      </w:r>
      <w:r w:rsidRPr="00DC3B33">
        <w:rPr>
          <w:rFonts w:ascii="Times New Roman" w:hAnsi="Times New Roman" w:cs="Times New Roman"/>
        </w:rPr>
        <w:t xml:space="preserve"> as here) than the Case manned</w:t>
      </w:r>
      <w:r w:rsidR="001272FC">
        <w:rPr>
          <w:rFonts w:ascii="Times New Roman" w:hAnsi="Times New Roman" w:cs="Times New Roman"/>
        </w:rPr>
        <w:t>, depending on the details</w:t>
      </w:r>
      <w:r w:rsidRPr="00DC3B33">
        <w:rPr>
          <w:rFonts w:ascii="Times New Roman" w:hAnsi="Times New Roman" w:cs="Times New Roman"/>
        </w:rPr>
        <w:t>. The obvious ob</w:t>
      </w:r>
      <w:r w:rsidRPr="00DC3B33">
        <w:rPr>
          <w:rFonts w:ascii="Times New Roman" w:hAnsi="Times New Roman" w:cs="Times New Roman"/>
        </w:rPr>
        <w:softHyphen/>
        <w:t xml:space="preserve">servation from this brief discussion is that only considering PLL values for comparison is too limited </w:t>
      </w:r>
      <w:r w:rsidR="00B44946">
        <w:rPr>
          <w:rFonts w:ascii="Times New Roman" w:hAnsi="Times New Roman" w:cs="Times New Roman"/>
        </w:rPr>
        <w:t xml:space="preserve">a </w:t>
      </w:r>
      <w:r w:rsidRPr="00DC3B33">
        <w:rPr>
          <w:rFonts w:ascii="Times New Roman" w:hAnsi="Times New Roman" w:cs="Times New Roman"/>
        </w:rPr>
        <w:t>scope of comparison.</w:t>
      </w:r>
      <w:r w:rsidR="001272FC">
        <w:rPr>
          <w:rFonts w:ascii="Times New Roman" w:hAnsi="Times New Roman" w:cs="Times New Roman"/>
        </w:rPr>
        <w:t xml:space="preserve"> Societal risk (PLL values) as well as individual risk (FAR values or similar) should both be considered for an extensive comparison of risk in these cases.</w:t>
      </w:r>
    </w:p>
    <w:p w14:paraId="422B6EBB" w14:textId="6FFB7E4F" w:rsidR="00380C2F" w:rsidRDefault="00380C2F" w:rsidP="00B4738B">
      <w:pPr>
        <w:spacing w:after="0" w:line="220" w:lineRule="atLeast"/>
        <w:ind w:firstLine="227"/>
        <w:jc w:val="both"/>
        <w:rPr>
          <w:rFonts w:ascii="Times New Roman" w:hAnsi="Times New Roman" w:cs="Times New Roman"/>
        </w:rPr>
      </w:pPr>
      <w:r>
        <w:rPr>
          <w:rFonts w:ascii="Times New Roman" w:hAnsi="Times New Roman" w:cs="Times New Roman"/>
        </w:rPr>
        <w:t xml:space="preserve">These results also show that RTC are needed for </w:t>
      </w:r>
      <w:r w:rsidR="00DE4E2F">
        <w:rPr>
          <w:rFonts w:ascii="Times New Roman" w:hAnsi="Times New Roman" w:cs="Times New Roman"/>
        </w:rPr>
        <w:t>UPP installations, if consistent and systematic evaluations of risk to personnel on UPP installations shall be possible.</w:t>
      </w:r>
      <w:r w:rsidR="009D3245">
        <w:rPr>
          <w:rFonts w:ascii="Times New Roman" w:hAnsi="Times New Roman" w:cs="Times New Roman"/>
        </w:rPr>
        <w:t xml:space="preserve"> This is discussed in the following chapter.</w:t>
      </w:r>
    </w:p>
    <w:p w14:paraId="23D20954" w14:textId="77777777" w:rsidR="00AF695A" w:rsidRPr="00647D01" w:rsidRDefault="00AF695A" w:rsidP="00B4738B">
      <w:pPr>
        <w:spacing w:after="0" w:line="220" w:lineRule="atLeast"/>
        <w:ind w:firstLine="227"/>
        <w:jc w:val="both"/>
        <w:rPr>
          <w:rFonts w:ascii="Times New Roman" w:hAnsi="Times New Roman" w:cs="Times New Roman"/>
        </w:rPr>
      </w:pPr>
    </w:p>
    <w:p w14:paraId="61F53C5B" w14:textId="66B80DF6" w:rsidR="002E58EE" w:rsidRPr="00647D01" w:rsidRDefault="00466C94" w:rsidP="00B4738B">
      <w:pPr>
        <w:keepNext/>
        <w:spacing w:before="230" w:after="100" w:line="220" w:lineRule="atLeast"/>
        <w:ind w:left="227" w:hanging="227"/>
        <w:rPr>
          <w:rFonts w:ascii="Times New Roman" w:hAnsi="Times New Roman" w:cs="Times New Roman"/>
          <w:b/>
        </w:rPr>
      </w:pPr>
      <w:r>
        <w:rPr>
          <w:rFonts w:ascii="Times New Roman" w:hAnsi="Times New Roman" w:cs="Times New Roman"/>
          <w:b/>
        </w:rPr>
        <w:t>5</w:t>
      </w:r>
      <w:r w:rsidR="002E58EE" w:rsidRPr="00647D01">
        <w:rPr>
          <w:rFonts w:ascii="Times New Roman" w:hAnsi="Times New Roman" w:cs="Times New Roman"/>
          <w:b/>
        </w:rPr>
        <w:t xml:space="preserve">. </w:t>
      </w:r>
      <w:r w:rsidR="0026632A">
        <w:rPr>
          <w:rFonts w:ascii="Times New Roman" w:hAnsi="Times New Roman" w:cs="Times New Roman"/>
          <w:b/>
        </w:rPr>
        <w:t>Risk Tolerance Criteria for UPP Installations</w:t>
      </w:r>
    </w:p>
    <w:p w14:paraId="33EBD9A2" w14:textId="565706D3" w:rsidR="00C32115" w:rsidRPr="00A75975" w:rsidRDefault="00082947" w:rsidP="00A75975">
      <w:pPr>
        <w:spacing w:after="0" w:line="220" w:lineRule="atLeast"/>
        <w:jc w:val="both"/>
        <w:rPr>
          <w:rFonts w:ascii="Times New Roman" w:hAnsi="Times New Roman" w:cs="Times New Roman"/>
          <w:lang w:val="en-US"/>
        </w:rPr>
      </w:pPr>
      <w:r w:rsidRPr="00A75975">
        <w:rPr>
          <w:rFonts w:ascii="Times New Roman" w:hAnsi="Times New Roman" w:cs="Times New Roman"/>
          <w:lang w:val="en-US"/>
        </w:rPr>
        <w:t xml:space="preserve">This chapter outlines some possibilities for RTC for unmanned installations and </w:t>
      </w:r>
      <w:r w:rsidR="00C32115" w:rsidRPr="00A75975">
        <w:rPr>
          <w:rFonts w:ascii="Times New Roman" w:hAnsi="Times New Roman" w:cs="Times New Roman"/>
          <w:lang w:val="en-US"/>
        </w:rPr>
        <w:t>discusses some of the difficulties involved with such RTC.</w:t>
      </w:r>
      <w:r w:rsidR="00D30748" w:rsidRPr="00A75975">
        <w:rPr>
          <w:rFonts w:ascii="Times New Roman" w:hAnsi="Times New Roman" w:cs="Times New Roman"/>
          <w:lang w:val="en-US"/>
        </w:rPr>
        <w:t xml:space="preserve"> The basis for this discussion is the general description of RTC for manned installations in Chapter 3.</w:t>
      </w:r>
      <w:r w:rsidR="007C4837" w:rsidRPr="00A75975">
        <w:rPr>
          <w:rFonts w:ascii="Times New Roman" w:hAnsi="Times New Roman" w:cs="Times New Roman"/>
          <w:lang w:val="en-US"/>
        </w:rPr>
        <w:t xml:space="preserve"> </w:t>
      </w:r>
      <w:r w:rsidR="002A7ED2" w:rsidRPr="00A75975">
        <w:rPr>
          <w:rFonts w:ascii="Times New Roman" w:hAnsi="Times New Roman" w:cs="Times New Roman"/>
          <w:lang w:val="en-US"/>
        </w:rPr>
        <w:t>The basis is further from the results of the case study</w:t>
      </w:r>
      <w:r w:rsidR="00F31424">
        <w:rPr>
          <w:rFonts w:ascii="Times New Roman" w:hAnsi="Times New Roman" w:cs="Times New Roman"/>
          <w:lang w:val="en-US"/>
        </w:rPr>
        <w:t xml:space="preserve"> (Chapter 4)</w:t>
      </w:r>
      <w:r w:rsidR="002A7ED2" w:rsidRPr="00A75975">
        <w:rPr>
          <w:rFonts w:ascii="Times New Roman" w:hAnsi="Times New Roman" w:cs="Times New Roman"/>
          <w:lang w:val="en-US"/>
        </w:rPr>
        <w:t xml:space="preserve">, where it is </w:t>
      </w:r>
      <w:r w:rsidR="0037451E" w:rsidRPr="00A75975">
        <w:rPr>
          <w:rFonts w:ascii="Times New Roman" w:hAnsi="Times New Roman" w:cs="Times New Roman"/>
          <w:lang w:val="en-US"/>
        </w:rPr>
        <w:t xml:space="preserve">for example illustrated how different extent of safety systems may have significant influence on the </w:t>
      </w:r>
      <w:r w:rsidR="00AF3434" w:rsidRPr="00A75975">
        <w:rPr>
          <w:rFonts w:ascii="Times New Roman" w:hAnsi="Times New Roman" w:cs="Times New Roman"/>
          <w:lang w:val="en-US"/>
        </w:rPr>
        <w:t>risk levels for personnel.</w:t>
      </w:r>
    </w:p>
    <w:p w14:paraId="3846BB54" w14:textId="77777777" w:rsidR="00416AA9" w:rsidRPr="00A75975" w:rsidRDefault="00416AA9" w:rsidP="00A75975">
      <w:pPr>
        <w:spacing w:after="0" w:line="220" w:lineRule="atLeast"/>
        <w:jc w:val="both"/>
        <w:rPr>
          <w:rFonts w:ascii="Times New Roman" w:hAnsi="Times New Roman" w:cs="Times New Roman"/>
          <w:lang w:val="en-US"/>
        </w:rPr>
      </w:pPr>
    </w:p>
    <w:p w14:paraId="0C8D5551" w14:textId="62E82BC6" w:rsidR="00416AA9" w:rsidRPr="00647D01" w:rsidRDefault="009D0D06" w:rsidP="00416AA9">
      <w:pPr>
        <w:spacing w:before="230" w:after="100" w:line="220" w:lineRule="atLeast"/>
        <w:ind w:left="227" w:hanging="227"/>
        <w:rPr>
          <w:rFonts w:ascii="Times New Roman" w:hAnsi="Times New Roman" w:cs="Times New Roman"/>
          <w:i/>
        </w:rPr>
      </w:pPr>
      <w:r>
        <w:rPr>
          <w:rFonts w:ascii="Times New Roman" w:hAnsi="Times New Roman" w:cs="Times New Roman"/>
          <w:i/>
        </w:rPr>
        <w:t>5</w:t>
      </w:r>
      <w:r w:rsidR="00416AA9" w:rsidRPr="00647D01">
        <w:rPr>
          <w:rFonts w:ascii="Times New Roman" w:hAnsi="Times New Roman" w:cs="Times New Roman"/>
          <w:i/>
        </w:rPr>
        <w:t>.</w:t>
      </w:r>
      <w:r>
        <w:rPr>
          <w:rFonts w:ascii="Times New Roman" w:hAnsi="Times New Roman" w:cs="Times New Roman"/>
          <w:i/>
        </w:rPr>
        <w:t>1</w:t>
      </w:r>
      <w:r w:rsidR="00416AA9" w:rsidRPr="00647D01">
        <w:rPr>
          <w:rFonts w:ascii="Times New Roman" w:hAnsi="Times New Roman" w:cs="Times New Roman"/>
          <w:i/>
        </w:rPr>
        <w:t xml:space="preserve"> </w:t>
      </w:r>
      <w:r w:rsidR="00416AA9">
        <w:rPr>
          <w:rFonts w:ascii="Times New Roman" w:hAnsi="Times New Roman" w:cs="Times New Roman"/>
          <w:i/>
        </w:rPr>
        <w:t xml:space="preserve">Possibilities for Risk </w:t>
      </w:r>
      <w:r w:rsidR="00416AA9" w:rsidRPr="00647D01">
        <w:rPr>
          <w:rFonts w:ascii="Times New Roman" w:hAnsi="Times New Roman" w:cs="Times New Roman"/>
          <w:i/>
        </w:rPr>
        <w:t xml:space="preserve">Tolerance Criteria for UPP </w:t>
      </w:r>
      <w:r w:rsidR="00416AA9">
        <w:rPr>
          <w:rFonts w:ascii="Times New Roman" w:hAnsi="Times New Roman" w:cs="Times New Roman"/>
          <w:i/>
        </w:rPr>
        <w:t>I</w:t>
      </w:r>
      <w:r w:rsidR="00416AA9" w:rsidRPr="00647D01">
        <w:rPr>
          <w:rFonts w:ascii="Times New Roman" w:hAnsi="Times New Roman" w:cs="Times New Roman"/>
          <w:i/>
        </w:rPr>
        <w:t>nstallations</w:t>
      </w:r>
    </w:p>
    <w:p w14:paraId="250EC910" w14:textId="77777777" w:rsidR="00416AA9" w:rsidRPr="00647D01" w:rsidRDefault="00416AA9" w:rsidP="00416AA9">
      <w:pPr>
        <w:spacing w:after="0" w:line="220" w:lineRule="atLeast"/>
        <w:jc w:val="both"/>
        <w:rPr>
          <w:rFonts w:ascii="Times New Roman" w:hAnsi="Times New Roman" w:cs="Times New Roman"/>
          <w:lang w:val="en-US"/>
        </w:rPr>
      </w:pPr>
      <w:r w:rsidRPr="00647D01">
        <w:rPr>
          <w:rFonts w:ascii="Times New Roman" w:hAnsi="Times New Roman" w:cs="Times New Roman"/>
          <w:lang w:val="en-US"/>
        </w:rPr>
        <w:t xml:space="preserve">The </w:t>
      </w:r>
      <w:r>
        <w:rPr>
          <w:rFonts w:ascii="Times New Roman" w:hAnsi="Times New Roman" w:cs="Times New Roman"/>
          <w:lang w:val="en-US"/>
        </w:rPr>
        <w:t xml:space="preserve">present situation may be characterized as a </w:t>
      </w:r>
      <w:r w:rsidRPr="00647D01">
        <w:rPr>
          <w:rFonts w:ascii="Times New Roman" w:hAnsi="Times New Roman" w:cs="Times New Roman"/>
          <w:lang w:val="en-US"/>
        </w:rPr>
        <w:t xml:space="preserve">combination of very relaxed RTC </w:t>
      </w:r>
      <w:r>
        <w:rPr>
          <w:rFonts w:ascii="Times New Roman" w:hAnsi="Times New Roman" w:cs="Times New Roman"/>
          <w:lang w:val="en-US"/>
        </w:rPr>
        <w:t xml:space="preserve">for manned installations </w:t>
      </w:r>
      <w:r w:rsidRPr="00647D01">
        <w:rPr>
          <w:rFonts w:ascii="Times New Roman" w:hAnsi="Times New Roman" w:cs="Times New Roman"/>
          <w:lang w:val="en-US"/>
        </w:rPr>
        <w:t>and no specific RTC for unmanned installations</w:t>
      </w:r>
      <w:r>
        <w:rPr>
          <w:rFonts w:ascii="Times New Roman" w:hAnsi="Times New Roman" w:cs="Times New Roman"/>
          <w:lang w:val="en-US"/>
        </w:rPr>
        <w:t xml:space="preserve">. Such </w:t>
      </w:r>
      <w:r w:rsidRPr="00647D01">
        <w:rPr>
          <w:rFonts w:ascii="Times New Roman" w:hAnsi="Times New Roman" w:cs="Times New Roman"/>
          <w:lang w:val="en-US"/>
        </w:rPr>
        <w:t xml:space="preserve">a combination </w:t>
      </w:r>
      <w:r>
        <w:rPr>
          <w:rFonts w:ascii="Times New Roman" w:hAnsi="Times New Roman" w:cs="Times New Roman"/>
          <w:lang w:val="en-US"/>
        </w:rPr>
        <w:t xml:space="preserve">may </w:t>
      </w:r>
      <w:r w:rsidRPr="00647D01">
        <w:rPr>
          <w:rFonts w:ascii="Times New Roman" w:hAnsi="Times New Roman" w:cs="Times New Roman"/>
          <w:lang w:val="en-US"/>
        </w:rPr>
        <w:t>give extensive flexibility for companies with very little commitment with respect to risk exposure for personnel on unman</w:t>
      </w:r>
      <w:r>
        <w:rPr>
          <w:rFonts w:ascii="Times New Roman" w:hAnsi="Times New Roman" w:cs="Times New Roman"/>
          <w:lang w:val="en-US"/>
        </w:rPr>
        <w:softHyphen/>
      </w:r>
      <w:r w:rsidRPr="00647D01">
        <w:rPr>
          <w:rFonts w:ascii="Times New Roman" w:hAnsi="Times New Roman" w:cs="Times New Roman"/>
          <w:lang w:val="en-US"/>
        </w:rPr>
        <w:t>ned installations.</w:t>
      </w:r>
    </w:p>
    <w:p w14:paraId="3D14A43F" w14:textId="13DB73B9" w:rsidR="008C02EE" w:rsidRDefault="00416AA9" w:rsidP="00416AA9">
      <w:pPr>
        <w:spacing w:after="0" w:line="220" w:lineRule="atLeast"/>
        <w:ind w:firstLine="227"/>
        <w:jc w:val="both"/>
        <w:rPr>
          <w:rFonts w:ascii="Times New Roman" w:hAnsi="Times New Roman" w:cs="Times New Roman"/>
        </w:rPr>
      </w:pPr>
      <w:r w:rsidRPr="00647D01">
        <w:rPr>
          <w:rFonts w:ascii="Times New Roman" w:hAnsi="Times New Roman" w:cs="Times New Roman"/>
        </w:rPr>
        <w:t>This does not appear to be a good situation when also the vagueness of the regulatory requirements is considered. It would be extremely challenging in a regulatory context to ensure fair treatment and consistent safety levels between different projects and applications.</w:t>
      </w:r>
      <w:r>
        <w:rPr>
          <w:rFonts w:ascii="Times New Roman" w:hAnsi="Times New Roman" w:cs="Times New Roman"/>
        </w:rPr>
        <w:t xml:space="preserve"> Such consistency could be achieved if the authorities plan to require that unmanned installations comply with all the require</w:t>
      </w:r>
      <w:r>
        <w:rPr>
          <w:rFonts w:ascii="Times New Roman" w:hAnsi="Times New Roman" w:cs="Times New Roman"/>
        </w:rPr>
        <w:softHyphen/>
        <w:t>ments for manned installations. This is on the other hand completely unrealistic because the industry would not accept such a high investment cost for unmanned installations, and it would if implemented stop the development of unmanned installations.</w:t>
      </w:r>
      <w:r w:rsidR="00AD39BF">
        <w:rPr>
          <w:rFonts w:ascii="Times New Roman" w:hAnsi="Times New Roman" w:cs="Times New Roman"/>
        </w:rPr>
        <w:t xml:space="preserve"> </w:t>
      </w:r>
      <w:r w:rsidRPr="00647D01">
        <w:rPr>
          <w:rFonts w:ascii="Times New Roman" w:hAnsi="Times New Roman" w:cs="Times New Roman"/>
        </w:rPr>
        <w:t xml:space="preserve">It would therefore </w:t>
      </w:r>
      <w:r>
        <w:rPr>
          <w:rFonts w:ascii="Times New Roman" w:hAnsi="Times New Roman" w:cs="Times New Roman"/>
        </w:rPr>
        <w:t xml:space="preserve">be useful if </w:t>
      </w:r>
      <w:r w:rsidRPr="00647D01">
        <w:rPr>
          <w:rFonts w:ascii="Times New Roman" w:hAnsi="Times New Roman" w:cs="Times New Roman"/>
        </w:rPr>
        <w:t xml:space="preserve">additional guidelines </w:t>
      </w:r>
      <w:r>
        <w:rPr>
          <w:rFonts w:ascii="Times New Roman" w:hAnsi="Times New Roman" w:cs="Times New Roman"/>
        </w:rPr>
        <w:t xml:space="preserve">of some form could be stated </w:t>
      </w:r>
      <w:r w:rsidRPr="00647D01">
        <w:rPr>
          <w:rFonts w:ascii="Times New Roman" w:hAnsi="Times New Roman" w:cs="Times New Roman"/>
        </w:rPr>
        <w:t xml:space="preserve">from a regulatory point of view. </w:t>
      </w:r>
    </w:p>
    <w:p w14:paraId="297E3535" w14:textId="11747E0E" w:rsidR="00416AA9" w:rsidRPr="00647D01" w:rsidRDefault="00416AA9" w:rsidP="00416AA9">
      <w:pPr>
        <w:spacing w:after="0" w:line="220" w:lineRule="atLeast"/>
        <w:ind w:firstLine="227"/>
        <w:jc w:val="both"/>
        <w:rPr>
          <w:rFonts w:ascii="Times New Roman" w:hAnsi="Times New Roman" w:cs="Times New Roman"/>
        </w:rPr>
      </w:pPr>
      <w:r w:rsidRPr="00647D01">
        <w:rPr>
          <w:rFonts w:ascii="Times New Roman" w:hAnsi="Times New Roman" w:cs="Times New Roman"/>
        </w:rPr>
        <w:t>The following alterna</w:t>
      </w:r>
      <w:r w:rsidRPr="00647D01">
        <w:rPr>
          <w:rFonts w:ascii="Times New Roman" w:hAnsi="Times New Roman" w:cs="Times New Roman"/>
        </w:rPr>
        <w:softHyphen/>
        <w:t>tives could be implemented with respect to RTC for unmanned installations:</w:t>
      </w:r>
    </w:p>
    <w:p w14:paraId="69CC098B" w14:textId="77777777" w:rsidR="00416AA9" w:rsidRPr="00647D01" w:rsidRDefault="00416AA9" w:rsidP="00416AA9">
      <w:pPr>
        <w:spacing w:after="0" w:line="220" w:lineRule="atLeast"/>
        <w:ind w:firstLine="227"/>
        <w:jc w:val="both"/>
        <w:rPr>
          <w:rFonts w:ascii="Times New Roman" w:hAnsi="Times New Roman" w:cs="Times New Roman"/>
        </w:rPr>
      </w:pPr>
    </w:p>
    <w:p w14:paraId="53970AC9" w14:textId="77777777" w:rsidR="00416AA9" w:rsidRPr="00647D01" w:rsidRDefault="00416AA9" w:rsidP="00416AA9">
      <w:pPr>
        <w:pStyle w:val="Listeavsnitt"/>
        <w:numPr>
          <w:ilvl w:val="0"/>
          <w:numId w:val="6"/>
        </w:numPr>
        <w:spacing w:after="0" w:line="220" w:lineRule="atLeast"/>
        <w:jc w:val="both"/>
        <w:rPr>
          <w:rFonts w:ascii="Times New Roman" w:hAnsi="Times New Roman" w:cs="Times New Roman"/>
        </w:rPr>
      </w:pPr>
      <w:r w:rsidRPr="00647D01">
        <w:rPr>
          <w:rFonts w:ascii="Times New Roman" w:hAnsi="Times New Roman" w:cs="Times New Roman"/>
        </w:rPr>
        <w:t>Stricter RTC in general</w:t>
      </w:r>
    </w:p>
    <w:p w14:paraId="6485B36F" w14:textId="77777777" w:rsidR="00416AA9" w:rsidRPr="00647D01" w:rsidRDefault="00416AA9" w:rsidP="00416AA9">
      <w:pPr>
        <w:pStyle w:val="Listeavsnitt"/>
        <w:numPr>
          <w:ilvl w:val="0"/>
          <w:numId w:val="6"/>
        </w:numPr>
        <w:spacing w:after="0" w:line="220" w:lineRule="atLeast"/>
        <w:jc w:val="both"/>
        <w:rPr>
          <w:rFonts w:ascii="Times New Roman" w:hAnsi="Times New Roman" w:cs="Times New Roman"/>
        </w:rPr>
      </w:pPr>
      <w:r w:rsidRPr="00647D01">
        <w:rPr>
          <w:rFonts w:ascii="Times New Roman" w:hAnsi="Times New Roman" w:cs="Times New Roman"/>
        </w:rPr>
        <w:t>Specific [strict] RTC for unmanned installations</w:t>
      </w:r>
    </w:p>
    <w:p w14:paraId="7841912C" w14:textId="77777777" w:rsidR="00416AA9" w:rsidRPr="00647D01" w:rsidRDefault="00416AA9" w:rsidP="00416AA9">
      <w:pPr>
        <w:pStyle w:val="Listeavsnitt"/>
        <w:numPr>
          <w:ilvl w:val="0"/>
          <w:numId w:val="6"/>
        </w:numPr>
        <w:spacing w:after="0" w:line="220" w:lineRule="atLeast"/>
        <w:jc w:val="both"/>
        <w:rPr>
          <w:rFonts w:ascii="Times New Roman" w:hAnsi="Times New Roman" w:cs="Times New Roman"/>
        </w:rPr>
      </w:pPr>
      <w:r w:rsidRPr="00647D01">
        <w:rPr>
          <w:rFonts w:ascii="Times New Roman" w:hAnsi="Times New Roman" w:cs="Times New Roman"/>
        </w:rPr>
        <w:t>Adhere to upper limit for main safety function impairment irrespective of man</w:t>
      </w:r>
      <w:r w:rsidRPr="00647D01">
        <w:rPr>
          <w:rFonts w:ascii="Times New Roman" w:hAnsi="Times New Roman" w:cs="Times New Roman"/>
        </w:rPr>
        <w:softHyphen/>
        <w:t>ning duration</w:t>
      </w:r>
    </w:p>
    <w:p w14:paraId="066B3BC0" w14:textId="77777777" w:rsidR="00416AA9" w:rsidRPr="00647D01" w:rsidRDefault="00416AA9" w:rsidP="00416AA9">
      <w:pPr>
        <w:spacing w:after="0" w:line="220" w:lineRule="atLeast"/>
        <w:jc w:val="both"/>
        <w:rPr>
          <w:rFonts w:ascii="Times New Roman" w:hAnsi="Times New Roman" w:cs="Times New Roman"/>
        </w:rPr>
      </w:pPr>
    </w:p>
    <w:p w14:paraId="5ADFE47A" w14:textId="64F34EA8" w:rsidR="00416AA9" w:rsidRPr="00647D01" w:rsidRDefault="00416AA9" w:rsidP="00416AA9">
      <w:pPr>
        <w:spacing w:after="0" w:line="220" w:lineRule="atLeast"/>
        <w:ind w:firstLine="227"/>
        <w:jc w:val="both"/>
        <w:rPr>
          <w:rFonts w:ascii="Times New Roman" w:hAnsi="Times New Roman" w:cs="Times New Roman"/>
        </w:rPr>
      </w:pPr>
      <w:r w:rsidRPr="00647D01">
        <w:rPr>
          <w:rFonts w:ascii="Times New Roman" w:hAnsi="Times New Roman" w:cs="Times New Roman"/>
        </w:rPr>
        <w:t xml:space="preserve">Stricter RTC in general has been discussed in </w:t>
      </w:r>
      <w:r w:rsidR="00630ADF">
        <w:rPr>
          <w:rFonts w:ascii="Times New Roman" w:hAnsi="Times New Roman" w:cs="Times New Roman"/>
        </w:rPr>
        <w:t>S</w:t>
      </w:r>
      <w:r w:rsidRPr="00647D01">
        <w:rPr>
          <w:rFonts w:ascii="Times New Roman" w:hAnsi="Times New Roman" w:cs="Times New Roman"/>
        </w:rPr>
        <w:t>ubsection</w:t>
      </w:r>
      <w:r>
        <w:rPr>
          <w:rFonts w:ascii="Times New Roman" w:hAnsi="Times New Roman" w:cs="Times New Roman"/>
        </w:rPr>
        <w:t xml:space="preserve"> </w:t>
      </w:r>
      <w:r w:rsidR="00630ADF">
        <w:rPr>
          <w:rFonts w:ascii="Times New Roman" w:hAnsi="Times New Roman" w:cs="Times New Roman"/>
        </w:rPr>
        <w:t xml:space="preserve">3.1 </w:t>
      </w:r>
      <w:r>
        <w:rPr>
          <w:rFonts w:ascii="Times New Roman" w:hAnsi="Times New Roman" w:cs="Times New Roman"/>
        </w:rPr>
        <w:t>for offshore instal</w:t>
      </w:r>
      <w:r>
        <w:rPr>
          <w:rFonts w:ascii="Times New Roman" w:hAnsi="Times New Roman" w:cs="Times New Roman"/>
        </w:rPr>
        <w:softHyphen/>
        <w:t>lations</w:t>
      </w:r>
      <w:r w:rsidR="000B1E7B">
        <w:rPr>
          <w:rFonts w:ascii="Times New Roman" w:hAnsi="Times New Roman" w:cs="Times New Roman"/>
        </w:rPr>
        <w:t xml:space="preserve"> in general</w:t>
      </w:r>
      <w:r w:rsidRPr="00647D01">
        <w:rPr>
          <w:rFonts w:ascii="Times New Roman" w:hAnsi="Times New Roman" w:cs="Times New Roman"/>
        </w:rPr>
        <w:t xml:space="preserve">. If such a limit was sufficiently strict it would be sensible to use </w:t>
      </w:r>
      <w:r>
        <w:rPr>
          <w:rFonts w:ascii="Times New Roman" w:hAnsi="Times New Roman" w:cs="Times New Roman"/>
        </w:rPr>
        <w:t>it</w:t>
      </w:r>
      <w:r w:rsidRPr="00647D01">
        <w:rPr>
          <w:rFonts w:ascii="Times New Roman" w:hAnsi="Times New Roman" w:cs="Times New Roman"/>
        </w:rPr>
        <w:t xml:space="preserve"> for any type of installation in any operational mode.</w:t>
      </w:r>
    </w:p>
    <w:p w14:paraId="5A4D1135" w14:textId="77777777" w:rsidR="00416AA9" w:rsidRDefault="00416AA9" w:rsidP="00416AA9">
      <w:pPr>
        <w:spacing w:after="0" w:line="220" w:lineRule="atLeast"/>
        <w:ind w:firstLine="227"/>
        <w:jc w:val="both"/>
        <w:rPr>
          <w:rFonts w:ascii="Times New Roman" w:hAnsi="Times New Roman" w:cs="Times New Roman"/>
        </w:rPr>
      </w:pPr>
    </w:p>
    <w:p w14:paraId="599A05E1" w14:textId="77777777" w:rsidR="00416AA9" w:rsidRPr="00647D01" w:rsidRDefault="00416AA9" w:rsidP="00416AA9">
      <w:pPr>
        <w:spacing w:after="0" w:line="220" w:lineRule="atLeast"/>
        <w:ind w:firstLine="227"/>
        <w:jc w:val="both"/>
        <w:rPr>
          <w:rFonts w:ascii="Times New Roman" w:hAnsi="Times New Roman" w:cs="Times New Roman"/>
        </w:rPr>
      </w:pPr>
      <w:r w:rsidRPr="00647D01">
        <w:rPr>
          <w:rFonts w:ascii="Times New Roman" w:hAnsi="Times New Roman" w:cs="Times New Roman"/>
        </w:rPr>
        <w:t xml:space="preserve">An alternative would be to define specific RTC for unmanned installations. One example </w:t>
      </w:r>
      <w:r>
        <w:rPr>
          <w:rFonts w:ascii="Times New Roman" w:hAnsi="Times New Roman" w:cs="Times New Roman"/>
        </w:rPr>
        <w:t xml:space="preserve">from about 25 years ago </w:t>
      </w:r>
      <w:r w:rsidRPr="00647D01">
        <w:rPr>
          <w:rFonts w:ascii="Times New Roman" w:hAnsi="Times New Roman" w:cs="Times New Roman"/>
        </w:rPr>
        <w:t>was introduced in Vinnem &amp; Budde (2019), where an additional 25% add-on for the FAR value of the parent installation was tolerated for personnel visiting an unmanned wellhead instal</w:t>
      </w:r>
      <w:r w:rsidRPr="00647D01">
        <w:rPr>
          <w:rFonts w:ascii="Times New Roman" w:hAnsi="Times New Roman" w:cs="Times New Roman"/>
        </w:rPr>
        <w:softHyphen/>
        <w:t>lation.</w:t>
      </w:r>
    </w:p>
    <w:p w14:paraId="04E06A99" w14:textId="77777777" w:rsidR="00416AA9" w:rsidRDefault="00416AA9" w:rsidP="00416AA9">
      <w:pPr>
        <w:spacing w:after="0" w:line="220" w:lineRule="atLeast"/>
        <w:ind w:firstLine="227"/>
        <w:jc w:val="both"/>
        <w:rPr>
          <w:rFonts w:ascii="Times New Roman" w:hAnsi="Times New Roman" w:cs="Times New Roman"/>
        </w:rPr>
      </w:pPr>
    </w:p>
    <w:p w14:paraId="30662B9A" w14:textId="77777777" w:rsidR="00416AA9" w:rsidRPr="00647D01" w:rsidRDefault="00416AA9" w:rsidP="00416AA9">
      <w:pPr>
        <w:spacing w:after="0" w:line="220" w:lineRule="atLeast"/>
        <w:ind w:firstLine="227"/>
        <w:jc w:val="both"/>
        <w:rPr>
          <w:rFonts w:ascii="Times New Roman" w:hAnsi="Times New Roman" w:cs="Times New Roman"/>
        </w:rPr>
      </w:pPr>
      <w:r w:rsidRPr="00647D01">
        <w:rPr>
          <w:rFonts w:ascii="Times New Roman" w:hAnsi="Times New Roman" w:cs="Times New Roman"/>
        </w:rPr>
        <w:t xml:space="preserve">There may not be a ‘parent’ installation for future unmanned developments. </w:t>
      </w:r>
      <w:r>
        <w:rPr>
          <w:rFonts w:ascii="Times New Roman" w:hAnsi="Times New Roman" w:cs="Times New Roman"/>
        </w:rPr>
        <w:t>T</w:t>
      </w:r>
      <w:r w:rsidRPr="00647D01">
        <w:rPr>
          <w:rFonts w:ascii="Times New Roman" w:hAnsi="Times New Roman" w:cs="Times New Roman"/>
        </w:rPr>
        <w:t xml:space="preserve">he ‘parent installation’ may be replaced </w:t>
      </w:r>
      <w:r>
        <w:rPr>
          <w:rFonts w:ascii="Times New Roman" w:hAnsi="Times New Roman" w:cs="Times New Roman"/>
        </w:rPr>
        <w:t xml:space="preserve">in these cases </w:t>
      </w:r>
      <w:r w:rsidRPr="00647D01">
        <w:rPr>
          <w:rFonts w:ascii="Times New Roman" w:hAnsi="Times New Roman" w:cs="Times New Roman"/>
        </w:rPr>
        <w:t>by the average for all installations operated by the same company, calculated in a suitable and realistic manner, based on statistics and risk assessment studies.</w:t>
      </w:r>
    </w:p>
    <w:p w14:paraId="5AA37960" w14:textId="77777777" w:rsidR="00416AA9" w:rsidRDefault="00416AA9" w:rsidP="00416AA9">
      <w:pPr>
        <w:spacing w:after="0" w:line="220" w:lineRule="atLeast"/>
        <w:ind w:firstLine="227"/>
        <w:jc w:val="both"/>
        <w:rPr>
          <w:rFonts w:ascii="Times New Roman" w:hAnsi="Times New Roman" w:cs="Times New Roman"/>
        </w:rPr>
      </w:pPr>
    </w:p>
    <w:p w14:paraId="4C744E30" w14:textId="77777777" w:rsidR="00416AA9" w:rsidRPr="00647D01" w:rsidRDefault="00416AA9" w:rsidP="00416AA9">
      <w:pPr>
        <w:spacing w:after="0" w:line="220" w:lineRule="atLeast"/>
        <w:ind w:firstLine="227"/>
        <w:jc w:val="both"/>
        <w:rPr>
          <w:rFonts w:ascii="Times New Roman" w:hAnsi="Times New Roman" w:cs="Times New Roman"/>
        </w:rPr>
      </w:pPr>
      <w:r w:rsidRPr="00647D01">
        <w:rPr>
          <w:rFonts w:ascii="Times New Roman" w:hAnsi="Times New Roman" w:cs="Times New Roman"/>
        </w:rPr>
        <w:t xml:space="preserve">The example cited (Vinnem &amp; Budde, 2019) reflected the use of helicopter transportation of personnel between </w:t>
      </w:r>
      <w:r>
        <w:rPr>
          <w:rFonts w:ascii="Times New Roman" w:hAnsi="Times New Roman" w:cs="Times New Roman"/>
        </w:rPr>
        <w:t>the parent installation and the unmanned wellhead in</w:t>
      </w:r>
      <w:r w:rsidRPr="00647D01">
        <w:rPr>
          <w:rFonts w:ascii="Times New Roman" w:hAnsi="Times New Roman" w:cs="Times New Roman"/>
        </w:rPr>
        <w:t>s</w:t>
      </w:r>
      <w:r>
        <w:rPr>
          <w:rFonts w:ascii="Times New Roman" w:hAnsi="Times New Roman" w:cs="Times New Roman"/>
        </w:rPr>
        <w:t>tal</w:t>
      </w:r>
      <w:r>
        <w:rPr>
          <w:rFonts w:ascii="Times New Roman" w:hAnsi="Times New Roman" w:cs="Times New Roman"/>
        </w:rPr>
        <w:softHyphen/>
        <w:t>lation</w:t>
      </w:r>
      <w:r w:rsidRPr="00647D01">
        <w:rPr>
          <w:rFonts w:ascii="Times New Roman" w:hAnsi="Times New Roman" w:cs="Times New Roman"/>
        </w:rPr>
        <w:t xml:space="preserve"> and could as such be considered as a consistent comparison (comparing ‘apples with apples’). W2W</w:t>
      </w:r>
      <w:r>
        <w:rPr>
          <w:rFonts w:ascii="Times New Roman" w:hAnsi="Times New Roman" w:cs="Times New Roman"/>
        </w:rPr>
        <w:t xml:space="preserve"> </w:t>
      </w:r>
      <w:r w:rsidRPr="00647D01">
        <w:rPr>
          <w:rFonts w:ascii="Times New Roman" w:hAnsi="Times New Roman" w:cs="Times New Roman"/>
        </w:rPr>
        <w:t xml:space="preserve">vessels are much more likely to be used for personnel transportation in the future, which gives </w:t>
      </w:r>
      <w:r>
        <w:rPr>
          <w:rFonts w:ascii="Times New Roman" w:hAnsi="Times New Roman" w:cs="Times New Roman"/>
        </w:rPr>
        <w:t xml:space="preserve">a </w:t>
      </w:r>
      <w:r w:rsidRPr="00647D01">
        <w:rPr>
          <w:rFonts w:ascii="Times New Roman" w:hAnsi="Times New Roman" w:cs="Times New Roman"/>
        </w:rPr>
        <w:t xml:space="preserve">not completely consistent comparison (comparing ‘apples with oranges’). </w:t>
      </w:r>
    </w:p>
    <w:p w14:paraId="24E85A03" w14:textId="77777777" w:rsidR="00416AA9" w:rsidRDefault="00416AA9" w:rsidP="00416AA9">
      <w:pPr>
        <w:spacing w:after="0" w:line="220" w:lineRule="atLeast"/>
        <w:ind w:firstLine="227"/>
        <w:jc w:val="both"/>
        <w:rPr>
          <w:rFonts w:ascii="Times New Roman" w:hAnsi="Times New Roman" w:cs="Times New Roman"/>
        </w:rPr>
      </w:pPr>
    </w:p>
    <w:p w14:paraId="00D1DF03" w14:textId="77777777" w:rsidR="00416AA9" w:rsidRPr="00647D01" w:rsidRDefault="00416AA9" w:rsidP="00416AA9">
      <w:pPr>
        <w:spacing w:after="0" w:line="220" w:lineRule="atLeast"/>
        <w:ind w:firstLine="227"/>
        <w:jc w:val="both"/>
        <w:rPr>
          <w:rFonts w:ascii="Times New Roman" w:hAnsi="Times New Roman" w:cs="Times New Roman"/>
        </w:rPr>
      </w:pPr>
      <w:r w:rsidRPr="00647D01">
        <w:rPr>
          <w:rFonts w:ascii="Times New Roman" w:hAnsi="Times New Roman" w:cs="Times New Roman"/>
        </w:rPr>
        <w:t xml:space="preserve">One way to formulate the challenge in this regard is as follows: is it reasonable </w:t>
      </w:r>
      <w:r>
        <w:rPr>
          <w:rFonts w:ascii="Times New Roman" w:hAnsi="Times New Roman" w:cs="Times New Roman"/>
        </w:rPr>
        <w:t xml:space="preserve">to tolerate </w:t>
      </w:r>
      <w:r w:rsidRPr="00647D01">
        <w:rPr>
          <w:rFonts w:ascii="Times New Roman" w:hAnsi="Times New Roman" w:cs="Times New Roman"/>
        </w:rPr>
        <w:t>higher risks on the installations when the risk exposure from helicopter transportation is eliminated?</w:t>
      </w:r>
    </w:p>
    <w:p w14:paraId="0E65393B" w14:textId="77777777" w:rsidR="00416AA9" w:rsidRDefault="00416AA9" w:rsidP="00416AA9">
      <w:pPr>
        <w:spacing w:after="0" w:line="220" w:lineRule="atLeast"/>
        <w:ind w:firstLine="227"/>
        <w:jc w:val="both"/>
        <w:rPr>
          <w:rFonts w:ascii="Times New Roman" w:hAnsi="Times New Roman" w:cs="Times New Roman"/>
        </w:rPr>
      </w:pPr>
    </w:p>
    <w:p w14:paraId="5C513651" w14:textId="651D63B0" w:rsidR="00416AA9" w:rsidRPr="00647D01" w:rsidRDefault="00416AA9" w:rsidP="00416AA9">
      <w:pPr>
        <w:spacing w:after="0" w:line="220" w:lineRule="atLeast"/>
        <w:ind w:firstLine="227"/>
        <w:jc w:val="both"/>
        <w:rPr>
          <w:rFonts w:ascii="Times New Roman" w:hAnsi="Times New Roman" w:cs="Times New Roman"/>
        </w:rPr>
      </w:pPr>
      <w:r w:rsidRPr="00647D01">
        <w:rPr>
          <w:rFonts w:ascii="Times New Roman" w:hAnsi="Times New Roman" w:cs="Times New Roman"/>
        </w:rPr>
        <w:t>This would be challenging to accept</w:t>
      </w:r>
      <w:r>
        <w:rPr>
          <w:rFonts w:ascii="Times New Roman" w:hAnsi="Times New Roman" w:cs="Times New Roman"/>
        </w:rPr>
        <w:t xml:space="preserve"> under the ‘continuous improvement’ imperative in the Norwegian regulation (see Subsection 3.</w:t>
      </w:r>
      <w:r w:rsidR="000B1E7B">
        <w:rPr>
          <w:rFonts w:ascii="Times New Roman" w:hAnsi="Times New Roman" w:cs="Times New Roman"/>
        </w:rPr>
        <w:t>2</w:t>
      </w:r>
      <w:r>
        <w:rPr>
          <w:rFonts w:ascii="Times New Roman" w:hAnsi="Times New Roman" w:cs="Times New Roman"/>
        </w:rPr>
        <w:t>)</w:t>
      </w:r>
      <w:r w:rsidRPr="00647D01">
        <w:rPr>
          <w:rFonts w:ascii="Times New Roman" w:hAnsi="Times New Roman" w:cs="Times New Roman"/>
        </w:rPr>
        <w:t>, in particular for those persons who only work on unmanned installations.</w:t>
      </w:r>
    </w:p>
    <w:p w14:paraId="329DBB5F" w14:textId="77777777" w:rsidR="00416AA9" w:rsidRDefault="00416AA9" w:rsidP="00416AA9">
      <w:pPr>
        <w:spacing w:after="0" w:line="220" w:lineRule="atLeast"/>
        <w:ind w:firstLine="227"/>
        <w:jc w:val="both"/>
        <w:rPr>
          <w:rFonts w:ascii="Times New Roman" w:hAnsi="Times New Roman" w:cs="Times New Roman"/>
        </w:rPr>
      </w:pPr>
    </w:p>
    <w:p w14:paraId="682A09EB" w14:textId="77777777" w:rsidR="00416AA9" w:rsidRPr="00647D01" w:rsidRDefault="00416AA9" w:rsidP="00416AA9">
      <w:pPr>
        <w:spacing w:after="0" w:line="220" w:lineRule="atLeast"/>
        <w:ind w:firstLine="227"/>
        <w:jc w:val="both"/>
        <w:rPr>
          <w:rFonts w:ascii="Times New Roman" w:hAnsi="Times New Roman" w:cs="Times New Roman"/>
        </w:rPr>
      </w:pPr>
      <w:r w:rsidRPr="00647D01">
        <w:rPr>
          <w:rFonts w:ascii="Times New Roman" w:hAnsi="Times New Roman" w:cs="Times New Roman"/>
        </w:rPr>
        <w:t>It is considered more in line with the duty for all to seek ‘continuous improvement’ if no significant increase was accepted on the installations, even if risk exposure from helicopter transportation is eliminated.</w:t>
      </w:r>
    </w:p>
    <w:p w14:paraId="2FCB777B" w14:textId="77777777" w:rsidR="00416AA9" w:rsidRDefault="00416AA9" w:rsidP="00416AA9">
      <w:pPr>
        <w:spacing w:after="0" w:line="220" w:lineRule="atLeast"/>
        <w:ind w:firstLine="227"/>
        <w:jc w:val="both"/>
        <w:rPr>
          <w:rFonts w:ascii="Times New Roman" w:hAnsi="Times New Roman" w:cs="Times New Roman"/>
        </w:rPr>
      </w:pPr>
    </w:p>
    <w:p w14:paraId="2BB36DDF" w14:textId="77777777" w:rsidR="00416AA9" w:rsidRPr="00647D01" w:rsidRDefault="00416AA9" w:rsidP="00416AA9">
      <w:pPr>
        <w:spacing w:after="0" w:line="220" w:lineRule="atLeast"/>
        <w:ind w:firstLine="227"/>
        <w:jc w:val="both"/>
        <w:rPr>
          <w:rFonts w:ascii="Times New Roman" w:hAnsi="Times New Roman" w:cs="Times New Roman"/>
        </w:rPr>
      </w:pPr>
      <w:r w:rsidRPr="00647D01">
        <w:rPr>
          <w:rFonts w:ascii="Times New Roman" w:hAnsi="Times New Roman" w:cs="Times New Roman"/>
        </w:rPr>
        <w:t>The last option above is associated with the impairment frequency for scenarios that impair the main safety functions</w:t>
      </w:r>
      <w:r>
        <w:rPr>
          <w:rFonts w:ascii="Times New Roman" w:hAnsi="Times New Roman" w:cs="Times New Roman"/>
        </w:rPr>
        <w:t xml:space="preserve"> according to §7 in the PSA facilities regulations (PSA, 2019c)</w:t>
      </w:r>
      <w:r w:rsidRPr="00647D01">
        <w:rPr>
          <w:rFonts w:ascii="Times New Roman" w:hAnsi="Times New Roman" w:cs="Times New Roman"/>
        </w:rPr>
        <w:t>, which according to regulation shall be below 10</w:t>
      </w:r>
      <w:r w:rsidRPr="00647D01">
        <w:rPr>
          <w:rFonts w:ascii="Times New Roman" w:hAnsi="Times New Roman" w:cs="Times New Roman"/>
          <w:vertAlign w:val="superscript"/>
        </w:rPr>
        <w:t>-4</w:t>
      </w:r>
      <w:r w:rsidRPr="00647D01">
        <w:rPr>
          <w:rFonts w:ascii="Times New Roman" w:hAnsi="Times New Roman" w:cs="Times New Roman"/>
        </w:rPr>
        <w:t xml:space="preserve"> per year for any main safety function and applicable area, as defined by</w:t>
      </w:r>
      <w:r>
        <w:rPr>
          <w:rFonts w:ascii="Times New Roman" w:hAnsi="Times New Roman" w:cs="Times New Roman"/>
        </w:rPr>
        <w:t xml:space="preserve"> the</w:t>
      </w:r>
      <w:r w:rsidRPr="00647D01">
        <w:rPr>
          <w:rFonts w:ascii="Times New Roman" w:hAnsi="Times New Roman" w:cs="Times New Roman"/>
        </w:rPr>
        <w:t xml:space="preserve"> regulations. With the relaxed RTC used by most companies, the impairment frequencies are usually the only criteria that have </w:t>
      </w:r>
      <w:r>
        <w:rPr>
          <w:rFonts w:ascii="Times New Roman" w:hAnsi="Times New Roman" w:cs="Times New Roman"/>
        </w:rPr>
        <w:t xml:space="preserve">an </w:t>
      </w:r>
      <w:r w:rsidRPr="00647D01">
        <w:rPr>
          <w:rFonts w:ascii="Times New Roman" w:hAnsi="Times New Roman" w:cs="Times New Roman"/>
        </w:rPr>
        <w:t>impact on the design of manned installations</w:t>
      </w:r>
      <w:r>
        <w:rPr>
          <w:rFonts w:ascii="Times New Roman" w:hAnsi="Times New Roman" w:cs="Times New Roman"/>
        </w:rPr>
        <w:t xml:space="preserve"> (Vinnem and Røed, 2020)</w:t>
      </w:r>
      <w:r w:rsidRPr="00647D01">
        <w:rPr>
          <w:rFonts w:ascii="Times New Roman" w:hAnsi="Times New Roman" w:cs="Times New Roman"/>
        </w:rPr>
        <w:t>.</w:t>
      </w:r>
    </w:p>
    <w:p w14:paraId="1D8AC2BB" w14:textId="77777777" w:rsidR="00416AA9" w:rsidRDefault="00416AA9" w:rsidP="00416AA9">
      <w:pPr>
        <w:spacing w:after="0" w:line="220" w:lineRule="atLeast"/>
        <w:ind w:firstLine="227"/>
        <w:jc w:val="both"/>
        <w:rPr>
          <w:rFonts w:ascii="Times New Roman" w:hAnsi="Times New Roman" w:cs="Times New Roman"/>
        </w:rPr>
      </w:pPr>
    </w:p>
    <w:p w14:paraId="6F5D34AE" w14:textId="77777777" w:rsidR="00416AA9" w:rsidRPr="00647D01" w:rsidRDefault="00416AA9" w:rsidP="00416AA9">
      <w:pPr>
        <w:spacing w:after="0" w:line="220" w:lineRule="atLeast"/>
        <w:ind w:firstLine="227"/>
        <w:jc w:val="both"/>
        <w:rPr>
          <w:rFonts w:ascii="Times New Roman" w:hAnsi="Times New Roman" w:cs="Times New Roman"/>
        </w:rPr>
      </w:pPr>
      <w:r w:rsidRPr="00647D01">
        <w:rPr>
          <w:rFonts w:ascii="Times New Roman" w:hAnsi="Times New Roman" w:cs="Times New Roman"/>
        </w:rPr>
        <w:t xml:space="preserve">If </w:t>
      </w:r>
      <w:r>
        <w:rPr>
          <w:rFonts w:ascii="Times New Roman" w:hAnsi="Times New Roman" w:cs="Times New Roman"/>
        </w:rPr>
        <w:t xml:space="preserve">the </w:t>
      </w:r>
      <w:r w:rsidRPr="00647D01">
        <w:rPr>
          <w:rFonts w:ascii="Times New Roman" w:hAnsi="Times New Roman" w:cs="Times New Roman"/>
        </w:rPr>
        <w:t xml:space="preserve">impairment frequency shall be used to control risk for unmanned installations, it will be essential to </w:t>
      </w:r>
      <w:r>
        <w:rPr>
          <w:rFonts w:ascii="Times New Roman" w:hAnsi="Times New Roman" w:cs="Times New Roman"/>
        </w:rPr>
        <w:t xml:space="preserve">establish </w:t>
      </w:r>
      <w:r w:rsidRPr="00647D01">
        <w:rPr>
          <w:rFonts w:ascii="Times New Roman" w:hAnsi="Times New Roman" w:cs="Times New Roman"/>
        </w:rPr>
        <w:t xml:space="preserve">how the frequencies shall be </w:t>
      </w:r>
      <w:r>
        <w:rPr>
          <w:rFonts w:ascii="Times New Roman" w:hAnsi="Times New Roman" w:cs="Times New Roman"/>
        </w:rPr>
        <w:t xml:space="preserve">calculated and </w:t>
      </w:r>
      <w:r w:rsidRPr="00647D01">
        <w:rPr>
          <w:rFonts w:ascii="Times New Roman" w:hAnsi="Times New Roman" w:cs="Times New Roman"/>
        </w:rPr>
        <w:t>applied. Shall the fre</w:t>
      </w:r>
      <w:r>
        <w:rPr>
          <w:rFonts w:ascii="Times New Roman" w:hAnsi="Times New Roman" w:cs="Times New Roman"/>
        </w:rPr>
        <w:softHyphen/>
      </w:r>
      <w:r w:rsidRPr="00647D01">
        <w:rPr>
          <w:rFonts w:ascii="Times New Roman" w:hAnsi="Times New Roman" w:cs="Times New Roman"/>
        </w:rPr>
        <w:t>quencies be calculated for a calendar year without distinguishing between manned or unman</w:t>
      </w:r>
      <w:r>
        <w:rPr>
          <w:rFonts w:ascii="Times New Roman" w:hAnsi="Times New Roman" w:cs="Times New Roman"/>
        </w:rPr>
        <w:softHyphen/>
      </w:r>
      <w:r w:rsidRPr="00647D01">
        <w:rPr>
          <w:rFonts w:ascii="Times New Roman" w:hAnsi="Times New Roman" w:cs="Times New Roman"/>
        </w:rPr>
        <w:t>ned periods? Alternatively, the frequencies may be calculated only for the manned periods.</w:t>
      </w:r>
    </w:p>
    <w:p w14:paraId="65BAF29E" w14:textId="77777777" w:rsidR="00416AA9" w:rsidRDefault="00416AA9" w:rsidP="00416AA9">
      <w:pPr>
        <w:spacing w:after="0" w:line="220" w:lineRule="atLeast"/>
        <w:ind w:firstLine="227"/>
        <w:jc w:val="both"/>
        <w:rPr>
          <w:rFonts w:ascii="Times New Roman" w:hAnsi="Times New Roman" w:cs="Times New Roman"/>
        </w:rPr>
      </w:pPr>
    </w:p>
    <w:p w14:paraId="4FFA7788" w14:textId="77777777" w:rsidR="00416AA9" w:rsidRPr="00647D01" w:rsidRDefault="00416AA9" w:rsidP="00416AA9">
      <w:pPr>
        <w:spacing w:after="0" w:line="220" w:lineRule="atLeast"/>
        <w:ind w:firstLine="227"/>
        <w:jc w:val="both"/>
        <w:rPr>
          <w:rFonts w:ascii="Times New Roman" w:hAnsi="Times New Roman" w:cs="Times New Roman"/>
        </w:rPr>
      </w:pPr>
      <w:r w:rsidRPr="00647D01">
        <w:rPr>
          <w:rFonts w:ascii="Times New Roman" w:hAnsi="Times New Roman" w:cs="Times New Roman"/>
        </w:rPr>
        <w:t xml:space="preserve">The latter could be argued to be applicable if only </w:t>
      </w:r>
      <w:r>
        <w:rPr>
          <w:rFonts w:ascii="Times New Roman" w:hAnsi="Times New Roman" w:cs="Times New Roman"/>
        </w:rPr>
        <w:t xml:space="preserve">the </w:t>
      </w:r>
      <w:r w:rsidRPr="00647D01">
        <w:rPr>
          <w:rFonts w:ascii="Times New Roman" w:hAnsi="Times New Roman" w:cs="Times New Roman"/>
        </w:rPr>
        <w:t xml:space="preserve">risk exposure of personnel is considered. But on the other hand it </w:t>
      </w:r>
      <w:r>
        <w:rPr>
          <w:rFonts w:ascii="Times New Roman" w:hAnsi="Times New Roman" w:cs="Times New Roman"/>
        </w:rPr>
        <w:t xml:space="preserve">may </w:t>
      </w:r>
      <w:r w:rsidRPr="00647D01">
        <w:rPr>
          <w:rFonts w:ascii="Times New Roman" w:hAnsi="Times New Roman" w:cs="Times New Roman"/>
        </w:rPr>
        <w:t>be argued that also protection against risk exposure of the marine environment is essential, and th</w:t>
      </w:r>
      <w:r>
        <w:rPr>
          <w:rFonts w:ascii="Times New Roman" w:hAnsi="Times New Roman" w:cs="Times New Roman"/>
        </w:rPr>
        <w:t xml:space="preserve">e need to protect the environment </w:t>
      </w:r>
      <w:r w:rsidRPr="00647D01">
        <w:rPr>
          <w:rFonts w:ascii="Times New Roman" w:hAnsi="Times New Roman" w:cs="Times New Roman"/>
        </w:rPr>
        <w:t>is continuous, not only limited to the manned periods. If so, the impairment frequencies should not be fractio</w:t>
      </w:r>
      <w:r>
        <w:rPr>
          <w:rFonts w:ascii="Times New Roman" w:hAnsi="Times New Roman" w:cs="Times New Roman"/>
        </w:rPr>
        <w:softHyphen/>
      </w:r>
      <w:r w:rsidRPr="00647D01">
        <w:rPr>
          <w:rFonts w:ascii="Times New Roman" w:hAnsi="Times New Roman" w:cs="Times New Roman"/>
        </w:rPr>
        <w:t xml:space="preserve">ned with </w:t>
      </w:r>
      <w:r>
        <w:rPr>
          <w:rFonts w:ascii="Times New Roman" w:hAnsi="Times New Roman" w:cs="Times New Roman"/>
        </w:rPr>
        <w:t xml:space="preserve">the </w:t>
      </w:r>
      <w:r w:rsidRPr="00647D01">
        <w:rPr>
          <w:rFonts w:ascii="Times New Roman" w:hAnsi="Times New Roman" w:cs="Times New Roman"/>
        </w:rPr>
        <w:t>presence of manning on the installation.</w:t>
      </w:r>
    </w:p>
    <w:p w14:paraId="36D22E4B" w14:textId="77777777" w:rsidR="00416AA9" w:rsidRPr="00A75975" w:rsidRDefault="00416AA9" w:rsidP="00B4738B">
      <w:pPr>
        <w:spacing w:before="230" w:after="100" w:line="220" w:lineRule="atLeast"/>
        <w:ind w:left="227" w:hanging="227"/>
        <w:rPr>
          <w:rFonts w:ascii="Times New Roman" w:hAnsi="Times New Roman" w:cs="Times New Roman"/>
          <w:iCs/>
        </w:rPr>
      </w:pPr>
    </w:p>
    <w:p w14:paraId="25F4C7C1" w14:textId="3CE5F20F" w:rsidR="00ED2E25" w:rsidRPr="00647D01" w:rsidRDefault="00416AA9" w:rsidP="00B4738B">
      <w:pPr>
        <w:spacing w:before="230" w:after="100" w:line="220" w:lineRule="atLeast"/>
        <w:ind w:left="227" w:hanging="227"/>
        <w:rPr>
          <w:rFonts w:ascii="Times New Roman" w:hAnsi="Times New Roman" w:cs="Times New Roman"/>
          <w:i/>
        </w:rPr>
      </w:pPr>
      <w:r>
        <w:rPr>
          <w:rFonts w:ascii="Times New Roman" w:hAnsi="Times New Roman" w:cs="Times New Roman"/>
          <w:lang w:val="en-US"/>
        </w:rPr>
        <w:t>5</w:t>
      </w:r>
      <w:r w:rsidR="00ED2E25" w:rsidRPr="00647D01">
        <w:rPr>
          <w:rFonts w:ascii="Times New Roman" w:hAnsi="Times New Roman" w:cs="Times New Roman"/>
          <w:i/>
        </w:rPr>
        <w:t>.</w:t>
      </w:r>
      <w:r w:rsidR="00687154" w:rsidRPr="00647D01">
        <w:rPr>
          <w:rFonts w:ascii="Times New Roman" w:hAnsi="Times New Roman" w:cs="Times New Roman"/>
          <w:i/>
        </w:rPr>
        <w:t>2</w:t>
      </w:r>
      <w:r w:rsidR="00ED2E25" w:rsidRPr="00647D01">
        <w:rPr>
          <w:rFonts w:ascii="Times New Roman" w:hAnsi="Times New Roman" w:cs="Times New Roman"/>
          <w:i/>
        </w:rPr>
        <w:t xml:space="preserve"> </w:t>
      </w:r>
      <w:r w:rsidR="00030820" w:rsidRPr="00647D01">
        <w:rPr>
          <w:rFonts w:ascii="Times New Roman" w:hAnsi="Times New Roman" w:cs="Times New Roman"/>
          <w:i/>
        </w:rPr>
        <w:t>ALARP for UPP</w:t>
      </w:r>
    </w:p>
    <w:p w14:paraId="504F7052" w14:textId="08FBE343" w:rsidR="00DE3B82" w:rsidRPr="00647D01" w:rsidRDefault="00D67E39" w:rsidP="00B4738B">
      <w:pPr>
        <w:spacing w:after="0" w:line="220" w:lineRule="atLeast"/>
        <w:jc w:val="both"/>
        <w:rPr>
          <w:rFonts w:ascii="Times New Roman" w:hAnsi="Times New Roman" w:cs="Times New Roman"/>
          <w:lang w:val="en-US"/>
        </w:rPr>
      </w:pPr>
      <w:r w:rsidRPr="00647D01">
        <w:rPr>
          <w:rFonts w:ascii="Times New Roman" w:hAnsi="Times New Roman" w:cs="Times New Roman"/>
          <w:lang w:val="en-US"/>
        </w:rPr>
        <w:t>The</w:t>
      </w:r>
      <w:r w:rsidR="005651EA" w:rsidRPr="00647D01">
        <w:rPr>
          <w:rFonts w:ascii="Times New Roman" w:hAnsi="Times New Roman" w:cs="Times New Roman"/>
          <w:lang w:val="en-US"/>
        </w:rPr>
        <w:t xml:space="preserve"> same</w:t>
      </w:r>
      <w:r w:rsidRPr="00647D01">
        <w:rPr>
          <w:rFonts w:ascii="Times New Roman" w:hAnsi="Times New Roman" w:cs="Times New Roman"/>
          <w:lang w:val="en-US"/>
        </w:rPr>
        <w:t xml:space="preserve"> regulatory requirement </w:t>
      </w:r>
      <w:r w:rsidR="00751065" w:rsidRPr="00647D01">
        <w:rPr>
          <w:rFonts w:ascii="Times New Roman" w:hAnsi="Times New Roman" w:cs="Times New Roman"/>
          <w:lang w:val="en-US"/>
        </w:rPr>
        <w:t xml:space="preserve">would apply </w:t>
      </w:r>
      <w:r w:rsidRPr="00647D01">
        <w:rPr>
          <w:rFonts w:ascii="Times New Roman" w:hAnsi="Times New Roman" w:cs="Times New Roman"/>
          <w:lang w:val="en-US"/>
        </w:rPr>
        <w:t>for operators and owner</w:t>
      </w:r>
      <w:r w:rsidR="00751065" w:rsidRPr="00647D01">
        <w:rPr>
          <w:rFonts w:ascii="Times New Roman" w:hAnsi="Times New Roman" w:cs="Times New Roman"/>
          <w:lang w:val="en-US"/>
        </w:rPr>
        <w:t>s</w:t>
      </w:r>
      <w:r w:rsidRPr="00647D01">
        <w:rPr>
          <w:rFonts w:ascii="Times New Roman" w:hAnsi="Times New Roman" w:cs="Times New Roman"/>
          <w:lang w:val="en-US"/>
        </w:rPr>
        <w:t xml:space="preserve"> of </w:t>
      </w:r>
      <w:r w:rsidR="00751065" w:rsidRPr="00647D01">
        <w:rPr>
          <w:rFonts w:ascii="Times New Roman" w:hAnsi="Times New Roman" w:cs="Times New Roman"/>
          <w:lang w:val="en-US"/>
        </w:rPr>
        <w:t xml:space="preserve">unmanned </w:t>
      </w:r>
      <w:r w:rsidRPr="00647D01">
        <w:rPr>
          <w:rFonts w:ascii="Times New Roman" w:hAnsi="Times New Roman" w:cs="Times New Roman"/>
          <w:lang w:val="en-US"/>
        </w:rPr>
        <w:t>offsho</w:t>
      </w:r>
      <w:r w:rsidR="00850024">
        <w:rPr>
          <w:rFonts w:ascii="Times New Roman" w:hAnsi="Times New Roman" w:cs="Times New Roman"/>
          <w:lang w:val="en-US"/>
        </w:rPr>
        <w:softHyphen/>
      </w:r>
      <w:r w:rsidRPr="00647D01">
        <w:rPr>
          <w:rFonts w:ascii="Times New Roman" w:hAnsi="Times New Roman" w:cs="Times New Roman"/>
          <w:lang w:val="en-US"/>
        </w:rPr>
        <w:t>re installations on NCS to seek additional risk</w:t>
      </w:r>
      <w:r w:rsidR="00C20637">
        <w:rPr>
          <w:rFonts w:ascii="Times New Roman" w:hAnsi="Times New Roman" w:cs="Times New Roman"/>
          <w:lang w:val="en-US"/>
        </w:rPr>
        <w:t>-</w:t>
      </w:r>
      <w:r w:rsidRPr="00647D01">
        <w:rPr>
          <w:rFonts w:ascii="Times New Roman" w:hAnsi="Times New Roman" w:cs="Times New Roman"/>
          <w:lang w:val="en-US"/>
        </w:rPr>
        <w:t xml:space="preserve">reducing measures, once the RTC have been </w:t>
      </w:r>
      <w:r w:rsidR="00A966D7">
        <w:rPr>
          <w:rFonts w:ascii="Times New Roman" w:hAnsi="Times New Roman" w:cs="Times New Roman"/>
          <w:lang w:val="en-US"/>
        </w:rPr>
        <w:t>complie</w:t>
      </w:r>
      <w:r w:rsidR="006C5CD8">
        <w:rPr>
          <w:rFonts w:ascii="Times New Roman" w:hAnsi="Times New Roman" w:cs="Times New Roman"/>
          <w:lang w:val="en-US"/>
        </w:rPr>
        <w:t>d</w:t>
      </w:r>
      <w:r w:rsidR="00A966D7">
        <w:rPr>
          <w:rFonts w:ascii="Times New Roman" w:hAnsi="Times New Roman" w:cs="Times New Roman"/>
          <w:lang w:val="en-US"/>
        </w:rPr>
        <w:t xml:space="preserve"> with</w:t>
      </w:r>
      <w:r w:rsidR="00022138" w:rsidRPr="00647D01">
        <w:rPr>
          <w:rFonts w:ascii="Times New Roman" w:hAnsi="Times New Roman" w:cs="Times New Roman"/>
          <w:lang w:val="en-US"/>
        </w:rPr>
        <w:t>.</w:t>
      </w:r>
    </w:p>
    <w:p w14:paraId="3F21AB37" w14:textId="77777777" w:rsidR="00C14916" w:rsidRDefault="00C14916" w:rsidP="00B4738B">
      <w:pPr>
        <w:spacing w:after="0" w:line="220" w:lineRule="atLeast"/>
        <w:ind w:firstLine="227"/>
        <w:jc w:val="both"/>
        <w:rPr>
          <w:rFonts w:ascii="Times New Roman" w:hAnsi="Times New Roman" w:cs="Times New Roman"/>
        </w:rPr>
      </w:pPr>
    </w:p>
    <w:p w14:paraId="60F6E67F" w14:textId="424A2FA5" w:rsidR="00D67E39" w:rsidRPr="00647D01" w:rsidRDefault="00522FE8" w:rsidP="00B4738B">
      <w:pPr>
        <w:spacing w:after="0" w:line="220" w:lineRule="atLeast"/>
        <w:ind w:firstLine="227"/>
        <w:jc w:val="both"/>
        <w:rPr>
          <w:rFonts w:ascii="Times New Roman" w:hAnsi="Times New Roman" w:cs="Times New Roman"/>
        </w:rPr>
      </w:pPr>
      <w:r w:rsidRPr="00647D01">
        <w:rPr>
          <w:rFonts w:ascii="Times New Roman" w:hAnsi="Times New Roman" w:cs="Times New Roman"/>
        </w:rPr>
        <w:t xml:space="preserve">The </w:t>
      </w:r>
      <w:r w:rsidR="00887F3F">
        <w:rPr>
          <w:rFonts w:ascii="Times New Roman" w:hAnsi="Times New Roman" w:cs="Times New Roman"/>
        </w:rPr>
        <w:t xml:space="preserve">ALARP </w:t>
      </w:r>
      <w:r w:rsidRPr="00647D01">
        <w:rPr>
          <w:rFonts w:ascii="Times New Roman" w:hAnsi="Times New Roman" w:cs="Times New Roman"/>
        </w:rPr>
        <w:t xml:space="preserve">requirement is not strictly </w:t>
      </w:r>
      <w:r w:rsidR="007A1799" w:rsidRPr="00647D01">
        <w:rPr>
          <w:rFonts w:ascii="Times New Roman" w:hAnsi="Times New Roman" w:cs="Times New Roman"/>
        </w:rPr>
        <w:t xml:space="preserve">limited to personnel risk but is often assumed to </w:t>
      </w:r>
      <w:r w:rsidR="009046CF" w:rsidRPr="00647D01">
        <w:rPr>
          <w:rFonts w:ascii="Times New Roman" w:hAnsi="Times New Roman" w:cs="Times New Roman"/>
        </w:rPr>
        <w:t xml:space="preserve">focus mainly on </w:t>
      </w:r>
      <w:r w:rsidR="004A59F1" w:rsidRPr="00647D01">
        <w:rPr>
          <w:rFonts w:ascii="Times New Roman" w:hAnsi="Times New Roman" w:cs="Times New Roman"/>
        </w:rPr>
        <w:t>personnel risk.</w:t>
      </w:r>
      <w:r w:rsidR="00485CC5" w:rsidRPr="00647D01">
        <w:rPr>
          <w:rFonts w:ascii="Times New Roman" w:hAnsi="Times New Roman" w:cs="Times New Roman"/>
        </w:rPr>
        <w:t xml:space="preserve"> In principle</w:t>
      </w:r>
      <w:r w:rsidR="00A553BF">
        <w:rPr>
          <w:rFonts w:ascii="Times New Roman" w:hAnsi="Times New Roman" w:cs="Times New Roman"/>
        </w:rPr>
        <w:t>,</w:t>
      </w:r>
      <w:r w:rsidR="00485CC5" w:rsidRPr="00647D01">
        <w:rPr>
          <w:rFonts w:ascii="Times New Roman" w:hAnsi="Times New Roman" w:cs="Times New Roman"/>
        </w:rPr>
        <w:t xml:space="preserve"> however, it also applies</w:t>
      </w:r>
      <w:r w:rsidR="00A553BF">
        <w:rPr>
          <w:rFonts w:ascii="Times New Roman" w:hAnsi="Times New Roman" w:cs="Times New Roman"/>
        </w:rPr>
        <w:t>,</w:t>
      </w:r>
      <w:r w:rsidR="00485CC5" w:rsidRPr="00647D01">
        <w:rPr>
          <w:rFonts w:ascii="Times New Roman" w:hAnsi="Times New Roman" w:cs="Times New Roman"/>
        </w:rPr>
        <w:t xml:space="preserve"> for instance</w:t>
      </w:r>
      <w:r w:rsidR="00A553BF">
        <w:rPr>
          <w:rFonts w:ascii="Times New Roman" w:hAnsi="Times New Roman" w:cs="Times New Roman"/>
        </w:rPr>
        <w:t>, to</w:t>
      </w:r>
      <w:r w:rsidR="00485CC5" w:rsidRPr="00647D01">
        <w:rPr>
          <w:rFonts w:ascii="Times New Roman" w:hAnsi="Times New Roman" w:cs="Times New Roman"/>
        </w:rPr>
        <w:t xml:space="preserve"> environ</w:t>
      </w:r>
      <w:r w:rsidR="00B42B26">
        <w:rPr>
          <w:rFonts w:ascii="Times New Roman" w:hAnsi="Times New Roman" w:cs="Times New Roman"/>
        </w:rPr>
        <w:softHyphen/>
      </w:r>
      <w:r w:rsidR="00485CC5" w:rsidRPr="00647D01">
        <w:rPr>
          <w:rFonts w:ascii="Times New Roman" w:hAnsi="Times New Roman" w:cs="Times New Roman"/>
        </w:rPr>
        <w:t>mental risk</w:t>
      </w:r>
      <w:r w:rsidR="00A553BF">
        <w:rPr>
          <w:rFonts w:ascii="Times New Roman" w:hAnsi="Times New Roman" w:cs="Times New Roman"/>
        </w:rPr>
        <w:t>,</w:t>
      </w:r>
      <w:r w:rsidR="00FC0538">
        <w:rPr>
          <w:rFonts w:ascii="Times New Roman" w:hAnsi="Times New Roman" w:cs="Times New Roman"/>
        </w:rPr>
        <w:t xml:space="preserve"> which </w:t>
      </w:r>
      <w:r w:rsidR="003B41B2">
        <w:rPr>
          <w:rFonts w:ascii="Times New Roman" w:hAnsi="Times New Roman" w:cs="Times New Roman"/>
        </w:rPr>
        <w:t>may be more important for an unmanned installation</w:t>
      </w:r>
      <w:r w:rsidR="00485CC5" w:rsidRPr="00647D01">
        <w:rPr>
          <w:rFonts w:ascii="Times New Roman" w:hAnsi="Times New Roman" w:cs="Times New Roman"/>
        </w:rPr>
        <w:t>.</w:t>
      </w:r>
    </w:p>
    <w:p w14:paraId="11BD8CB1" w14:textId="77777777" w:rsidR="00C14916" w:rsidRDefault="00C14916" w:rsidP="00B4738B">
      <w:pPr>
        <w:spacing w:after="0" w:line="220" w:lineRule="atLeast"/>
        <w:ind w:firstLine="227"/>
        <w:jc w:val="both"/>
        <w:rPr>
          <w:rFonts w:ascii="Times New Roman" w:hAnsi="Times New Roman" w:cs="Times New Roman"/>
        </w:rPr>
      </w:pPr>
    </w:p>
    <w:p w14:paraId="6B499CCD" w14:textId="2E592DD2" w:rsidR="00704768" w:rsidRPr="00647D01" w:rsidRDefault="00A553BF" w:rsidP="00B4738B">
      <w:pPr>
        <w:spacing w:after="0" w:line="220" w:lineRule="atLeast"/>
        <w:ind w:firstLine="227"/>
        <w:jc w:val="both"/>
        <w:rPr>
          <w:rFonts w:ascii="Times New Roman" w:hAnsi="Times New Roman" w:cs="Times New Roman"/>
        </w:rPr>
      </w:pPr>
      <w:r>
        <w:rPr>
          <w:rFonts w:ascii="Times New Roman" w:hAnsi="Times New Roman" w:cs="Times New Roman"/>
        </w:rPr>
        <w:t>As discussed above, t</w:t>
      </w:r>
      <w:r w:rsidR="00B92A34" w:rsidRPr="00647D01">
        <w:rPr>
          <w:rFonts w:ascii="Times New Roman" w:hAnsi="Times New Roman" w:cs="Times New Roman"/>
        </w:rPr>
        <w:t xml:space="preserve">he industry has </w:t>
      </w:r>
      <w:r w:rsidR="008C556F">
        <w:rPr>
          <w:rFonts w:ascii="Times New Roman" w:hAnsi="Times New Roman" w:cs="Times New Roman"/>
        </w:rPr>
        <w:t xml:space="preserve">expressed </w:t>
      </w:r>
      <w:r w:rsidR="00B92A34" w:rsidRPr="00647D01">
        <w:rPr>
          <w:rFonts w:ascii="Times New Roman" w:hAnsi="Times New Roman" w:cs="Times New Roman"/>
        </w:rPr>
        <w:t xml:space="preserve">the intention that </w:t>
      </w:r>
      <w:r w:rsidR="00105F3F" w:rsidRPr="00647D01">
        <w:rPr>
          <w:rFonts w:ascii="Times New Roman" w:hAnsi="Times New Roman" w:cs="Times New Roman"/>
        </w:rPr>
        <w:t xml:space="preserve">unmanned installations shall have fewer </w:t>
      </w:r>
      <w:r w:rsidR="006669E9" w:rsidRPr="00647D01">
        <w:rPr>
          <w:rFonts w:ascii="Times New Roman" w:hAnsi="Times New Roman" w:cs="Times New Roman"/>
        </w:rPr>
        <w:t>safety systems</w:t>
      </w:r>
      <w:r w:rsidR="00123D47" w:rsidRPr="00647D01">
        <w:rPr>
          <w:rFonts w:ascii="Times New Roman" w:hAnsi="Times New Roman" w:cs="Times New Roman"/>
        </w:rPr>
        <w:t xml:space="preserve">. The need to </w:t>
      </w:r>
      <w:r w:rsidR="00E81F69" w:rsidRPr="00647D01">
        <w:rPr>
          <w:rFonts w:ascii="Times New Roman" w:hAnsi="Times New Roman" w:cs="Times New Roman"/>
        </w:rPr>
        <w:t xml:space="preserve">reinstall those omitted systems would obviously be </w:t>
      </w:r>
      <w:r w:rsidR="002038B8" w:rsidRPr="00647D01">
        <w:rPr>
          <w:rFonts w:ascii="Times New Roman" w:hAnsi="Times New Roman" w:cs="Times New Roman"/>
        </w:rPr>
        <w:t xml:space="preserve">recommended from </w:t>
      </w:r>
      <w:r w:rsidR="00294885">
        <w:rPr>
          <w:rFonts w:ascii="Times New Roman" w:hAnsi="Times New Roman" w:cs="Times New Roman"/>
        </w:rPr>
        <w:t xml:space="preserve">the perspective of </w:t>
      </w:r>
      <w:r w:rsidR="002038B8" w:rsidRPr="00647D01">
        <w:rPr>
          <w:rFonts w:ascii="Times New Roman" w:hAnsi="Times New Roman" w:cs="Times New Roman"/>
        </w:rPr>
        <w:t xml:space="preserve">an ALARP evaluation, especially </w:t>
      </w:r>
      <w:r>
        <w:rPr>
          <w:rFonts w:ascii="Times New Roman" w:hAnsi="Times New Roman" w:cs="Times New Roman"/>
        </w:rPr>
        <w:t>i</w:t>
      </w:r>
      <w:r w:rsidR="002038B8" w:rsidRPr="00647D01">
        <w:rPr>
          <w:rFonts w:ascii="Times New Roman" w:hAnsi="Times New Roman" w:cs="Times New Roman"/>
        </w:rPr>
        <w:t>f qualitative arguments are given weight.</w:t>
      </w:r>
      <w:r w:rsidR="00E8639D">
        <w:rPr>
          <w:rFonts w:ascii="Times New Roman" w:hAnsi="Times New Roman" w:cs="Times New Roman"/>
        </w:rPr>
        <w:t xml:space="preserve"> </w:t>
      </w:r>
      <w:r w:rsidR="00704768" w:rsidRPr="00647D01">
        <w:rPr>
          <w:rFonts w:ascii="Times New Roman" w:hAnsi="Times New Roman" w:cs="Times New Roman"/>
        </w:rPr>
        <w:t xml:space="preserve">This implies that </w:t>
      </w:r>
      <w:r w:rsidR="001C7797" w:rsidRPr="00647D01">
        <w:rPr>
          <w:rFonts w:ascii="Times New Roman" w:hAnsi="Times New Roman" w:cs="Times New Roman"/>
        </w:rPr>
        <w:t xml:space="preserve">if ALARP evaluations are taken seriously for unmanned concepts, </w:t>
      </w:r>
      <w:r w:rsidR="00485027" w:rsidRPr="00647D01">
        <w:rPr>
          <w:rFonts w:ascii="Times New Roman" w:hAnsi="Times New Roman" w:cs="Times New Roman"/>
        </w:rPr>
        <w:t>they woul</w:t>
      </w:r>
      <w:r w:rsidR="00D344B4" w:rsidRPr="00647D01">
        <w:rPr>
          <w:rFonts w:ascii="Times New Roman" w:hAnsi="Times New Roman" w:cs="Times New Roman"/>
        </w:rPr>
        <w:t>d</w:t>
      </w:r>
      <w:r w:rsidR="00485027" w:rsidRPr="00647D01">
        <w:rPr>
          <w:rFonts w:ascii="Times New Roman" w:hAnsi="Times New Roman" w:cs="Times New Roman"/>
        </w:rPr>
        <w:t xml:space="preserve"> end up </w:t>
      </w:r>
      <w:r>
        <w:rPr>
          <w:rFonts w:ascii="Times New Roman" w:hAnsi="Times New Roman" w:cs="Times New Roman"/>
        </w:rPr>
        <w:t xml:space="preserve">with </w:t>
      </w:r>
      <w:r w:rsidR="00485027" w:rsidRPr="00647D01">
        <w:rPr>
          <w:rFonts w:ascii="Times New Roman" w:hAnsi="Times New Roman" w:cs="Times New Roman"/>
        </w:rPr>
        <w:t>more or less the same safety systems as a manned installation.</w:t>
      </w:r>
      <w:r w:rsidR="003B72A9">
        <w:rPr>
          <w:rFonts w:ascii="Times New Roman" w:hAnsi="Times New Roman" w:cs="Times New Roman"/>
        </w:rPr>
        <w:t xml:space="preserve"> This is not realistic</w:t>
      </w:r>
      <w:r w:rsidR="00A32BE4">
        <w:rPr>
          <w:rFonts w:ascii="Times New Roman" w:hAnsi="Times New Roman" w:cs="Times New Roman"/>
        </w:rPr>
        <w:t xml:space="preserve"> and </w:t>
      </w:r>
      <w:r>
        <w:rPr>
          <w:rFonts w:ascii="Times New Roman" w:hAnsi="Times New Roman" w:cs="Times New Roman"/>
        </w:rPr>
        <w:t xml:space="preserve">is </w:t>
      </w:r>
      <w:r w:rsidR="00A32BE4">
        <w:rPr>
          <w:rFonts w:ascii="Times New Roman" w:hAnsi="Times New Roman" w:cs="Times New Roman"/>
        </w:rPr>
        <w:t>actually not intended</w:t>
      </w:r>
      <w:r w:rsidR="00D34293">
        <w:rPr>
          <w:rFonts w:ascii="Times New Roman" w:hAnsi="Times New Roman" w:cs="Times New Roman"/>
        </w:rPr>
        <w:t xml:space="preserve">. This topic is discussed </w:t>
      </w:r>
      <w:r w:rsidR="00BF0411">
        <w:rPr>
          <w:rFonts w:ascii="Times New Roman" w:hAnsi="Times New Roman" w:cs="Times New Roman"/>
        </w:rPr>
        <w:t>in more depth in Vinnem (2020).</w:t>
      </w:r>
    </w:p>
    <w:p w14:paraId="7AE4B3FC" w14:textId="21B8D7E6" w:rsidR="00C14916" w:rsidRDefault="00C14916" w:rsidP="00B4738B">
      <w:pPr>
        <w:spacing w:after="0" w:line="220" w:lineRule="atLeast"/>
        <w:ind w:firstLine="227"/>
        <w:jc w:val="both"/>
        <w:rPr>
          <w:rFonts w:ascii="Times New Roman" w:hAnsi="Times New Roman" w:cs="Times New Roman"/>
        </w:rPr>
      </w:pPr>
    </w:p>
    <w:p w14:paraId="37A15709" w14:textId="015BB186" w:rsidR="00D344B4" w:rsidRDefault="0088183A" w:rsidP="00B4738B">
      <w:pPr>
        <w:spacing w:after="0" w:line="220" w:lineRule="atLeast"/>
        <w:ind w:firstLine="227"/>
        <w:jc w:val="both"/>
        <w:rPr>
          <w:rFonts w:ascii="Times New Roman" w:hAnsi="Times New Roman" w:cs="Times New Roman"/>
        </w:rPr>
      </w:pPr>
      <w:r w:rsidRPr="00647D01">
        <w:rPr>
          <w:rFonts w:ascii="Times New Roman" w:hAnsi="Times New Roman" w:cs="Times New Roman"/>
        </w:rPr>
        <w:t>It may therefore be that the ALARP evalu</w:t>
      </w:r>
      <w:r w:rsidRPr="00647D01">
        <w:rPr>
          <w:rFonts w:ascii="Times New Roman" w:hAnsi="Times New Roman" w:cs="Times New Roman"/>
        </w:rPr>
        <w:softHyphen/>
        <w:t>ation for an unmanned concept should be limited to environmental risk only.</w:t>
      </w:r>
      <w:r w:rsidR="00DB64F0" w:rsidRPr="00647D01">
        <w:rPr>
          <w:rFonts w:ascii="Times New Roman" w:hAnsi="Times New Roman" w:cs="Times New Roman"/>
        </w:rPr>
        <w:t xml:space="preserve"> </w:t>
      </w:r>
      <w:r w:rsidR="00BE3C6B" w:rsidRPr="00647D01">
        <w:rPr>
          <w:rFonts w:ascii="Times New Roman" w:hAnsi="Times New Roman" w:cs="Times New Roman"/>
        </w:rPr>
        <w:t>This would apply to manned as well as unmanned phases</w:t>
      </w:r>
      <w:r w:rsidR="00E6436C" w:rsidRPr="00647D01">
        <w:rPr>
          <w:rFonts w:ascii="Times New Roman" w:hAnsi="Times New Roman" w:cs="Times New Roman"/>
        </w:rPr>
        <w:t>.</w:t>
      </w:r>
    </w:p>
    <w:p w14:paraId="35B60413" w14:textId="77777777" w:rsidR="00C33F1F" w:rsidRPr="00647D01" w:rsidRDefault="00C33F1F" w:rsidP="00B4738B">
      <w:pPr>
        <w:spacing w:after="0" w:line="220" w:lineRule="atLeast"/>
        <w:ind w:firstLine="227"/>
        <w:jc w:val="both"/>
        <w:rPr>
          <w:rFonts w:ascii="Times New Roman" w:hAnsi="Times New Roman" w:cs="Times New Roman"/>
        </w:rPr>
      </w:pPr>
    </w:p>
    <w:p w14:paraId="3CCF6937" w14:textId="5C83F50D" w:rsidR="00CD22A8" w:rsidRPr="00647D01" w:rsidRDefault="002C36CC" w:rsidP="00B4738B">
      <w:pPr>
        <w:keepNext/>
        <w:spacing w:before="230" w:after="100" w:line="220" w:lineRule="atLeast"/>
        <w:ind w:left="227" w:hanging="227"/>
        <w:rPr>
          <w:rFonts w:ascii="Times New Roman" w:hAnsi="Times New Roman" w:cs="Times New Roman"/>
          <w:b/>
        </w:rPr>
      </w:pPr>
      <w:r>
        <w:rPr>
          <w:rFonts w:ascii="Times New Roman" w:hAnsi="Times New Roman" w:cs="Times New Roman"/>
          <w:b/>
        </w:rPr>
        <w:t>6</w:t>
      </w:r>
      <w:r w:rsidR="00CD22A8" w:rsidRPr="00647D01">
        <w:rPr>
          <w:rFonts w:ascii="Times New Roman" w:hAnsi="Times New Roman" w:cs="Times New Roman"/>
          <w:b/>
        </w:rPr>
        <w:t>. Discussion</w:t>
      </w:r>
    </w:p>
    <w:p w14:paraId="4C7F48A5" w14:textId="4D5CD820" w:rsidR="00F707E5" w:rsidRDefault="002C36CC" w:rsidP="00B4738B">
      <w:pPr>
        <w:spacing w:before="230" w:after="100" w:line="220" w:lineRule="atLeast"/>
        <w:ind w:left="227" w:hanging="227"/>
        <w:rPr>
          <w:rFonts w:ascii="Times New Roman" w:hAnsi="Times New Roman" w:cs="Times New Roman"/>
          <w:i/>
        </w:rPr>
      </w:pPr>
      <w:r>
        <w:rPr>
          <w:rFonts w:ascii="Times New Roman" w:hAnsi="Times New Roman" w:cs="Times New Roman"/>
          <w:i/>
        </w:rPr>
        <w:t>6</w:t>
      </w:r>
      <w:r w:rsidR="00950288" w:rsidRPr="00647D01">
        <w:rPr>
          <w:rFonts w:ascii="Times New Roman" w:hAnsi="Times New Roman" w:cs="Times New Roman"/>
          <w:i/>
        </w:rPr>
        <w:t xml:space="preserve">.1 </w:t>
      </w:r>
      <w:r w:rsidR="009B0977">
        <w:rPr>
          <w:rFonts w:ascii="Times New Roman" w:hAnsi="Times New Roman" w:cs="Times New Roman"/>
          <w:i/>
        </w:rPr>
        <w:t>Case Study Applicability</w:t>
      </w:r>
    </w:p>
    <w:p w14:paraId="7558BAF3" w14:textId="2A8B1A4B" w:rsidR="00997BF6" w:rsidRPr="00AE47DC" w:rsidRDefault="009A4544" w:rsidP="005E3474">
      <w:pPr>
        <w:spacing w:after="0" w:line="220" w:lineRule="atLeast"/>
        <w:jc w:val="both"/>
        <w:rPr>
          <w:rFonts w:ascii="Times New Roman" w:hAnsi="Times New Roman" w:cs="Times New Roman"/>
        </w:rPr>
      </w:pPr>
      <w:r w:rsidRPr="009A4544">
        <w:rPr>
          <w:rFonts w:ascii="Times New Roman" w:hAnsi="Times New Roman" w:cs="Times New Roman"/>
          <w:lang w:val="en-US"/>
        </w:rPr>
        <w:t>The differences in risk levels for personnel are quite extensive when only the fire and explo</w:t>
      </w:r>
      <w:r w:rsidR="007071DC">
        <w:rPr>
          <w:rFonts w:ascii="Times New Roman" w:hAnsi="Times New Roman" w:cs="Times New Roman"/>
          <w:lang w:val="en-US"/>
        </w:rPr>
        <w:softHyphen/>
      </w:r>
      <w:r w:rsidRPr="009A4544">
        <w:rPr>
          <w:rFonts w:ascii="Times New Roman" w:hAnsi="Times New Roman" w:cs="Times New Roman"/>
          <w:lang w:val="en-US"/>
        </w:rPr>
        <w:t xml:space="preserve">sion hazards are considered on NUI production facilities. </w:t>
      </w:r>
      <w:r w:rsidR="005D4CD0">
        <w:rPr>
          <w:rFonts w:ascii="Times New Roman" w:hAnsi="Times New Roman" w:cs="Times New Roman"/>
          <w:lang w:val="en-US"/>
        </w:rPr>
        <w:t>This is one of the findings of the case study</w:t>
      </w:r>
      <w:r w:rsidR="00590AB2">
        <w:rPr>
          <w:rFonts w:ascii="Times New Roman" w:hAnsi="Times New Roman" w:cs="Times New Roman"/>
          <w:lang w:val="en-US"/>
        </w:rPr>
        <w:t xml:space="preserve">, which </w:t>
      </w:r>
      <w:r w:rsidR="00F276C4">
        <w:rPr>
          <w:rFonts w:ascii="Times New Roman" w:hAnsi="Times New Roman" w:cs="Times New Roman"/>
          <w:lang w:val="en-US"/>
        </w:rPr>
        <w:t xml:space="preserve">is considered to be </w:t>
      </w:r>
      <w:r w:rsidR="007A3D7C">
        <w:rPr>
          <w:rFonts w:ascii="Times New Roman" w:hAnsi="Times New Roman" w:cs="Times New Roman"/>
          <w:lang w:val="en-US"/>
        </w:rPr>
        <w:t xml:space="preserve">reasonably realistic, </w:t>
      </w:r>
      <w:r w:rsidR="00590AB2">
        <w:rPr>
          <w:rFonts w:ascii="Times New Roman" w:hAnsi="Times New Roman" w:cs="Times New Roman"/>
          <w:lang w:val="en-US"/>
        </w:rPr>
        <w:t xml:space="preserve">even though it is </w:t>
      </w:r>
      <w:r w:rsidR="00F276C4">
        <w:rPr>
          <w:rFonts w:ascii="Times New Roman" w:hAnsi="Times New Roman" w:cs="Times New Roman"/>
          <w:lang w:val="en-US"/>
        </w:rPr>
        <w:t>fictitious</w:t>
      </w:r>
      <w:r w:rsidR="007A3D7C">
        <w:rPr>
          <w:rFonts w:ascii="Times New Roman" w:hAnsi="Times New Roman" w:cs="Times New Roman"/>
          <w:lang w:val="en-US"/>
        </w:rPr>
        <w:t>.</w:t>
      </w:r>
      <w:r w:rsidR="005E3474">
        <w:rPr>
          <w:rFonts w:ascii="Times New Roman" w:hAnsi="Times New Roman" w:cs="Times New Roman"/>
          <w:lang w:val="en-US"/>
        </w:rPr>
        <w:t xml:space="preserve"> </w:t>
      </w:r>
      <w:r w:rsidRPr="00AE47DC">
        <w:rPr>
          <w:rFonts w:ascii="Times New Roman" w:hAnsi="Times New Roman" w:cs="Times New Roman"/>
        </w:rPr>
        <w:t>There is almost a</w:t>
      </w:r>
      <w:r w:rsidR="00E5381C">
        <w:rPr>
          <w:rFonts w:ascii="Times New Roman" w:hAnsi="Times New Roman" w:cs="Times New Roman"/>
        </w:rPr>
        <w:t xml:space="preserve">n order of magnitude </w:t>
      </w:r>
      <w:r w:rsidRPr="00AE47DC">
        <w:rPr>
          <w:rFonts w:ascii="Times New Roman" w:hAnsi="Times New Roman" w:cs="Times New Roman"/>
        </w:rPr>
        <w:t>of difference between a case with all safety systems on manned installations and the case with the barest minimum of safety systems provided. Since the amount of manhours spent o</w:t>
      </w:r>
      <w:r w:rsidR="00DE7BF3">
        <w:rPr>
          <w:rFonts w:ascii="Times New Roman" w:hAnsi="Times New Roman" w:cs="Times New Roman"/>
        </w:rPr>
        <w:t>n</w:t>
      </w:r>
      <w:r w:rsidRPr="00AE47DC">
        <w:rPr>
          <w:rFonts w:ascii="Times New Roman" w:hAnsi="Times New Roman" w:cs="Times New Roman"/>
        </w:rPr>
        <w:t xml:space="preserve"> the installation roughly correspond</w:t>
      </w:r>
      <w:r w:rsidR="00DE7BF3">
        <w:rPr>
          <w:rFonts w:ascii="Times New Roman" w:hAnsi="Times New Roman" w:cs="Times New Roman"/>
        </w:rPr>
        <w:t xml:space="preserve">s </w:t>
      </w:r>
      <w:r w:rsidRPr="00AE47DC">
        <w:rPr>
          <w:rFonts w:ascii="Times New Roman" w:hAnsi="Times New Roman" w:cs="Times New Roman"/>
        </w:rPr>
        <w:t>with the extent of sa</w:t>
      </w:r>
      <w:r w:rsidR="00410774">
        <w:rPr>
          <w:rFonts w:ascii="Times New Roman" w:hAnsi="Times New Roman" w:cs="Times New Roman"/>
        </w:rPr>
        <w:softHyphen/>
      </w:r>
      <w:r w:rsidRPr="00AE47DC">
        <w:rPr>
          <w:rFonts w:ascii="Times New Roman" w:hAnsi="Times New Roman" w:cs="Times New Roman"/>
        </w:rPr>
        <w:t xml:space="preserve">fety systems (due to maintenance requirements), the difference in PLL values </w:t>
      </w:r>
      <w:r w:rsidR="00DE7BF3">
        <w:rPr>
          <w:rFonts w:ascii="Times New Roman" w:hAnsi="Times New Roman" w:cs="Times New Roman"/>
        </w:rPr>
        <w:t>is</w:t>
      </w:r>
      <w:r w:rsidRPr="00AE47DC">
        <w:rPr>
          <w:rFonts w:ascii="Times New Roman" w:hAnsi="Times New Roman" w:cs="Times New Roman"/>
        </w:rPr>
        <w:t xml:space="preserve"> much less.</w:t>
      </w:r>
    </w:p>
    <w:p w14:paraId="680903AC" w14:textId="734C6404" w:rsidR="00997BF6" w:rsidRDefault="00997BF6" w:rsidP="00997BF6">
      <w:pPr>
        <w:spacing w:after="0" w:line="220" w:lineRule="atLeast"/>
        <w:ind w:firstLine="227"/>
        <w:jc w:val="both"/>
        <w:rPr>
          <w:rFonts w:ascii="Times New Roman" w:hAnsi="Times New Roman" w:cs="Times New Roman"/>
        </w:rPr>
      </w:pPr>
    </w:p>
    <w:p w14:paraId="54A5F23A" w14:textId="5AEB757C" w:rsidR="00A35130" w:rsidRDefault="00B854B0" w:rsidP="00997BF6">
      <w:pPr>
        <w:spacing w:after="0" w:line="220" w:lineRule="atLeast"/>
        <w:ind w:firstLine="227"/>
        <w:jc w:val="both"/>
        <w:rPr>
          <w:rFonts w:ascii="Times New Roman" w:hAnsi="Times New Roman" w:cs="Times New Roman"/>
        </w:rPr>
      </w:pPr>
      <w:r>
        <w:rPr>
          <w:rFonts w:ascii="Times New Roman" w:hAnsi="Times New Roman" w:cs="Times New Roman"/>
        </w:rPr>
        <w:t xml:space="preserve">The case study </w:t>
      </w:r>
      <w:r w:rsidR="008D1BEE">
        <w:rPr>
          <w:rFonts w:ascii="Times New Roman" w:hAnsi="Times New Roman" w:cs="Times New Roman"/>
        </w:rPr>
        <w:t>(</w:t>
      </w:r>
      <w:r w:rsidR="002F1879">
        <w:rPr>
          <w:rFonts w:ascii="Times New Roman" w:hAnsi="Times New Roman" w:cs="Times New Roman"/>
        </w:rPr>
        <w:t xml:space="preserve">see further details in </w:t>
      </w:r>
      <w:r w:rsidR="008D1BEE">
        <w:rPr>
          <w:rFonts w:ascii="Times New Roman" w:hAnsi="Times New Roman" w:cs="Times New Roman"/>
        </w:rPr>
        <w:t xml:space="preserve">Vinnem and Budde, 2019) </w:t>
      </w:r>
      <w:r>
        <w:rPr>
          <w:rFonts w:ascii="Times New Roman" w:hAnsi="Times New Roman" w:cs="Times New Roman"/>
        </w:rPr>
        <w:t xml:space="preserve">illustrates important </w:t>
      </w:r>
      <w:r w:rsidR="000B53FD">
        <w:rPr>
          <w:rFonts w:ascii="Times New Roman" w:hAnsi="Times New Roman" w:cs="Times New Roman"/>
        </w:rPr>
        <w:t xml:space="preserve">aspects of the design of </w:t>
      </w:r>
      <w:r w:rsidR="00DD1BED">
        <w:rPr>
          <w:rFonts w:ascii="Times New Roman" w:hAnsi="Times New Roman" w:cs="Times New Roman"/>
        </w:rPr>
        <w:t>an unmanned production installation</w:t>
      </w:r>
      <w:r w:rsidR="00797868">
        <w:rPr>
          <w:rFonts w:ascii="Times New Roman" w:hAnsi="Times New Roman" w:cs="Times New Roman"/>
        </w:rPr>
        <w:t xml:space="preserve">. </w:t>
      </w:r>
      <w:r w:rsidR="004D4FEA">
        <w:rPr>
          <w:rFonts w:ascii="Times New Roman" w:hAnsi="Times New Roman" w:cs="Times New Roman"/>
        </w:rPr>
        <w:t xml:space="preserve">It is known that </w:t>
      </w:r>
      <w:r w:rsidR="00203A28">
        <w:rPr>
          <w:rFonts w:ascii="Times New Roman" w:hAnsi="Times New Roman" w:cs="Times New Roman"/>
        </w:rPr>
        <w:t xml:space="preserve">some oil </w:t>
      </w:r>
      <w:r w:rsidR="00F71514">
        <w:rPr>
          <w:rFonts w:ascii="Times New Roman" w:hAnsi="Times New Roman" w:cs="Times New Roman"/>
        </w:rPr>
        <w:t>companies in Norway are con</w:t>
      </w:r>
      <w:r w:rsidR="003E5406">
        <w:rPr>
          <w:rFonts w:ascii="Times New Roman" w:hAnsi="Times New Roman" w:cs="Times New Roman"/>
        </w:rPr>
        <w:softHyphen/>
      </w:r>
      <w:r w:rsidR="00F71514">
        <w:rPr>
          <w:rFonts w:ascii="Times New Roman" w:hAnsi="Times New Roman" w:cs="Times New Roman"/>
        </w:rPr>
        <w:t xml:space="preserve">ducting </w:t>
      </w:r>
      <w:r w:rsidR="00B54674">
        <w:rPr>
          <w:rFonts w:ascii="Times New Roman" w:hAnsi="Times New Roman" w:cs="Times New Roman"/>
        </w:rPr>
        <w:t xml:space="preserve">studies of </w:t>
      </w:r>
      <w:r w:rsidR="00C26786">
        <w:rPr>
          <w:rFonts w:ascii="Times New Roman" w:hAnsi="Times New Roman" w:cs="Times New Roman"/>
        </w:rPr>
        <w:t>UPP concepts</w:t>
      </w:r>
      <w:r w:rsidR="003B29F1">
        <w:rPr>
          <w:rFonts w:ascii="Times New Roman" w:hAnsi="Times New Roman" w:cs="Times New Roman"/>
        </w:rPr>
        <w:t>, but as always, none of these are in the public domain</w:t>
      </w:r>
      <w:r w:rsidR="002834D8">
        <w:rPr>
          <w:rFonts w:ascii="Times New Roman" w:hAnsi="Times New Roman" w:cs="Times New Roman"/>
        </w:rPr>
        <w:t>.</w:t>
      </w:r>
      <w:r w:rsidR="00395EB8">
        <w:rPr>
          <w:rFonts w:ascii="Times New Roman" w:hAnsi="Times New Roman" w:cs="Times New Roman"/>
        </w:rPr>
        <w:t xml:space="preserve"> This has been the case </w:t>
      </w:r>
      <w:r w:rsidR="00EA216F">
        <w:rPr>
          <w:rFonts w:ascii="Times New Roman" w:hAnsi="Times New Roman" w:cs="Times New Roman"/>
        </w:rPr>
        <w:t xml:space="preserve">since the early days of this industry and has never been challenged. A study </w:t>
      </w:r>
      <w:r w:rsidR="00E73A37">
        <w:rPr>
          <w:rFonts w:ascii="Times New Roman" w:hAnsi="Times New Roman" w:cs="Times New Roman"/>
        </w:rPr>
        <w:t xml:space="preserve">some years ago </w:t>
      </w:r>
      <w:r w:rsidR="00E814FC">
        <w:rPr>
          <w:rFonts w:ascii="Times New Roman" w:hAnsi="Times New Roman" w:cs="Times New Roman"/>
        </w:rPr>
        <w:t xml:space="preserve">(Vinnem, 2015) </w:t>
      </w:r>
      <w:r w:rsidR="00E73A37">
        <w:rPr>
          <w:rFonts w:ascii="Times New Roman" w:hAnsi="Times New Roman" w:cs="Times New Roman"/>
        </w:rPr>
        <w:t xml:space="preserve">demonstrated that </w:t>
      </w:r>
      <w:r w:rsidR="00692623">
        <w:rPr>
          <w:rFonts w:ascii="Times New Roman" w:hAnsi="Times New Roman" w:cs="Times New Roman"/>
        </w:rPr>
        <w:t xml:space="preserve">there are </w:t>
      </w:r>
      <w:r w:rsidR="002D779F">
        <w:rPr>
          <w:rFonts w:ascii="Times New Roman" w:hAnsi="Times New Roman" w:cs="Times New Roman"/>
        </w:rPr>
        <w:t xml:space="preserve">weaknesses in the </w:t>
      </w:r>
      <w:r w:rsidR="004C5F9E">
        <w:rPr>
          <w:rFonts w:ascii="Times New Roman" w:hAnsi="Times New Roman" w:cs="Times New Roman"/>
        </w:rPr>
        <w:t xml:space="preserve">management of </w:t>
      </w:r>
      <w:r w:rsidR="002056CE">
        <w:rPr>
          <w:rFonts w:ascii="Times New Roman" w:hAnsi="Times New Roman" w:cs="Times New Roman"/>
        </w:rPr>
        <w:t>safety, environment and health</w:t>
      </w:r>
      <w:r w:rsidR="00BC600A">
        <w:rPr>
          <w:rFonts w:ascii="Times New Roman" w:hAnsi="Times New Roman" w:cs="Times New Roman"/>
        </w:rPr>
        <w:t xml:space="preserve"> in early concept phases, which would be ea</w:t>
      </w:r>
      <w:r w:rsidR="00593256">
        <w:rPr>
          <w:rFonts w:ascii="Times New Roman" w:hAnsi="Times New Roman" w:cs="Times New Roman"/>
        </w:rPr>
        <w:t>sier to over</w:t>
      </w:r>
      <w:r w:rsidR="00133624">
        <w:rPr>
          <w:rFonts w:ascii="Times New Roman" w:hAnsi="Times New Roman" w:cs="Times New Roman"/>
        </w:rPr>
        <w:softHyphen/>
      </w:r>
      <w:r w:rsidR="00593256">
        <w:rPr>
          <w:rFonts w:ascii="Times New Roman" w:hAnsi="Times New Roman" w:cs="Times New Roman"/>
        </w:rPr>
        <w:t>come if the system was more transparent.</w:t>
      </w:r>
    </w:p>
    <w:p w14:paraId="2BB0691D" w14:textId="36E0E9CE" w:rsidR="00A35130" w:rsidRDefault="00A35130" w:rsidP="00997BF6">
      <w:pPr>
        <w:spacing w:after="0" w:line="220" w:lineRule="atLeast"/>
        <w:ind w:firstLine="227"/>
        <w:jc w:val="both"/>
        <w:rPr>
          <w:rFonts w:ascii="Times New Roman" w:hAnsi="Times New Roman" w:cs="Times New Roman"/>
        </w:rPr>
      </w:pPr>
    </w:p>
    <w:p w14:paraId="0B03AF8F" w14:textId="7DDC2CBF" w:rsidR="00565F39" w:rsidRPr="00647D01" w:rsidRDefault="002C36CC" w:rsidP="00565F39">
      <w:pPr>
        <w:spacing w:before="230" w:after="100" w:line="220" w:lineRule="atLeast"/>
        <w:ind w:left="227" w:hanging="227"/>
        <w:rPr>
          <w:rFonts w:ascii="Times New Roman" w:hAnsi="Times New Roman" w:cs="Times New Roman"/>
          <w:i/>
        </w:rPr>
      </w:pPr>
      <w:r>
        <w:rPr>
          <w:rFonts w:ascii="Times New Roman" w:hAnsi="Times New Roman" w:cs="Times New Roman"/>
          <w:i/>
        </w:rPr>
        <w:t>6</w:t>
      </w:r>
      <w:r w:rsidR="00565F39" w:rsidRPr="00647D01">
        <w:rPr>
          <w:rFonts w:ascii="Times New Roman" w:hAnsi="Times New Roman" w:cs="Times New Roman"/>
          <w:i/>
        </w:rPr>
        <w:t>.</w:t>
      </w:r>
      <w:r w:rsidR="009B0977">
        <w:rPr>
          <w:rFonts w:ascii="Times New Roman" w:hAnsi="Times New Roman" w:cs="Times New Roman"/>
          <w:i/>
        </w:rPr>
        <w:t>2</w:t>
      </w:r>
      <w:r w:rsidR="00565F39" w:rsidRPr="00647D01">
        <w:rPr>
          <w:rFonts w:ascii="Times New Roman" w:hAnsi="Times New Roman" w:cs="Times New Roman"/>
          <w:i/>
        </w:rPr>
        <w:t xml:space="preserve"> Risk Evaluation Principles</w:t>
      </w:r>
    </w:p>
    <w:p w14:paraId="5A83B490" w14:textId="02AD9586" w:rsidR="007D5822" w:rsidRDefault="00821D38" w:rsidP="00B4738B">
      <w:pPr>
        <w:spacing w:after="0" w:line="220" w:lineRule="atLeast"/>
        <w:jc w:val="both"/>
        <w:rPr>
          <w:rFonts w:ascii="Times New Roman" w:hAnsi="Times New Roman" w:cs="Times New Roman"/>
          <w:lang w:val="en-US"/>
        </w:rPr>
      </w:pPr>
      <w:r w:rsidRPr="00647D01">
        <w:rPr>
          <w:rFonts w:ascii="Times New Roman" w:hAnsi="Times New Roman" w:cs="Times New Roman"/>
          <w:lang w:val="en-US"/>
        </w:rPr>
        <w:t xml:space="preserve">One of the most used arguments </w:t>
      </w:r>
      <w:r w:rsidR="003D7D95">
        <w:rPr>
          <w:rFonts w:ascii="Times New Roman" w:hAnsi="Times New Roman" w:cs="Times New Roman"/>
          <w:lang w:val="en-US"/>
        </w:rPr>
        <w:t xml:space="preserve">from the industry </w:t>
      </w:r>
      <w:r w:rsidRPr="00647D01">
        <w:rPr>
          <w:rFonts w:ascii="Times New Roman" w:hAnsi="Times New Roman" w:cs="Times New Roman"/>
          <w:lang w:val="en-US"/>
        </w:rPr>
        <w:t xml:space="preserve">for normally unmanned installations is that risk exposure is reduced. The argument builds on working </w:t>
      </w:r>
      <w:r w:rsidR="00970C04">
        <w:rPr>
          <w:rFonts w:ascii="Times New Roman" w:hAnsi="Times New Roman" w:cs="Times New Roman"/>
          <w:lang w:val="en-US"/>
        </w:rPr>
        <w:t>fewer</w:t>
      </w:r>
      <w:r w:rsidRPr="00647D01">
        <w:rPr>
          <w:rFonts w:ascii="Times New Roman" w:hAnsi="Times New Roman" w:cs="Times New Roman"/>
          <w:lang w:val="en-US"/>
        </w:rPr>
        <w:t xml:space="preserve"> manhours offshore, implying that </w:t>
      </w:r>
      <w:r w:rsidR="00DE7BF3">
        <w:rPr>
          <w:rFonts w:ascii="Times New Roman" w:hAnsi="Times New Roman" w:cs="Times New Roman"/>
          <w:lang w:val="en-US"/>
        </w:rPr>
        <w:t>fewer</w:t>
      </w:r>
      <w:r w:rsidRPr="00647D01">
        <w:rPr>
          <w:rFonts w:ascii="Times New Roman" w:hAnsi="Times New Roman" w:cs="Times New Roman"/>
          <w:lang w:val="en-US"/>
        </w:rPr>
        <w:t xml:space="preserve"> people will be exposed to hazards of offshore employment and helicopter </w:t>
      </w:r>
      <w:r w:rsidR="00BF0BF1">
        <w:rPr>
          <w:rFonts w:ascii="Times New Roman" w:hAnsi="Times New Roman" w:cs="Times New Roman"/>
          <w:lang w:val="en-US"/>
        </w:rPr>
        <w:t>transpor</w:t>
      </w:r>
      <w:r w:rsidR="00BF0BF1">
        <w:rPr>
          <w:rFonts w:ascii="Times New Roman" w:hAnsi="Times New Roman" w:cs="Times New Roman"/>
          <w:lang w:val="en-US"/>
        </w:rPr>
        <w:softHyphen/>
      </w:r>
      <w:r w:rsidRPr="00647D01">
        <w:rPr>
          <w:rFonts w:ascii="Times New Roman" w:hAnsi="Times New Roman" w:cs="Times New Roman"/>
          <w:lang w:val="en-US"/>
        </w:rPr>
        <w:t xml:space="preserve">tation to and from offshore installations. </w:t>
      </w:r>
      <w:r w:rsidR="00AA2893">
        <w:rPr>
          <w:rFonts w:ascii="Times New Roman" w:hAnsi="Times New Roman" w:cs="Times New Roman"/>
          <w:lang w:val="en-US"/>
        </w:rPr>
        <w:t xml:space="preserve">The values presented for the case study in </w:t>
      </w:r>
      <w:r w:rsidR="00295A05">
        <w:rPr>
          <w:rFonts w:ascii="Times New Roman" w:hAnsi="Times New Roman" w:cs="Times New Roman"/>
          <w:lang w:val="en-US"/>
        </w:rPr>
        <w:t xml:space="preserve">Chapter </w:t>
      </w:r>
      <w:r w:rsidR="00F11EA7">
        <w:rPr>
          <w:rFonts w:ascii="Times New Roman" w:hAnsi="Times New Roman" w:cs="Times New Roman"/>
          <w:lang w:val="en-US"/>
        </w:rPr>
        <w:t>4</w:t>
      </w:r>
      <w:r w:rsidR="001463C3">
        <w:rPr>
          <w:rFonts w:ascii="Times New Roman" w:hAnsi="Times New Roman" w:cs="Times New Roman"/>
          <w:lang w:val="en-US"/>
        </w:rPr>
        <w:t xml:space="preserve"> confirm </w:t>
      </w:r>
      <w:r w:rsidR="00C75108">
        <w:rPr>
          <w:rFonts w:ascii="Times New Roman" w:hAnsi="Times New Roman" w:cs="Times New Roman"/>
          <w:lang w:val="en-US"/>
        </w:rPr>
        <w:t>that this is the case.</w:t>
      </w:r>
    </w:p>
    <w:p w14:paraId="2CCD4CFD" w14:textId="77777777" w:rsidR="007D5822" w:rsidRPr="00605D56" w:rsidRDefault="007D5822" w:rsidP="00605D56">
      <w:pPr>
        <w:spacing w:after="0" w:line="220" w:lineRule="atLeast"/>
        <w:ind w:firstLine="227"/>
        <w:jc w:val="both"/>
        <w:rPr>
          <w:rFonts w:ascii="Times New Roman" w:hAnsi="Times New Roman" w:cs="Times New Roman"/>
        </w:rPr>
      </w:pPr>
    </w:p>
    <w:p w14:paraId="0AF9F0F5" w14:textId="1A31B7FB" w:rsidR="00821D38" w:rsidRPr="00605D56" w:rsidRDefault="00821D38" w:rsidP="00605D56">
      <w:pPr>
        <w:spacing w:after="0" w:line="220" w:lineRule="atLeast"/>
        <w:ind w:firstLine="227"/>
        <w:jc w:val="both"/>
        <w:rPr>
          <w:rFonts w:ascii="Times New Roman" w:hAnsi="Times New Roman" w:cs="Times New Roman"/>
        </w:rPr>
      </w:pPr>
      <w:r w:rsidRPr="00605D56">
        <w:rPr>
          <w:rFonts w:ascii="Times New Roman" w:hAnsi="Times New Roman" w:cs="Times New Roman"/>
        </w:rPr>
        <w:t>This</w:t>
      </w:r>
      <w:r w:rsidR="00886C13">
        <w:rPr>
          <w:rFonts w:ascii="Times New Roman" w:hAnsi="Times New Roman" w:cs="Times New Roman"/>
        </w:rPr>
        <w:t xml:space="preserve"> argument</w:t>
      </w:r>
      <w:r w:rsidRPr="00605D56">
        <w:rPr>
          <w:rFonts w:ascii="Times New Roman" w:hAnsi="Times New Roman" w:cs="Times New Roman"/>
        </w:rPr>
        <w:t xml:space="preserve"> is true as long as we consider </w:t>
      </w:r>
      <w:r w:rsidR="004024AA">
        <w:rPr>
          <w:rFonts w:ascii="Times New Roman" w:hAnsi="Times New Roman" w:cs="Times New Roman"/>
        </w:rPr>
        <w:t xml:space="preserve">risk to </w:t>
      </w:r>
      <w:r w:rsidRPr="00605D56">
        <w:rPr>
          <w:rFonts w:ascii="Times New Roman" w:hAnsi="Times New Roman" w:cs="Times New Roman"/>
        </w:rPr>
        <w:t>personnel in a societal context. If we reduce the number of people working offshore by 50%, then the societal risk is also reduced by 50% if the risk exposure per person is the same. But if</w:t>
      </w:r>
      <w:r w:rsidR="00C20637">
        <w:rPr>
          <w:rFonts w:ascii="Times New Roman" w:hAnsi="Times New Roman" w:cs="Times New Roman"/>
        </w:rPr>
        <w:t>,</w:t>
      </w:r>
      <w:r w:rsidRPr="00605D56">
        <w:rPr>
          <w:rFonts w:ascii="Times New Roman" w:hAnsi="Times New Roman" w:cs="Times New Roman"/>
        </w:rPr>
        <w:t xml:space="preserve"> </w:t>
      </w:r>
      <w:r w:rsidR="00617422">
        <w:rPr>
          <w:rFonts w:ascii="Times New Roman" w:hAnsi="Times New Roman" w:cs="Times New Roman"/>
        </w:rPr>
        <w:t>in theory</w:t>
      </w:r>
      <w:r w:rsidR="00C20637">
        <w:rPr>
          <w:rFonts w:ascii="Times New Roman" w:hAnsi="Times New Roman" w:cs="Times New Roman"/>
        </w:rPr>
        <w:t>,</w:t>
      </w:r>
      <w:r w:rsidR="00617422">
        <w:rPr>
          <w:rFonts w:ascii="Times New Roman" w:hAnsi="Times New Roman" w:cs="Times New Roman"/>
        </w:rPr>
        <w:t xml:space="preserve"> </w:t>
      </w:r>
      <w:r w:rsidRPr="00605D56">
        <w:rPr>
          <w:rFonts w:ascii="Times New Roman" w:hAnsi="Times New Roman" w:cs="Times New Roman"/>
        </w:rPr>
        <w:t>the risk exposure per person is doubled, then the societal risk is probably unchanged.</w:t>
      </w:r>
    </w:p>
    <w:p w14:paraId="7AB78A89" w14:textId="77777777" w:rsidR="00AF19BB" w:rsidRDefault="00AF19BB" w:rsidP="00B4738B">
      <w:pPr>
        <w:spacing w:after="0" w:line="220" w:lineRule="atLeast"/>
        <w:ind w:firstLine="227"/>
        <w:jc w:val="both"/>
        <w:rPr>
          <w:rFonts w:ascii="Times New Roman" w:hAnsi="Times New Roman" w:cs="Times New Roman"/>
        </w:rPr>
      </w:pPr>
    </w:p>
    <w:p w14:paraId="7E7608B2" w14:textId="3900B54D" w:rsidR="00A219FF" w:rsidRPr="00647D01" w:rsidRDefault="00A219FF" w:rsidP="00B4738B">
      <w:pPr>
        <w:spacing w:after="0" w:line="220" w:lineRule="atLeast"/>
        <w:ind w:firstLine="227"/>
        <w:jc w:val="both"/>
        <w:rPr>
          <w:rFonts w:ascii="Times New Roman" w:hAnsi="Times New Roman" w:cs="Times New Roman"/>
        </w:rPr>
      </w:pPr>
      <w:r w:rsidRPr="00647D01">
        <w:rPr>
          <w:rFonts w:ascii="Times New Roman" w:hAnsi="Times New Roman" w:cs="Times New Roman"/>
        </w:rPr>
        <w:t xml:space="preserve">Even if the societal risk is reduced by 50%, does that imply that each person’s risk exposure is </w:t>
      </w:r>
      <w:r w:rsidR="002D333C">
        <w:rPr>
          <w:rFonts w:ascii="Times New Roman" w:hAnsi="Times New Roman" w:cs="Times New Roman"/>
        </w:rPr>
        <w:t xml:space="preserve">also </w:t>
      </w:r>
      <w:r w:rsidRPr="00647D01">
        <w:rPr>
          <w:rFonts w:ascii="Times New Roman" w:hAnsi="Times New Roman" w:cs="Times New Roman"/>
        </w:rPr>
        <w:t xml:space="preserve">reduced? No, in this case the risk per person is </w:t>
      </w:r>
      <w:r w:rsidR="002C5679">
        <w:rPr>
          <w:rFonts w:ascii="Times New Roman" w:hAnsi="Times New Roman" w:cs="Times New Roman"/>
        </w:rPr>
        <w:t xml:space="preserve">in theory </w:t>
      </w:r>
      <w:r w:rsidRPr="00647D01">
        <w:rPr>
          <w:rFonts w:ascii="Times New Roman" w:hAnsi="Times New Roman" w:cs="Times New Roman"/>
        </w:rPr>
        <w:t>unchanged, because the entire effect of societal risk reduction is due to the reduction in the number of persons exposed to hazards of working offshore. What is good in a societal context is not necessarily good for the persons still exposed to the same (or increased?) hazards.</w:t>
      </w:r>
    </w:p>
    <w:p w14:paraId="3EB8860A" w14:textId="77777777" w:rsidR="00AF19BB" w:rsidRDefault="00AF19BB" w:rsidP="00B4738B">
      <w:pPr>
        <w:spacing w:after="0" w:line="220" w:lineRule="atLeast"/>
        <w:ind w:firstLine="227"/>
        <w:jc w:val="both"/>
        <w:rPr>
          <w:rFonts w:ascii="Times New Roman" w:hAnsi="Times New Roman" w:cs="Times New Roman"/>
        </w:rPr>
      </w:pPr>
    </w:p>
    <w:p w14:paraId="4CE9867A" w14:textId="3A64D18B" w:rsidR="00F31707" w:rsidRPr="00647D01" w:rsidRDefault="00F31707">
      <w:pPr>
        <w:spacing w:after="0" w:line="220" w:lineRule="atLeast"/>
        <w:ind w:firstLine="227"/>
        <w:jc w:val="both"/>
        <w:rPr>
          <w:rFonts w:ascii="Times New Roman" w:hAnsi="Times New Roman" w:cs="Times New Roman"/>
        </w:rPr>
      </w:pPr>
      <w:r w:rsidRPr="00647D01">
        <w:rPr>
          <w:rFonts w:ascii="Times New Roman" w:hAnsi="Times New Roman" w:cs="Times New Roman"/>
        </w:rPr>
        <w:t>Another aspect should also be considered in this context. Helicopter transportation</w:t>
      </w:r>
      <w:r w:rsidR="00DE7BF3">
        <w:rPr>
          <w:rFonts w:ascii="Times New Roman" w:hAnsi="Times New Roman" w:cs="Times New Roman"/>
        </w:rPr>
        <w:t>,</w:t>
      </w:r>
      <w:r w:rsidRPr="00647D01">
        <w:rPr>
          <w:rFonts w:ascii="Times New Roman" w:hAnsi="Times New Roman" w:cs="Times New Roman"/>
        </w:rPr>
        <w:t xml:space="preserve"> according to Vinnem &amp; Røed (20</w:t>
      </w:r>
      <w:r w:rsidR="007A0552">
        <w:rPr>
          <w:rFonts w:ascii="Times New Roman" w:hAnsi="Times New Roman" w:cs="Times New Roman"/>
        </w:rPr>
        <w:t>20</w:t>
      </w:r>
      <w:r w:rsidRPr="00647D01">
        <w:rPr>
          <w:rFonts w:ascii="Times New Roman" w:hAnsi="Times New Roman" w:cs="Times New Roman"/>
        </w:rPr>
        <w:t>)</w:t>
      </w:r>
      <w:r w:rsidR="00DE7BF3">
        <w:rPr>
          <w:rFonts w:ascii="Times New Roman" w:hAnsi="Times New Roman" w:cs="Times New Roman"/>
        </w:rPr>
        <w:t>, is</w:t>
      </w:r>
      <w:r w:rsidRPr="00647D01">
        <w:rPr>
          <w:rFonts w:ascii="Times New Roman" w:hAnsi="Times New Roman" w:cs="Times New Roman"/>
        </w:rPr>
        <w:t xml:space="preserve"> the source of 44% </w:t>
      </w:r>
      <w:r w:rsidR="00624199" w:rsidRPr="00647D01">
        <w:rPr>
          <w:rFonts w:ascii="Times New Roman" w:hAnsi="Times New Roman" w:cs="Times New Roman"/>
        </w:rPr>
        <w:t>(see</w:t>
      </w:r>
      <w:r w:rsidR="00DF3485">
        <w:rPr>
          <w:rFonts w:ascii="Times New Roman" w:hAnsi="Times New Roman" w:cs="Times New Roman"/>
        </w:rPr>
        <w:t xml:space="preserve"> </w:t>
      </w:r>
      <w:r w:rsidR="004A543D" w:rsidRPr="00A75975">
        <w:rPr>
          <w:rFonts w:ascii="Times New Roman" w:hAnsi="Times New Roman" w:cs="Times New Roman"/>
          <w:b/>
          <w:bCs/>
        </w:rPr>
        <w:fldChar w:fldCharType="begin"/>
      </w:r>
      <w:r w:rsidR="004A543D" w:rsidRPr="00A75975">
        <w:rPr>
          <w:rFonts w:ascii="Times New Roman" w:hAnsi="Times New Roman" w:cs="Times New Roman"/>
          <w:b/>
          <w:bCs/>
        </w:rPr>
        <w:instrText xml:space="preserve"> REF _Ref47350542 \h </w:instrText>
      </w:r>
      <w:r w:rsidR="004A543D">
        <w:rPr>
          <w:rFonts w:ascii="Times New Roman" w:hAnsi="Times New Roman" w:cs="Times New Roman"/>
          <w:b/>
          <w:bCs/>
        </w:rPr>
        <w:instrText xml:space="preserve"> \* MERGEFORMAT </w:instrText>
      </w:r>
      <w:r w:rsidR="004A543D" w:rsidRPr="00A75975">
        <w:rPr>
          <w:rFonts w:ascii="Times New Roman" w:hAnsi="Times New Roman" w:cs="Times New Roman"/>
          <w:b/>
          <w:bCs/>
        </w:rPr>
      </w:r>
      <w:r w:rsidR="004A543D" w:rsidRPr="00A75975">
        <w:rPr>
          <w:rFonts w:ascii="Times New Roman" w:hAnsi="Times New Roman" w:cs="Times New Roman"/>
          <w:b/>
          <w:bCs/>
        </w:rPr>
        <w:fldChar w:fldCharType="separate"/>
      </w:r>
      <w:r w:rsidR="004A543D" w:rsidRPr="004A543D">
        <w:rPr>
          <w:rFonts w:ascii="Times New Roman" w:hAnsi="Times New Roman" w:cs="Times New Roman"/>
          <w:b/>
          <w:bCs/>
          <w:sz w:val="18"/>
          <w:szCs w:val="18"/>
        </w:rPr>
        <w:t xml:space="preserve">Figure </w:t>
      </w:r>
      <w:r w:rsidR="004A543D" w:rsidRPr="004A543D">
        <w:rPr>
          <w:rFonts w:ascii="Times New Roman" w:hAnsi="Times New Roman" w:cs="Times New Roman"/>
          <w:b/>
          <w:bCs/>
          <w:noProof/>
          <w:sz w:val="18"/>
          <w:szCs w:val="18"/>
        </w:rPr>
        <w:t>2</w:t>
      </w:r>
      <w:r w:rsidR="004A543D" w:rsidRPr="00A75975">
        <w:rPr>
          <w:rFonts w:ascii="Times New Roman" w:hAnsi="Times New Roman" w:cs="Times New Roman"/>
          <w:b/>
          <w:bCs/>
        </w:rPr>
        <w:fldChar w:fldCharType="end"/>
      </w:r>
      <w:r w:rsidR="00624199" w:rsidRPr="00647D01">
        <w:rPr>
          <w:rFonts w:ascii="Times New Roman" w:hAnsi="Times New Roman" w:cs="Times New Roman"/>
        </w:rPr>
        <w:t xml:space="preserve">) </w:t>
      </w:r>
      <w:r w:rsidRPr="00647D01">
        <w:rPr>
          <w:rFonts w:ascii="Times New Roman" w:hAnsi="Times New Roman" w:cs="Times New Roman"/>
        </w:rPr>
        <w:t xml:space="preserve">of the total fatality risk exposure for employees on manned production installations. Personnel transport to normally unmanned installations is normally carried out </w:t>
      </w:r>
      <w:r w:rsidR="00DE7BF3">
        <w:rPr>
          <w:rFonts w:ascii="Times New Roman" w:hAnsi="Times New Roman" w:cs="Times New Roman"/>
        </w:rPr>
        <w:t>on</w:t>
      </w:r>
      <w:r w:rsidRPr="00647D01">
        <w:rPr>
          <w:rFonts w:ascii="Times New Roman" w:hAnsi="Times New Roman" w:cs="Times New Roman"/>
        </w:rPr>
        <w:t xml:space="preserve"> </w:t>
      </w:r>
      <w:r w:rsidR="005B5019">
        <w:rPr>
          <w:rFonts w:ascii="Times New Roman" w:hAnsi="Times New Roman" w:cs="Times New Roman"/>
        </w:rPr>
        <w:t>W2W</w:t>
      </w:r>
      <w:r w:rsidR="00AF2CDA">
        <w:rPr>
          <w:rFonts w:ascii="Times New Roman" w:hAnsi="Times New Roman" w:cs="Times New Roman"/>
        </w:rPr>
        <w:t xml:space="preserve"> </w:t>
      </w:r>
      <w:r w:rsidRPr="00647D01">
        <w:rPr>
          <w:rFonts w:ascii="Times New Roman" w:hAnsi="Times New Roman" w:cs="Times New Roman"/>
        </w:rPr>
        <w:t xml:space="preserve">vessels. This is in principle not </w:t>
      </w:r>
      <w:r w:rsidR="00D0388D">
        <w:rPr>
          <w:rFonts w:ascii="Times New Roman" w:hAnsi="Times New Roman" w:cs="Times New Roman"/>
        </w:rPr>
        <w:t xml:space="preserve">completely </w:t>
      </w:r>
      <w:r w:rsidRPr="00647D01">
        <w:rPr>
          <w:rFonts w:ascii="Times New Roman" w:hAnsi="Times New Roman" w:cs="Times New Roman"/>
        </w:rPr>
        <w:t>risk</w:t>
      </w:r>
      <w:r w:rsidR="00DE7BF3">
        <w:rPr>
          <w:rFonts w:ascii="Times New Roman" w:hAnsi="Times New Roman" w:cs="Times New Roman"/>
        </w:rPr>
        <w:t>-</w:t>
      </w:r>
      <w:r w:rsidRPr="00647D01">
        <w:rPr>
          <w:rFonts w:ascii="Times New Roman" w:hAnsi="Times New Roman" w:cs="Times New Roman"/>
        </w:rPr>
        <w:t xml:space="preserve">free, but the risk exposure from such personnel </w:t>
      </w:r>
      <w:r w:rsidR="009E3602" w:rsidRPr="00647D01">
        <w:rPr>
          <w:rFonts w:ascii="Times New Roman" w:hAnsi="Times New Roman" w:cs="Times New Roman"/>
        </w:rPr>
        <w:t>transpor</w:t>
      </w:r>
      <w:r w:rsidRPr="00647D01">
        <w:rPr>
          <w:rFonts w:ascii="Times New Roman" w:hAnsi="Times New Roman" w:cs="Times New Roman"/>
        </w:rPr>
        <w:t>tation is very low when compared to helicopter transportation. The replacement of helicopters by vessels for</w:t>
      </w:r>
      <w:r w:rsidR="00D84FAD">
        <w:rPr>
          <w:rFonts w:ascii="Times New Roman" w:hAnsi="Times New Roman" w:cs="Times New Roman"/>
        </w:rPr>
        <w:t xml:space="preserve"> </w:t>
      </w:r>
      <w:r w:rsidRPr="00647D01">
        <w:rPr>
          <w:rFonts w:ascii="Times New Roman" w:hAnsi="Times New Roman" w:cs="Times New Roman"/>
        </w:rPr>
        <w:t xml:space="preserve">personnel </w:t>
      </w:r>
      <w:r w:rsidR="0052611A">
        <w:rPr>
          <w:rFonts w:ascii="Times New Roman" w:hAnsi="Times New Roman" w:cs="Times New Roman"/>
        </w:rPr>
        <w:t>transpor</w:t>
      </w:r>
      <w:r w:rsidRPr="00647D01">
        <w:rPr>
          <w:rFonts w:ascii="Times New Roman" w:hAnsi="Times New Roman" w:cs="Times New Roman"/>
        </w:rPr>
        <w:t>tation therefore significant</w:t>
      </w:r>
      <w:r w:rsidR="00DE7BF3">
        <w:rPr>
          <w:rFonts w:ascii="Times New Roman" w:hAnsi="Times New Roman" w:cs="Times New Roman"/>
        </w:rPr>
        <w:t>ly reduces the</w:t>
      </w:r>
      <w:r w:rsidRPr="00647D01">
        <w:rPr>
          <w:rFonts w:ascii="Times New Roman" w:hAnsi="Times New Roman" w:cs="Times New Roman"/>
        </w:rPr>
        <w:t xml:space="preserve"> risk exposure for each person individually, not only in a societal context.</w:t>
      </w:r>
      <w:r w:rsidR="00BF029A">
        <w:rPr>
          <w:rFonts w:ascii="Times New Roman" w:hAnsi="Times New Roman" w:cs="Times New Roman"/>
        </w:rPr>
        <w:t xml:space="preserve"> </w:t>
      </w:r>
      <w:r w:rsidR="00D00D3F">
        <w:rPr>
          <w:rFonts w:ascii="Times New Roman" w:hAnsi="Times New Roman" w:cs="Times New Roman"/>
        </w:rPr>
        <w:t xml:space="preserve">But </w:t>
      </w:r>
      <w:r w:rsidR="005F4439">
        <w:rPr>
          <w:rFonts w:ascii="Times New Roman" w:hAnsi="Times New Roman" w:cs="Times New Roman"/>
        </w:rPr>
        <w:t>the risk exposure on the installation is obvi</w:t>
      </w:r>
      <w:r w:rsidR="005F4439">
        <w:rPr>
          <w:rFonts w:ascii="Times New Roman" w:hAnsi="Times New Roman" w:cs="Times New Roman"/>
        </w:rPr>
        <w:softHyphen/>
        <w:t>ously not affected.</w:t>
      </w:r>
    </w:p>
    <w:p w14:paraId="026C14E1" w14:textId="77777777" w:rsidR="00AF19BB" w:rsidRDefault="00AF19BB" w:rsidP="00B4738B">
      <w:pPr>
        <w:spacing w:after="0" w:line="220" w:lineRule="atLeast"/>
        <w:ind w:firstLine="227"/>
        <w:jc w:val="both"/>
        <w:rPr>
          <w:rFonts w:ascii="Times New Roman" w:hAnsi="Times New Roman" w:cs="Times New Roman"/>
        </w:rPr>
      </w:pPr>
    </w:p>
    <w:p w14:paraId="35D8C85E" w14:textId="23AAADB4" w:rsidR="00F31707" w:rsidRPr="00647D01" w:rsidRDefault="00F31707" w:rsidP="00B4738B">
      <w:pPr>
        <w:spacing w:after="0" w:line="220" w:lineRule="atLeast"/>
        <w:ind w:firstLine="227"/>
        <w:jc w:val="both"/>
        <w:rPr>
          <w:rFonts w:ascii="Times New Roman" w:hAnsi="Times New Roman" w:cs="Times New Roman"/>
        </w:rPr>
      </w:pPr>
      <w:r w:rsidRPr="00647D01">
        <w:rPr>
          <w:rFonts w:ascii="Times New Roman" w:hAnsi="Times New Roman" w:cs="Times New Roman"/>
        </w:rPr>
        <w:t xml:space="preserve">When oil companies have argued in recent years that </w:t>
      </w:r>
      <w:r w:rsidR="00AF2CDA">
        <w:rPr>
          <w:rFonts w:ascii="Times New Roman" w:hAnsi="Times New Roman" w:cs="Times New Roman"/>
        </w:rPr>
        <w:t xml:space="preserve">the </w:t>
      </w:r>
      <w:r w:rsidRPr="00647D01">
        <w:rPr>
          <w:rFonts w:ascii="Times New Roman" w:hAnsi="Times New Roman" w:cs="Times New Roman"/>
        </w:rPr>
        <w:t>reduction of manning offshore im</w:t>
      </w:r>
      <w:r w:rsidR="0094345C">
        <w:rPr>
          <w:rFonts w:ascii="Times New Roman" w:hAnsi="Times New Roman" w:cs="Times New Roman"/>
        </w:rPr>
        <w:softHyphen/>
      </w:r>
      <w:r w:rsidRPr="00647D01">
        <w:rPr>
          <w:rFonts w:ascii="Times New Roman" w:hAnsi="Times New Roman" w:cs="Times New Roman"/>
        </w:rPr>
        <w:t>plies risk reduction for personnel, they are taking a societal consideration automatically, neg</w:t>
      </w:r>
      <w:r w:rsidR="003D2F76">
        <w:rPr>
          <w:rFonts w:ascii="Times New Roman" w:hAnsi="Times New Roman" w:cs="Times New Roman"/>
        </w:rPr>
        <w:softHyphen/>
      </w:r>
      <w:r w:rsidRPr="00647D01">
        <w:rPr>
          <w:rFonts w:ascii="Times New Roman" w:hAnsi="Times New Roman" w:cs="Times New Roman"/>
        </w:rPr>
        <w:t>lecting entirely that other considerations could (and should) be made.</w:t>
      </w:r>
      <w:r w:rsidR="002A1E56">
        <w:rPr>
          <w:rFonts w:ascii="Times New Roman" w:hAnsi="Times New Roman" w:cs="Times New Roman"/>
        </w:rPr>
        <w:t xml:space="preserve"> More openness in this regard would </w:t>
      </w:r>
      <w:r w:rsidR="002B73FF">
        <w:rPr>
          <w:rFonts w:ascii="Times New Roman" w:hAnsi="Times New Roman" w:cs="Times New Roman"/>
        </w:rPr>
        <w:t xml:space="preserve">have </w:t>
      </w:r>
      <w:r w:rsidR="009173D1">
        <w:rPr>
          <w:rFonts w:ascii="Times New Roman" w:hAnsi="Times New Roman" w:cs="Times New Roman"/>
        </w:rPr>
        <w:t xml:space="preserve">ensured </w:t>
      </w:r>
      <w:r w:rsidR="00F739E3">
        <w:rPr>
          <w:rFonts w:ascii="Times New Roman" w:hAnsi="Times New Roman" w:cs="Times New Roman"/>
        </w:rPr>
        <w:t>better insight</w:t>
      </w:r>
      <w:r w:rsidR="00D37D3B">
        <w:rPr>
          <w:rFonts w:ascii="Times New Roman" w:hAnsi="Times New Roman" w:cs="Times New Roman"/>
        </w:rPr>
        <w:t xml:space="preserve"> and </w:t>
      </w:r>
      <w:r w:rsidR="00DE7BF3">
        <w:rPr>
          <w:rFonts w:ascii="Times New Roman" w:hAnsi="Times New Roman" w:cs="Times New Roman"/>
        </w:rPr>
        <w:t xml:space="preserve">the </w:t>
      </w:r>
      <w:r w:rsidR="000D5D9F">
        <w:rPr>
          <w:rFonts w:ascii="Times New Roman" w:hAnsi="Times New Roman" w:cs="Times New Roman"/>
        </w:rPr>
        <w:t xml:space="preserve">possibility </w:t>
      </w:r>
      <w:r w:rsidR="00DE7BF3">
        <w:rPr>
          <w:rFonts w:ascii="Times New Roman" w:hAnsi="Times New Roman" w:cs="Times New Roman"/>
        </w:rPr>
        <w:t>of</w:t>
      </w:r>
      <w:r w:rsidR="000D5D9F">
        <w:rPr>
          <w:rFonts w:ascii="Times New Roman" w:hAnsi="Times New Roman" w:cs="Times New Roman"/>
        </w:rPr>
        <w:t xml:space="preserve"> </w:t>
      </w:r>
      <w:r w:rsidR="00BE3959">
        <w:rPr>
          <w:rFonts w:ascii="Times New Roman" w:hAnsi="Times New Roman" w:cs="Times New Roman"/>
        </w:rPr>
        <w:t>discuss</w:t>
      </w:r>
      <w:r w:rsidR="00DE7BF3">
        <w:rPr>
          <w:rFonts w:ascii="Times New Roman" w:hAnsi="Times New Roman" w:cs="Times New Roman"/>
        </w:rPr>
        <w:t>ing</w:t>
      </w:r>
      <w:r w:rsidR="00A3427D">
        <w:rPr>
          <w:rFonts w:ascii="Times New Roman" w:hAnsi="Times New Roman" w:cs="Times New Roman"/>
        </w:rPr>
        <w:t xml:space="preserve"> these aspects</w:t>
      </w:r>
      <w:r w:rsidR="009461D8">
        <w:rPr>
          <w:rFonts w:ascii="Times New Roman" w:hAnsi="Times New Roman" w:cs="Times New Roman"/>
        </w:rPr>
        <w:t xml:space="preserve"> in a con</w:t>
      </w:r>
      <w:r w:rsidR="00D26E9B">
        <w:rPr>
          <w:rFonts w:ascii="Times New Roman" w:hAnsi="Times New Roman" w:cs="Times New Roman"/>
        </w:rPr>
        <w:softHyphen/>
      </w:r>
      <w:r w:rsidR="009461D8">
        <w:rPr>
          <w:rFonts w:ascii="Times New Roman" w:hAnsi="Times New Roman" w:cs="Times New Roman"/>
        </w:rPr>
        <w:t>structive manner.</w:t>
      </w:r>
    </w:p>
    <w:p w14:paraId="1BBC4021" w14:textId="48C7A513" w:rsidR="002359DB" w:rsidRPr="00647D01" w:rsidRDefault="002C36CC" w:rsidP="00A75975">
      <w:pPr>
        <w:keepNext/>
        <w:spacing w:before="230" w:after="100" w:line="220" w:lineRule="atLeast"/>
        <w:ind w:left="227" w:hanging="227"/>
        <w:rPr>
          <w:rFonts w:ascii="Times New Roman" w:hAnsi="Times New Roman" w:cs="Times New Roman"/>
          <w:i/>
        </w:rPr>
      </w:pPr>
      <w:r>
        <w:rPr>
          <w:rFonts w:ascii="Times New Roman" w:hAnsi="Times New Roman" w:cs="Times New Roman"/>
          <w:i/>
        </w:rPr>
        <w:t>6</w:t>
      </w:r>
      <w:r w:rsidR="00950288" w:rsidRPr="00647D01">
        <w:rPr>
          <w:rFonts w:ascii="Times New Roman" w:hAnsi="Times New Roman" w:cs="Times New Roman"/>
          <w:i/>
        </w:rPr>
        <w:t>.</w:t>
      </w:r>
      <w:r w:rsidR="009B0977">
        <w:rPr>
          <w:rFonts w:ascii="Times New Roman" w:hAnsi="Times New Roman" w:cs="Times New Roman"/>
          <w:i/>
        </w:rPr>
        <w:t>3</w:t>
      </w:r>
      <w:r w:rsidR="00950288" w:rsidRPr="00647D01">
        <w:rPr>
          <w:rFonts w:ascii="Times New Roman" w:hAnsi="Times New Roman" w:cs="Times New Roman"/>
          <w:i/>
        </w:rPr>
        <w:t xml:space="preserve"> </w:t>
      </w:r>
      <w:r w:rsidR="004B021E" w:rsidRPr="00647D01">
        <w:rPr>
          <w:rFonts w:ascii="Times New Roman" w:hAnsi="Times New Roman" w:cs="Times New Roman"/>
          <w:i/>
        </w:rPr>
        <w:t>R</w:t>
      </w:r>
      <w:r w:rsidR="00BE4CC5" w:rsidRPr="00647D01">
        <w:rPr>
          <w:rFonts w:ascii="Times New Roman" w:hAnsi="Times New Roman" w:cs="Times New Roman"/>
          <w:i/>
        </w:rPr>
        <w:t>egula</w:t>
      </w:r>
      <w:r w:rsidR="004B021E" w:rsidRPr="00647D01">
        <w:rPr>
          <w:rFonts w:ascii="Times New Roman" w:hAnsi="Times New Roman" w:cs="Times New Roman"/>
          <w:i/>
        </w:rPr>
        <w:t xml:space="preserve">tory </w:t>
      </w:r>
      <w:r w:rsidR="00AB00C6" w:rsidRPr="00647D01">
        <w:rPr>
          <w:rFonts w:ascii="Times New Roman" w:hAnsi="Times New Roman" w:cs="Times New Roman"/>
          <w:i/>
        </w:rPr>
        <w:t>R</w:t>
      </w:r>
      <w:r w:rsidR="004B021E" w:rsidRPr="00647D01">
        <w:rPr>
          <w:rFonts w:ascii="Times New Roman" w:hAnsi="Times New Roman" w:cs="Times New Roman"/>
          <w:i/>
        </w:rPr>
        <w:t>equirements</w:t>
      </w:r>
    </w:p>
    <w:p w14:paraId="32838325" w14:textId="71D0E120" w:rsidR="000C4971" w:rsidRPr="00647D01" w:rsidRDefault="00C17EA5" w:rsidP="00B4738B">
      <w:pPr>
        <w:spacing w:after="0" w:line="220" w:lineRule="atLeast"/>
        <w:jc w:val="both"/>
        <w:rPr>
          <w:rFonts w:ascii="Times New Roman" w:hAnsi="Times New Roman" w:cs="Times New Roman"/>
          <w:lang w:val="en-US"/>
        </w:rPr>
      </w:pPr>
      <w:r w:rsidRPr="00647D01">
        <w:rPr>
          <w:rFonts w:ascii="Times New Roman" w:hAnsi="Times New Roman" w:cs="Times New Roman"/>
          <w:lang w:val="en-US"/>
        </w:rPr>
        <w:t xml:space="preserve">This paper has </w:t>
      </w:r>
      <w:r w:rsidR="0070380B" w:rsidRPr="00647D01">
        <w:rPr>
          <w:rFonts w:ascii="Times New Roman" w:hAnsi="Times New Roman" w:cs="Times New Roman"/>
          <w:lang w:val="en-US"/>
        </w:rPr>
        <w:t>painted a</w:t>
      </w:r>
      <w:r w:rsidR="005D1235" w:rsidRPr="00647D01">
        <w:rPr>
          <w:rFonts w:ascii="Times New Roman" w:hAnsi="Times New Roman" w:cs="Times New Roman"/>
          <w:lang w:val="en-US"/>
        </w:rPr>
        <w:t xml:space="preserve">n unclear picture with respect to the </w:t>
      </w:r>
      <w:r w:rsidR="000103D5" w:rsidRPr="00647D01">
        <w:rPr>
          <w:rFonts w:ascii="Times New Roman" w:hAnsi="Times New Roman" w:cs="Times New Roman"/>
          <w:lang w:val="en-US"/>
        </w:rPr>
        <w:t xml:space="preserve">regulatory requirements for </w:t>
      </w:r>
      <w:r w:rsidR="00486855" w:rsidRPr="00647D01">
        <w:rPr>
          <w:rFonts w:ascii="Times New Roman" w:hAnsi="Times New Roman" w:cs="Times New Roman"/>
          <w:lang w:val="en-US"/>
        </w:rPr>
        <w:t>nor</w:t>
      </w:r>
      <w:r w:rsidR="005A7DEE" w:rsidRPr="00647D01">
        <w:rPr>
          <w:rFonts w:ascii="Times New Roman" w:hAnsi="Times New Roman" w:cs="Times New Roman"/>
          <w:lang w:val="en-US"/>
        </w:rPr>
        <w:softHyphen/>
      </w:r>
      <w:r w:rsidR="00486855" w:rsidRPr="00647D01">
        <w:rPr>
          <w:rFonts w:ascii="Times New Roman" w:hAnsi="Times New Roman" w:cs="Times New Roman"/>
          <w:lang w:val="en-US"/>
        </w:rPr>
        <w:t>mally unmanned production concepts</w:t>
      </w:r>
      <w:r w:rsidR="005A7DEE" w:rsidRPr="00647D01">
        <w:rPr>
          <w:rFonts w:ascii="Times New Roman" w:hAnsi="Times New Roman" w:cs="Times New Roman"/>
          <w:lang w:val="en-US"/>
        </w:rPr>
        <w:t xml:space="preserve"> in the Norwegian sector.</w:t>
      </w:r>
      <w:r w:rsidR="004129D5" w:rsidRPr="00647D01">
        <w:rPr>
          <w:rFonts w:ascii="Times New Roman" w:hAnsi="Times New Roman" w:cs="Times New Roman"/>
          <w:lang w:val="en-US"/>
        </w:rPr>
        <w:t xml:space="preserve"> </w:t>
      </w:r>
      <w:r w:rsidR="00F63225" w:rsidRPr="00647D01">
        <w:rPr>
          <w:rFonts w:ascii="Times New Roman" w:hAnsi="Times New Roman" w:cs="Times New Roman"/>
          <w:lang w:val="en-US"/>
        </w:rPr>
        <w:t xml:space="preserve">The technical requirements are </w:t>
      </w:r>
      <w:r w:rsidR="00C13EAC" w:rsidRPr="00647D01">
        <w:rPr>
          <w:rFonts w:ascii="Times New Roman" w:hAnsi="Times New Roman" w:cs="Times New Roman"/>
          <w:lang w:val="en-US"/>
        </w:rPr>
        <w:t xml:space="preserve">virtually </w:t>
      </w:r>
      <w:r w:rsidR="00ED2479" w:rsidRPr="00647D01">
        <w:rPr>
          <w:rFonts w:ascii="Times New Roman" w:hAnsi="Times New Roman" w:cs="Times New Roman"/>
          <w:lang w:val="en-US"/>
        </w:rPr>
        <w:t>non-e</w:t>
      </w:r>
      <w:r w:rsidR="00C84C3D" w:rsidRPr="00647D01">
        <w:rPr>
          <w:rFonts w:ascii="Times New Roman" w:hAnsi="Times New Roman" w:cs="Times New Roman"/>
          <w:lang w:val="en-US"/>
        </w:rPr>
        <w:t>xist</w:t>
      </w:r>
      <w:r w:rsidR="00C47D03" w:rsidRPr="00647D01">
        <w:rPr>
          <w:rFonts w:ascii="Times New Roman" w:hAnsi="Times New Roman" w:cs="Times New Roman"/>
          <w:lang w:val="en-US"/>
        </w:rPr>
        <w:t>e</w:t>
      </w:r>
      <w:r w:rsidR="00C84C3D" w:rsidRPr="00647D01">
        <w:rPr>
          <w:rFonts w:ascii="Times New Roman" w:hAnsi="Times New Roman" w:cs="Times New Roman"/>
          <w:lang w:val="en-US"/>
        </w:rPr>
        <w:t xml:space="preserve">nt, </w:t>
      </w:r>
      <w:r w:rsidR="00C47D03" w:rsidRPr="00647D01">
        <w:rPr>
          <w:rFonts w:ascii="Times New Roman" w:hAnsi="Times New Roman" w:cs="Times New Roman"/>
          <w:lang w:val="en-US"/>
        </w:rPr>
        <w:t>or at least so vague that the industry can take no directions from them.</w:t>
      </w:r>
    </w:p>
    <w:p w14:paraId="79600616" w14:textId="77777777" w:rsidR="00AF19BB" w:rsidRDefault="00AF19BB" w:rsidP="00B4738B">
      <w:pPr>
        <w:spacing w:after="0" w:line="220" w:lineRule="atLeast"/>
        <w:ind w:firstLine="227"/>
        <w:jc w:val="both"/>
        <w:rPr>
          <w:rFonts w:ascii="Times New Roman" w:hAnsi="Times New Roman" w:cs="Times New Roman"/>
        </w:rPr>
      </w:pPr>
    </w:p>
    <w:p w14:paraId="393BF196" w14:textId="65D68DF5" w:rsidR="00A42D94" w:rsidRPr="00647D01" w:rsidRDefault="00975CE6" w:rsidP="00B4738B">
      <w:pPr>
        <w:spacing w:after="0" w:line="220" w:lineRule="atLeast"/>
        <w:ind w:firstLine="227"/>
        <w:jc w:val="both"/>
        <w:rPr>
          <w:rFonts w:ascii="Times New Roman" w:hAnsi="Times New Roman" w:cs="Times New Roman"/>
        </w:rPr>
      </w:pPr>
      <w:r w:rsidRPr="00647D01">
        <w:rPr>
          <w:rFonts w:ascii="Times New Roman" w:hAnsi="Times New Roman" w:cs="Times New Roman"/>
        </w:rPr>
        <w:t xml:space="preserve">The </w:t>
      </w:r>
      <w:r w:rsidR="0079692A">
        <w:rPr>
          <w:rFonts w:ascii="Times New Roman" w:hAnsi="Times New Roman" w:cs="Times New Roman"/>
        </w:rPr>
        <w:t xml:space="preserve">natural </w:t>
      </w:r>
      <w:r w:rsidR="005C2A94" w:rsidRPr="00647D01">
        <w:rPr>
          <w:rFonts w:ascii="Times New Roman" w:hAnsi="Times New Roman" w:cs="Times New Roman"/>
        </w:rPr>
        <w:t>risk management process could</w:t>
      </w:r>
      <w:r w:rsidR="00AF2CDA">
        <w:rPr>
          <w:rFonts w:ascii="Times New Roman" w:hAnsi="Times New Roman" w:cs="Times New Roman"/>
        </w:rPr>
        <w:t>,</w:t>
      </w:r>
      <w:r w:rsidR="005C2A94" w:rsidRPr="00647D01">
        <w:rPr>
          <w:rFonts w:ascii="Times New Roman" w:hAnsi="Times New Roman" w:cs="Times New Roman"/>
        </w:rPr>
        <w:t xml:space="preserve"> </w:t>
      </w:r>
      <w:r w:rsidR="00F8582B" w:rsidRPr="00647D01">
        <w:rPr>
          <w:rFonts w:ascii="Times New Roman" w:hAnsi="Times New Roman" w:cs="Times New Roman"/>
        </w:rPr>
        <w:t>to some extent</w:t>
      </w:r>
      <w:r w:rsidR="00DE7BF3">
        <w:rPr>
          <w:rFonts w:ascii="Times New Roman" w:hAnsi="Times New Roman" w:cs="Times New Roman"/>
        </w:rPr>
        <w:t>,</w:t>
      </w:r>
      <w:r w:rsidR="00F8582B" w:rsidRPr="00647D01">
        <w:rPr>
          <w:rFonts w:ascii="Times New Roman" w:hAnsi="Times New Roman" w:cs="Times New Roman"/>
        </w:rPr>
        <w:t xml:space="preserve"> </w:t>
      </w:r>
      <w:r w:rsidR="00370157">
        <w:rPr>
          <w:rFonts w:ascii="Times New Roman" w:hAnsi="Times New Roman" w:cs="Times New Roman"/>
        </w:rPr>
        <w:t>according to Norwegian regu</w:t>
      </w:r>
      <w:r w:rsidR="0043265F">
        <w:rPr>
          <w:rFonts w:ascii="Times New Roman" w:hAnsi="Times New Roman" w:cs="Times New Roman"/>
        </w:rPr>
        <w:softHyphen/>
      </w:r>
      <w:r w:rsidR="00370157">
        <w:rPr>
          <w:rFonts w:ascii="Times New Roman" w:hAnsi="Times New Roman" w:cs="Times New Roman"/>
        </w:rPr>
        <w:t>latory principles</w:t>
      </w:r>
      <w:r w:rsidR="00DE7BF3">
        <w:rPr>
          <w:rFonts w:ascii="Times New Roman" w:hAnsi="Times New Roman" w:cs="Times New Roman"/>
        </w:rPr>
        <w:t>,</w:t>
      </w:r>
      <w:r w:rsidR="00370157">
        <w:rPr>
          <w:rFonts w:ascii="Times New Roman" w:hAnsi="Times New Roman" w:cs="Times New Roman"/>
        </w:rPr>
        <w:t xml:space="preserve"> </w:t>
      </w:r>
      <w:r w:rsidR="002F28E7" w:rsidRPr="00647D01">
        <w:rPr>
          <w:rFonts w:ascii="Times New Roman" w:hAnsi="Times New Roman" w:cs="Times New Roman"/>
        </w:rPr>
        <w:t xml:space="preserve">replace concrete technical requirements </w:t>
      </w:r>
      <w:r w:rsidR="00EE3A2F" w:rsidRPr="00647D01">
        <w:rPr>
          <w:rFonts w:ascii="Times New Roman" w:hAnsi="Times New Roman" w:cs="Times New Roman"/>
        </w:rPr>
        <w:t xml:space="preserve">by </w:t>
      </w:r>
      <w:r w:rsidR="006C0F8F" w:rsidRPr="00647D01">
        <w:rPr>
          <w:rFonts w:ascii="Times New Roman" w:hAnsi="Times New Roman" w:cs="Times New Roman"/>
        </w:rPr>
        <w:t xml:space="preserve">solutions developed through a </w:t>
      </w:r>
      <w:r w:rsidR="00B6557D" w:rsidRPr="00647D01">
        <w:rPr>
          <w:rFonts w:ascii="Times New Roman" w:hAnsi="Times New Roman" w:cs="Times New Roman"/>
        </w:rPr>
        <w:t xml:space="preserve">risk management process, which </w:t>
      </w:r>
      <w:r w:rsidR="00DE7BF3">
        <w:rPr>
          <w:rFonts w:ascii="Times New Roman" w:hAnsi="Times New Roman" w:cs="Times New Roman"/>
        </w:rPr>
        <w:t xml:space="preserve">would </w:t>
      </w:r>
      <w:r w:rsidR="00B6557D" w:rsidRPr="00647D01">
        <w:rPr>
          <w:rFonts w:ascii="Times New Roman" w:hAnsi="Times New Roman" w:cs="Times New Roman"/>
        </w:rPr>
        <w:t xml:space="preserve">actually be in accordance with </w:t>
      </w:r>
      <w:r w:rsidR="00CC7529">
        <w:rPr>
          <w:rFonts w:ascii="Times New Roman" w:hAnsi="Times New Roman" w:cs="Times New Roman"/>
        </w:rPr>
        <w:t>normal practice</w:t>
      </w:r>
      <w:r w:rsidR="005549FA" w:rsidRPr="00647D01">
        <w:rPr>
          <w:rFonts w:ascii="Times New Roman" w:hAnsi="Times New Roman" w:cs="Times New Roman"/>
        </w:rPr>
        <w:t xml:space="preserve">. </w:t>
      </w:r>
    </w:p>
    <w:p w14:paraId="0639E48E" w14:textId="77777777" w:rsidR="00AF19BB" w:rsidRDefault="00AF19BB" w:rsidP="00B4738B">
      <w:pPr>
        <w:spacing w:after="0" w:line="220" w:lineRule="atLeast"/>
        <w:ind w:firstLine="227"/>
        <w:jc w:val="both"/>
        <w:rPr>
          <w:rFonts w:ascii="Times New Roman" w:hAnsi="Times New Roman" w:cs="Times New Roman"/>
        </w:rPr>
      </w:pPr>
    </w:p>
    <w:p w14:paraId="7A4AFBFA" w14:textId="2E14B31A" w:rsidR="000C4971" w:rsidRPr="00647D01" w:rsidRDefault="00352480" w:rsidP="00B4738B">
      <w:pPr>
        <w:spacing w:after="0" w:line="220" w:lineRule="atLeast"/>
        <w:ind w:firstLine="227"/>
        <w:jc w:val="both"/>
        <w:rPr>
          <w:rFonts w:ascii="Times New Roman" w:hAnsi="Times New Roman" w:cs="Times New Roman"/>
        </w:rPr>
      </w:pPr>
      <w:r w:rsidRPr="00647D01">
        <w:rPr>
          <w:rFonts w:ascii="Times New Roman" w:hAnsi="Times New Roman" w:cs="Times New Roman"/>
        </w:rPr>
        <w:t xml:space="preserve">But </w:t>
      </w:r>
      <w:r w:rsidR="00DE7BF3">
        <w:rPr>
          <w:rFonts w:ascii="Times New Roman" w:hAnsi="Times New Roman" w:cs="Times New Roman"/>
        </w:rPr>
        <w:t xml:space="preserve">the </w:t>
      </w:r>
      <w:r w:rsidRPr="00647D01">
        <w:rPr>
          <w:rFonts w:ascii="Times New Roman" w:hAnsi="Times New Roman" w:cs="Times New Roman"/>
        </w:rPr>
        <w:t xml:space="preserve">PSA has </w:t>
      </w:r>
      <w:r w:rsidR="00DE7BF3">
        <w:rPr>
          <w:rFonts w:ascii="Times New Roman" w:hAnsi="Times New Roman" w:cs="Times New Roman"/>
        </w:rPr>
        <w:t xml:space="preserve">for virtually 20 years </w:t>
      </w:r>
      <w:r w:rsidRPr="00647D01">
        <w:rPr>
          <w:rFonts w:ascii="Times New Roman" w:hAnsi="Times New Roman" w:cs="Times New Roman"/>
        </w:rPr>
        <w:t xml:space="preserve">allowed </w:t>
      </w:r>
      <w:r w:rsidR="00C74BBE" w:rsidRPr="00647D01">
        <w:rPr>
          <w:rFonts w:ascii="Times New Roman" w:hAnsi="Times New Roman" w:cs="Times New Roman"/>
        </w:rPr>
        <w:t xml:space="preserve">the industry </w:t>
      </w:r>
      <w:r w:rsidR="00FB7DBF" w:rsidRPr="00647D01">
        <w:rPr>
          <w:rFonts w:ascii="Times New Roman" w:hAnsi="Times New Roman" w:cs="Times New Roman"/>
        </w:rPr>
        <w:t xml:space="preserve">to apply RTC which </w:t>
      </w:r>
      <w:r w:rsidR="00B77455" w:rsidRPr="00647D01">
        <w:rPr>
          <w:rFonts w:ascii="Times New Roman" w:hAnsi="Times New Roman" w:cs="Times New Roman"/>
        </w:rPr>
        <w:t>ca</w:t>
      </w:r>
      <w:r w:rsidR="000F5937" w:rsidRPr="00647D01">
        <w:rPr>
          <w:rFonts w:ascii="Times New Roman" w:hAnsi="Times New Roman" w:cs="Times New Roman"/>
        </w:rPr>
        <w:t>n</w:t>
      </w:r>
      <w:r w:rsidR="00B77455" w:rsidRPr="00647D01">
        <w:rPr>
          <w:rFonts w:ascii="Times New Roman" w:hAnsi="Times New Roman" w:cs="Times New Roman"/>
        </w:rPr>
        <w:t xml:space="preserve"> only be characterised as </w:t>
      </w:r>
      <w:r w:rsidR="00A74478" w:rsidRPr="00647D01">
        <w:rPr>
          <w:rFonts w:ascii="Times New Roman" w:hAnsi="Times New Roman" w:cs="Times New Roman"/>
        </w:rPr>
        <w:t xml:space="preserve">meaningless, because they have been allowed to remain at a level which </w:t>
      </w:r>
      <w:r w:rsidR="00C82E38" w:rsidRPr="00647D01">
        <w:rPr>
          <w:rFonts w:ascii="Times New Roman" w:hAnsi="Times New Roman" w:cs="Times New Roman"/>
        </w:rPr>
        <w:t>had some meaning more than 20 years ago</w:t>
      </w:r>
      <w:r w:rsidR="005A5ECE" w:rsidRPr="00647D01">
        <w:rPr>
          <w:rFonts w:ascii="Times New Roman" w:hAnsi="Times New Roman" w:cs="Times New Roman"/>
        </w:rPr>
        <w:t xml:space="preserve">, but which do not have any </w:t>
      </w:r>
      <w:r w:rsidR="00C70A11" w:rsidRPr="00647D01">
        <w:rPr>
          <w:rFonts w:ascii="Times New Roman" w:hAnsi="Times New Roman" w:cs="Times New Roman"/>
        </w:rPr>
        <w:t xml:space="preserve">real meaning at present, because they are </w:t>
      </w:r>
      <w:r w:rsidR="00657FF3">
        <w:rPr>
          <w:rFonts w:ascii="Times New Roman" w:hAnsi="Times New Roman" w:cs="Times New Roman"/>
        </w:rPr>
        <w:t xml:space="preserve">still </w:t>
      </w:r>
      <w:r w:rsidR="00C70A11" w:rsidRPr="00647D01">
        <w:rPr>
          <w:rFonts w:ascii="Times New Roman" w:hAnsi="Times New Roman" w:cs="Times New Roman"/>
        </w:rPr>
        <w:t xml:space="preserve">at a level where even the </w:t>
      </w:r>
      <w:r w:rsidR="00781442">
        <w:rPr>
          <w:rFonts w:ascii="Times New Roman" w:hAnsi="Times New Roman" w:cs="Times New Roman"/>
        </w:rPr>
        <w:t xml:space="preserve">most hazardous </w:t>
      </w:r>
      <w:r w:rsidR="00735AC0" w:rsidRPr="00647D01">
        <w:rPr>
          <w:rFonts w:ascii="Times New Roman" w:hAnsi="Times New Roman" w:cs="Times New Roman"/>
        </w:rPr>
        <w:t xml:space="preserve">worldwide </w:t>
      </w:r>
      <w:r w:rsidR="004F635A" w:rsidRPr="00647D01">
        <w:rPr>
          <w:rFonts w:ascii="Times New Roman" w:hAnsi="Times New Roman" w:cs="Times New Roman"/>
        </w:rPr>
        <w:t>conditions are significantly below</w:t>
      </w:r>
      <w:r w:rsidR="00DE7BF3">
        <w:rPr>
          <w:rFonts w:ascii="Times New Roman" w:hAnsi="Times New Roman" w:cs="Times New Roman"/>
        </w:rPr>
        <w:t xml:space="preserve"> them</w:t>
      </w:r>
      <w:r w:rsidR="004F635A" w:rsidRPr="00647D01">
        <w:rPr>
          <w:rFonts w:ascii="Times New Roman" w:hAnsi="Times New Roman" w:cs="Times New Roman"/>
        </w:rPr>
        <w:t>.</w:t>
      </w:r>
      <w:r w:rsidR="00BB3920" w:rsidRPr="00647D01">
        <w:rPr>
          <w:rFonts w:ascii="Times New Roman" w:hAnsi="Times New Roman" w:cs="Times New Roman"/>
        </w:rPr>
        <w:t xml:space="preserve"> This was discussed in Section </w:t>
      </w:r>
      <w:r w:rsidR="00700492" w:rsidRPr="00647D01">
        <w:rPr>
          <w:rFonts w:ascii="Times New Roman" w:hAnsi="Times New Roman" w:cs="Times New Roman"/>
        </w:rPr>
        <w:t>3.2 above.</w:t>
      </w:r>
    </w:p>
    <w:p w14:paraId="3F1DE2BA" w14:textId="77777777" w:rsidR="00AF19BB" w:rsidRDefault="00AF19BB" w:rsidP="00B4738B">
      <w:pPr>
        <w:spacing w:after="0" w:line="220" w:lineRule="atLeast"/>
        <w:ind w:firstLine="227"/>
        <w:jc w:val="both"/>
        <w:rPr>
          <w:rFonts w:ascii="Times New Roman" w:hAnsi="Times New Roman" w:cs="Times New Roman"/>
        </w:rPr>
      </w:pPr>
    </w:p>
    <w:p w14:paraId="3390D0E7" w14:textId="5AF1A6A9" w:rsidR="00307180" w:rsidRPr="00647D01" w:rsidRDefault="00AF2CDA" w:rsidP="00B4738B">
      <w:pPr>
        <w:spacing w:after="0" w:line="220" w:lineRule="atLeast"/>
        <w:ind w:firstLine="227"/>
        <w:jc w:val="both"/>
        <w:rPr>
          <w:rFonts w:ascii="Times New Roman" w:hAnsi="Times New Roman" w:cs="Times New Roman"/>
        </w:rPr>
      </w:pPr>
      <w:r>
        <w:rPr>
          <w:rFonts w:ascii="Times New Roman" w:hAnsi="Times New Roman" w:cs="Times New Roman"/>
        </w:rPr>
        <w:t xml:space="preserve">The </w:t>
      </w:r>
      <w:r w:rsidR="00BC3158" w:rsidRPr="00647D01">
        <w:rPr>
          <w:rFonts w:ascii="Times New Roman" w:hAnsi="Times New Roman" w:cs="Times New Roman"/>
        </w:rPr>
        <w:t xml:space="preserve">PSA has not addressed how </w:t>
      </w:r>
      <w:r>
        <w:rPr>
          <w:rFonts w:ascii="Times New Roman" w:hAnsi="Times New Roman" w:cs="Times New Roman"/>
        </w:rPr>
        <w:t>it</w:t>
      </w:r>
      <w:r w:rsidR="00BC3158" w:rsidRPr="00647D01">
        <w:rPr>
          <w:rFonts w:ascii="Times New Roman" w:hAnsi="Times New Roman" w:cs="Times New Roman"/>
        </w:rPr>
        <w:t xml:space="preserve"> foresee</w:t>
      </w:r>
      <w:r>
        <w:rPr>
          <w:rFonts w:ascii="Times New Roman" w:hAnsi="Times New Roman" w:cs="Times New Roman"/>
        </w:rPr>
        <w:t>s</w:t>
      </w:r>
      <w:r w:rsidR="00BC3158" w:rsidRPr="00647D01">
        <w:rPr>
          <w:rFonts w:ascii="Times New Roman" w:hAnsi="Times New Roman" w:cs="Times New Roman"/>
        </w:rPr>
        <w:t xml:space="preserve"> RTC</w:t>
      </w:r>
      <w:r w:rsidR="00181BD3" w:rsidRPr="00647D01">
        <w:rPr>
          <w:rFonts w:ascii="Times New Roman" w:hAnsi="Times New Roman" w:cs="Times New Roman"/>
        </w:rPr>
        <w:t xml:space="preserve"> for unmanned installations</w:t>
      </w:r>
      <w:r w:rsidR="000F117B" w:rsidRPr="00647D01">
        <w:rPr>
          <w:rFonts w:ascii="Times New Roman" w:hAnsi="Times New Roman" w:cs="Times New Roman"/>
        </w:rPr>
        <w:t xml:space="preserve"> to be </w:t>
      </w:r>
      <w:r w:rsidR="0022518F">
        <w:rPr>
          <w:rFonts w:ascii="Times New Roman" w:hAnsi="Times New Roman" w:cs="Times New Roman"/>
        </w:rPr>
        <w:t>formul</w:t>
      </w:r>
      <w:r w:rsidR="00DE7BF3">
        <w:rPr>
          <w:rFonts w:ascii="Times New Roman" w:hAnsi="Times New Roman" w:cs="Times New Roman"/>
        </w:rPr>
        <w:t>at</w:t>
      </w:r>
      <w:r w:rsidR="0022518F">
        <w:rPr>
          <w:rFonts w:ascii="Times New Roman" w:hAnsi="Times New Roman" w:cs="Times New Roman"/>
        </w:rPr>
        <w:t xml:space="preserve">ed and </w:t>
      </w:r>
      <w:r w:rsidR="000F117B" w:rsidRPr="00647D01">
        <w:rPr>
          <w:rFonts w:ascii="Times New Roman" w:hAnsi="Times New Roman" w:cs="Times New Roman"/>
        </w:rPr>
        <w:t xml:space="preserve">used, in view of the </w:t>
      </w:r>
      <w:r w:rsidR="006E209F" w:rsidRPr="00647D01">
        <w:rPr>
          <w:rFonts w:ascii="Times New Roman" w:hAnsi="Times New Roman" w:cs="Times New Roman"/>
        </w:rPr>
        <w:t xml:space="preserve">special </w:t>
      </w:r>
      <w:r w:rsidR="00876BDB" w:rsidRPr="00647D01">
        <w:rPr>
          <w:rFonts w:ascii="Times New Roman" w:hAnsi="Times New Roman" w:cs="Times New Roman"/>
        </w:rPr>
        <w:t xml:space="preserve">circumstances </w:t>
      </w:r>
      <w:r w:rsidR="00A043F3" w:rsidRPr="00647D01">
        <w:rPr>
          <w:rFonts w:ascii="Times New Roman" w:hAnsi="Times New Roman" w:cs="Times New Roman"/>
        </w:rPr>
        <w:t>for unmanned installations</w:t>
      </w:r>
      <w:r w:rsidR="000E358A">
        <w:rPr>
          <w:rFonts w:ascii="Times New Roman" w:hAnsi="Times New Roman" w:cs="Times New Roman"/>
        </w:rPr>
        <w:t>.</w:t>
      </w:r>
      <w:r w:rsidR="00833023">
        <w:rPr>
          <w:rFonts w:ascii="Times New Roman" w:hAnsi="Times New Roman" w:cs="Times New Roman"/>
        </w:rPr>
        <w:t xml:space="preserve"> There is no</w:t>
      </w:r>
      <w:r w:rsidR="00A043F3" w:rsidRPr="00647D01">
        <w:rPr>
          <w:rFonts w:ascii="Times New Roman" w:hAnsi="Times New Roman" w:cs="Times New Roman"/>
        </w:rPr>
        <w:t xml:space="preserve"> </w:t>
      </w:r>
      <w:r w:rsidR="001E3950">
        <w:rPr>
          <w:rFonts w:ascii="Times New Roman" w:hAnsi="Times New Roman" w:cs="Times New Roman"/>
        </w:rPr>
        <w:t xml:space="preserve">input </w:t>
      </w:r>
      <w:r w:rsidR="00F55507">
        <w:rPr>
          <w:rFonts w:ascii="Times New Roman" w:hAnsi="Times New Roman" w:cs="Times New Roman"/>
        </w:rPr>
        <w:t xml:space="preserve">on the </w:t>
      </w:r>
      <w:r w:rsidR="00A043F3" w:rsidRPr="00647D01">
        <w:rPr>
          <w:rFonts w:ascii="Times New Roman" w:hAnsi="Times New Roman" w:cs="Times New Roman"/>
        </w:rPr>
        <w:t>reflect</w:t>
      </w:r>
      <w:r w:rsidR="00F55507">
        <w:rPr>
          <w:rFonts w:ascii="Times New Roman" w:hAnsi="Times New Roman" w:cs="Times New Roman"/>
        </w:rPr>
        <w:t>ion</w:t>
      </w:r>
      <w:r w:rsidR="00A043F3" w:rsidRPr="00647D01">
        <w:rPr>
          <w:rFonts w:ascii="Times New Roman" w:hAnsi="Times New Roman" w:cs="Times New Roman"/>
        </w:rPr>
        <w:t xml:space="preserve"> that </w:t>
      </w:r>
      <w:r w:rsidR="00616A25" w:rsidRPr="00647D01">
        <w:rPr>
          <w:rFonts w:ascii="Times New Roman" w:hAnsi="Times New Roman" w:cs="Times New Roman"/>
        </w:rPr>
        <w:t xml:space="preserve">generic RTC for offshore installations in the Norwegian sector </w:t>
      </w:r>
      <w:r w:rsidR="00761546">
        <w:rPr>
          <w:rFonts w:ascii="Times New Roman" w:hAnsi="Times New Roman" w:cs="Times New Roman"/>
        </w:rPr>
        <w:t xml:space="preserve">have become </w:t>
      </w:r>
      <w:r w:rsidR="00616A25" w:rsidRPr="00647D01">
        <w:rPr>
          <w:rFonts w:ascii="Times New Roman" w:hAnsi="Times New Roman" w:cs="Times New Roman"/>
        </w:rPr>
        <w:t>completely outdated</w:t>
      </w:r>
      <w:r w:rsidR="00307180" w:rsidRPr="00647D01">
        <w:rPr>
          <w:rFonts w:ascii="Times New Roman" w:hAnsi="Times New Roman" w:cs="Times New Roman"/>
        </w:rPr>
        <w:t xml:space="preserve"> as argued in this paper.</w:t>
      </w:r>
    </w:p>
    <w:p w14:paraId="7024ABAA" w14:textId="6B27C72E" w:rsidR="004B021E" w:rsidRPr="00647D01" w:rsidRDefault="002C36CC" w:rsidP="00B4738B">
      <w:pPr>
        <w:spacing w:before="230" w:after="100" w:line="220" w:lineRule="atLeast"/>
        <w:ind w:left="227" w:hanging="227"/>
        <w:rPr>
          <w:rFonts w:ascii="Times New Roman" w:hAnsi="Times New Roman" w:cs="Times New Roman"/>
          <w:i/>
        </w:rPr>
      </w:pPr>
      <w:r>
        <w:rPr>
          <w:rFonts w:ascii="Times New Roman" w:hAnsi="Times New Roman" w:cs="Times New Roman"/>
          <w:i/>
        </w:rPr>
        <w:t>6</w:t>
      </w:r>
      <w:r w:rsidR="00950288" w:rsidRPr="00647D01">
        <w:rPr>
          <w:rFonts w:ascii="Times New Roman" w:hAnsi="Times New Roman" w:cs="Times New Roman"/>
          <w:i/>
        </w:rPr>
        <w:t>.</w:t>
      </w:r>
      <w:r w:rsidR="009B0977">
        <w:rPr>
          <w:rFonts w:ascii="Times New Roman" w:hAnsi="Times New Roman" w:cs="Times New Roman"/>
          <w:i/>
        </w:rPr>
        <w:t>4</w:t>
      </w:r>
      <w:r w:rsidR="00950288" w:rsidRPr="00647D01">
        <w:rPr>
          <w:rFonts w:ascii="Times New Roman" w:hAnsi="Times New Roman" w:cs="Times New Roman"/>
          <w:i/>
        </w:rPr>
        <w:t xml:space="preserve"> </w:t>
      </w:r>
      <w:r w:rsidR="00B46233" w:rsidRPr="00647D01">
        <w:rPr>
          <w:rFonts w:ascii="Times New Roman" w:hAnsi="Times New Roman" w:cs="Times New Roman"/>
          <w:i/>
        </w:rPr>
        <w:t>Responsibility for RTC for UPP</w:t>
      </w:r>
    </w:p>
    <w:p w14:paraId="5997F37E" w14:textId="2D0E9C8F" w:rsidR="00B46233" w:rsidRPr="00647D01" w:rsidRDefault="00BE567D" w:rsidP="00201686">
      <w:pPr>
        <w:spacing w:after="0" w:line="220" w:lineRule="atLeast"/>
        <w:jc w:val="both"/>
        <w:rPr>
          <w:rFonts w:ascii="Times New Roman" w:hAnsi="Times New Roman" w:cs="Times New Roman"/>
          <w:lang w:val="en-US"/>
        </w:rPr>
      </w:pPr>
      <w:r w:rsidRPr="00647D01">
        <w:rPr>
          <w:rFonts w:ascii="Times New Roman" w:hAnsi="Times New Roman" w:cs="Times New Roman"/>
          <w:lang w:val="en-US"/>
        </w:rPr>
        <w:t xml:space="preserve">It is clear that </w:t>
      </w:r>
      <w:r w:rsidR="006404A4" w:rsidRPr="00647D01">
        <w:rPr>
          <w:rFonts w:ascii="Times New Roman" w:hAnsi="Times New Roman" w:cs="Times New Roman"/>
          <w:lang w:val="en-US"/>
        </w:rPr>
        <w:t xml:space="preserve">operators and owners of offshore installations have the responsibility </w:t>
      </w:r>
      <w:r w:rsidR="00E56CED" w:rsidRPr="00647D01">
        <w:rPr>
          <w:rFonts w:ascii="Times New Roman" w:hAnsi="Times New Roman" w:cs="Times New Roman"/>
          <w:lang w:val="en-US"/>
        </w:rPr>
        <w:t xml:space="preserve">for </w:t>
      </w:r>
      <w:r w:rsidR="00DE7BF3">
        <w:rPr>
          <w:rFonts w:ascii="Times New Roman" w:hAnsi="Times New Roman" w:cs="Times New Roman"/>
          <w:lang w:val="en-US"/>
        </w:rPr>
        <w:t xml:space="preserve">the </w:t>
      </w:r>
      <w:r w:rsidR="00E56CED" w:rsidRPr="00647D01">
        <w:rPr>
          <w:rFonts w:ascii="Times New Roman" w:hAnsi="Times New Roman" w:cs="Times New Roman"/>
          <w:lang w:val="en-US"/>
        </w:rPr>
        <w:t>deve</w:t>
      </w:r>
      <w:r w:rsidR="004E4E2C">
        <w:rPr>
          <w:rFonts w:ascii="Times New Roman" w:hAnsi="Times New Roman" w:cs="Times New Roman"/>
          <w:lang w:val="en-US"/>
        </w:rPr>
        <w:softHyphen/>
      </w:r>
      <w:r w:rsidR="00E56CED" w:rsidRPr="00647D01">
        <w:rPr>
          <w:rFonts w:ascii="Times New Roman" w:hAnsi="Times New Roman" w:cs="Times New Roman"/>
          <w:lang w:val="en-US"/>
        </w:rPr>
        <w:t>lop</w:t>
      </w:r>
      <w:r w:rsidR="00916AC1" w:rsidRPr="00647D01">
        <w:rPr>
          <w:rFonts w:ascii="Times New Roman" w:hAnsi="Times New Roman" w:cs="Times New Roman"/>
          <w:lang w:val="en-US"/>
        </w:rPr>
        <w:t>ment</w:t>
      </w:r>
      <w:r w:rsidR="00C944F1" w:rsidRPr="00647D01">
        <w:rPr>
          <w:rFonts w:ascii="Times New Roman" w:hAnsi="Times New Roman" w:cs="Times New Roman"/>
          <w:lang w:val="en-US"/>
        </w:rPr>
        <w:t xml:space="preserve"> of RTC for offshore petroleum installations</w:t>
      </w:r>
      <w:r w:rsidR="00EC24EE">
        <w:rPr>
          <w:rFonts w:ascii="Times New Roman" w:hAnsi="Times New Roman" w:cs="Times New Roman"/>
          <w:lang w:val="en-US"/>
        </w:rPr>
        <w:t xml:space="preserve"> and </w:t>
      </w:r>
      <w:r w:rsidR="00EE1514">
        <w:rPr>
          <w:rFonts w:ascii="Times New Roman" w:hAnsi="Times New Roman" w:cs="Times New Roman"/>
          <w:lang w:val="en-US"/>
        </w:rPr>
        <w:t>the responsibility</w:t>
      </w:r>
      <w:r w:rsidR="00E16E7B">
        <w:rPr>
          <w:rFonts w:ascii="Times New Roman" w:hAnsi="Times New Roman" w:cs="Times New Roman"/>
          <w:lang w:val="en-US"/>
        </w:rPr>
        <w:t xml:space="preserve"> for </w:t>
      </w:r>
      <w:r w:rsidR="00DE7BF3">
        <w:rPr>
          <w:rFonts w:ascii="Times New Roman" w:hAnsi="Times New Roman" w:cs="Times New Roman"/>
          <w:lang w:val="en-US"/>
        </w:rPr>
        <w:t xml:space="preserve">the </w:t>
      </w:r>
      <w:r w:rsidR="00E16E7B">
        <w:rPr>
          <w:rFonts w:ascii="Times New Roman" w:hAnsi="Times New Roman" w:cs="Times New Roman"/>
          <w:lang w:val="en-US"/>
        </w:rPr>
        <w:t xml:space="preserve">implementation of </w:t>
      </w:r>
      <w:r w:rsidR="00201686">
        <w:rPr>
          <w:rFonts w:ascii="Times New Roman" w:hAnsi="Times New Roman" w:cs="Times New Roman"/>
          <w:lang w:val="en-US"/>
        </w:rPr>
        <w:t>continuous improvement</w:t>
      </w:r>
      <w:r w:rsidR="00C944F1" w:rsidRPr="00647D01">
        <w:rPr>
          <w:rFonts w:ascii="Times New Roman" w:hAnsi="Times New Roman" w:cs="Times New Roman"/>
          <w:lang w:val="en-US"/>
        </w:rPr>
        <w:t>.</w:t>
      </w:r>
      <w:r w:rsidR="001D0D25" w:rsidRPr="00647D01">
        <w:rPr>
          <w:rFonts w:ascii="Times New Roman" w:hAnsi="Times New Roman" w:cs="Times New Roman"/>
          <w:lang w:val="en-US"/>
        </w:rPr>
        <w:t xml:space="preserve"> </w:t>
      </w:r>
      <w:r w:rsidR="00E16F58" w:rsidRPr="00647D01">
        <w:rPr>
          <w:rFonts w:ascii="Times New Roman" w:hAnsi="Times New Roman" w:cs="Times New Roman"/>
          <w:lang w:val="en-US"/>
        </w:rPr>
        <w:t xml:space="preserve">It is equally clear that the Petroleum Safety Authority has the responsibility to </w:t>
      </w:r>
      <w:r w:rsidR="00B26CD1" w:rsidRPr="00647D01">
        <w:rPr>
          <w:rFonts w:ascii="Times New Roman" w:hAnsi="Times New Roman" w:cs="Times New Roman"/>
          <w:lang w:val="en-US"/>
        </w:rPr>
        <w:t>supervise the work by the operators and owners.</w:t>
      </w:r>
      <w:r w:rsidR="00201686">
        <w:rPr>
          <w:rFonts w:ascii="Times New Roman" w:hAnsi="Times New Roman" w:cs="Times New Roman"/>
          <w:lang w:val="en-US"/>
        </w:rPr>
        <w:t xml:space="preserve"> </w:t>
      </w:r>
      <w:r w:rsidR="00D75E28" w:rsidRPr="00647D01">
        <w:rPr>
          <w:rFonts w:ascii="Times New Roman" w:hAnsi="Times New Roman" w:cs="Times New Roman"/>
          <w:lang w:val="en-US"/>
        </w:rPr>
        <w:t xml:space="preserve">Thus it is clear </w:t>
      </w:r>
      <w:r w:rsidR="008A525A" w:rsidRPr="00647D01">
        <w:rPr>
          <w:rFonts w:ascii="Times New Roman" w:hAnsi="Times New Roman" w:cs="Times New Roman"/>
          <w:lang w:val="en-US"/>
        </w:rPr>
        <w:t xml:space="preserve">that the </w:t>
      </w:r>
      <w:r w:rsidR="00B0109E" w:rsidRPr="00647D01">
        <w:rPr>
          <w:rFonts w:ascii="Times New Roman" w:hAnsi="Times New Roman" w:cs="Times New Roman"/>
          <w:lang w:val="en-US"/>
        </w:rPr>
        <w:t xml:space="preserve">operators and owners as well as the </w:t>
      </w:r>
      <w:r w:rsidR="00201686">
        <w:rPr>
          <w:rFonts w:ascii="Times New Roman" w:hAnsi="Times New Roman" w:cs="Times New Roman"/>
          <w:lang w:val="en-US"/>
        </w:rPr>
        <w:t>authorities (</w:t>
      </w:r>
      <w:r w:rsidR="00B0109E" w:rsidRPr="00647D01">
        <w:rPr>
          <w:rFonts w:ascii="Times New Roman" w:hAnsi="Times New Roman" w:cs="Times New Roman"/>
          <w:lang w:val="en-US"/>
        </w:rPr>
        <w:t>PSA</w:t>
      </w:r>
      <w:r w:rsidR="00201686">
        <w:rPr>
          <w:rFonts w:ascii="Times New Roman" w:hAnsi="Times New Roman" w:cs="Times New Roman"/>
          <w:lang w:val="en-US"/>
        </w:rPr>
        <w:t xml:space="preserve"> mainly)</w:t>
      </w:r>
      <w:r w:rsidR="00B0109E" w:rsidRPr="00647D01">
        <w:rPr>
          <w:rFonts w:ascii="Times New Roman" w:hAnsi="Times New Roman" w:cs="Times New Roman"/>
          <w:lang w:val="en-US"/>
        </w:rPr>
        <w:t xml:space="preserve"> </w:t>
      </w:r>
      <w:r w:rsidR="005D6606" w:rsidRPr="00647D01">
        <w:rPr>
          <w:rFonts w:ascii="Times New Roman" w:hAnsi="Times New Roman" w:cs="Times New Roman"/>
          <w:lang w:val="en-US"/>
        </w:rPr>
        <w:t xml:space="preserve">have not complied with their obligations </w:t>
      </w:r>
      <w:r w:rsidR="00031445" w:rsidRPr="00647D01">
        <w:rPr>
          <w:rFonts w:ascii="Times New Roman" w:hAnsi="Times New Roman" w:cs="Times New Roman"/>
          <w:lang w:val="en-US"/>
        </w:rPr>
        <w:t>in this case.</w:t>
      </w:r>
    </w:p>
    <w:p w14:paraId="3C8E755A" w14:textId="77777777" w:rsidR="00AF19BB" w:rsidRDefault="00AF19BB" w:rsidP="00B4738B">
      <w:pPr>
        <w:spacing w:after="0" w:line="220" w:lineRule="atLeast"/>
        <w:ind w:firstLine="227"/>
        <w:jc w:val="both"/>
        <w:rPr>
          <w:rFonts w:ascii="Times New Roman" w:hAnsi="Times New Roman" w:cs="Times New Roman"/>
          <w:lang w:val="en-US"/>
        </w:rPr>
      </w:pPr>
    </w:p>
    <w:p w14:paraId="7AE3A176" w14:textId="70112EA3" w:rsidR="009227E2" w:rsidRPr="00647D01" w:rsidRDefault="009227E2" w:rsidP="00B4738B">
      <w:pPr>
        <w:spacing w:after="0" w:line="220" w:lineRule="atLeast"/>
        <w:ind w:firstLine="227"/>
        <w:jc w:val="both"/>
        <w:rPr>
          <w:rFonts w:ascii="Times New Roman" w:hAnsi="Times New Roman" w:cs="Times New Roman"/>
          <w:lang w:val="en-US"/>
        </w:rPr>
      </w:pPr>
      <w:r w:rsidRPr="00647D01">
        <w:rPr>
          <w:rFonts w:ascii="Times New Roman" w:hAnsi="Times New Roman" w:cs="Times New Roman"/>
          <w:lang w:val="en-US"/>
        </w:rPr>
        <w:t xml:space="preserve">Operators and owners have not </w:t>
      </w:r>
      <w:r w:rsidR="002906EE" w:rsidRPr="00647D01">
        <w:rPr>
          <w:rFonts w:ascii="Times New Roman" w:hAnsi="Times New Roman" w:cs="Times New Roman"/>
          <w:lang w:val="en-US"/>
        </w:rPr>
        <w:t xml:space="preserve">developed RTC which are in accordance with </w:t>
      </w:r>
      <w:r w:rsidR="00465904" w:rsidRPr="00647D01">
        <w:rPr>
          <w:rFonts w:ascii="Times New Roman" w:hAnsi="Times New Roman" w:cs="Times New Roman"/>
          <w:lang w:val="en-US"/>
        </w:rPr>
        <w:t>the develop</w:t>
      </w:r>
      <w:r w:rsidR="008E40D5" w:rsidRPr="00647D01">
        <w:rPr>
          <w:rFonts w:ascii="Times New Roman" w:hAnsi="Times New Roman" w:cs="Times New Roman"/>
          <w:lang w:val="en-US"/>
        </w:rPr>
        <w:softHyphen/>
      </w:r>
      <w:r w:rsidR="00465904" w:rsidRPr="00647D01">
        <w:rPr>
          <w:rFonts w:ascii="Times New Roman" w:hAnsi="Times New Roman" w:cs="Times New Roman"/>
          <w:lang w:val="en-US"/>
        </w:rPr>
        <w:t>ment of the operations and their standards</w:t>
      </w:r>
      <w:r w:rsidR="0027757F" w:rsidRPr="00647D01">
        <w:rPr>
          <w:rFonts w:ascii="Times New Roman" w:hAnsi="Times New Roman" w:cs="Times New Roman"/>
          <w:lang w:val="en-US"/>
        </w:rPr>
        <w:t xml:space="preserve"> and have not complied with the obligation to</w:t>
      </w:r>
      <w:r w:rsidR="00DE7BF3">
        <w:rPr>
          <w:rFonts w:ascii="Times New Roman" w:hAnsi="Times New Roman" w:cs="Times New Roman"/>
          <w:lang w:val="en-US"/>
        </w:rPr>
        <w:t xml:space="preserve"> look</w:t>
      </w:r>
      <w:r w:rsidR="0027757F" w:rsidRPr="00647D01">
        <w:rPr>
          <w:rFonts w:ascii="Times New Roman" w:hAnsi="Times New Roman" w:cs="Times New Roman"/>
          <w:lang w:val="en-US"/>
        </w:rPr>
        <w:t xml:space="preserve"> </w:t>
      </w:r>
      <w:r w:rsidR="000666B3" w:rsidRPr="00647D01">
        <w:rPr>
          <w:rFonts w:ascii="Times New Roman" w:hAnsi="Times New Roman" w:cs="Times New Roman"/>
          <w:lang w:val="en-US"/>
        </w:rPr>
        <w:t>for continuous improvement</w:t>
      </w:r>
      <w:r w:rsidR="005D5C21" w:rsidRPr="00647D01">
        <w:rPr>
          <w:rFonts w:ascii="Times New Roman" w:hAnsi="Times New Roman" w:cs="Times New Roman"/>
          <w:lang w:val="en-US"/>
        </w:rPr>
        <w:t xml:space="preserve"> according to </w:t>
      </w:r>
      <w:r w:rsidR="008673B0" w:rsidRPr="00647D01">
        <w:rPr>
          <w:rFonts w:ascii="Times New Roman" w:hAnsi="Times New Roman" w:cs="Times New Roman"/>
          <w:lang w:val="en-US"/>
        </w:rPr>
        <w:t xml:space="preserve">the </w:t>
      </w:r>
      <w:r w:rsidR="00616989" w:rsidRPr="00647D01">
        <w:rPr>
          <w:rFonts w:ascii="Times New Roman" w:hAnsi="Times New Roman" w:cs="Times New Roman"/>
          <w:lang w:val="en-US"/>
        </w:rPr>
        <w:t>Management regulations (PSA, 201</w:t>
      </w:r>
      <w:r w:rsidR="00D311E1">
        <w:rPr>
          <w:rFonts w:ascii="Times New Roman" w:hAnsi="Times New Roman" w:cs="Times New Roman"/>
          <w:lang w:val="en-US"/>
        </w:rPr>
        <w:t>9</w:t>
      </w:r>
      <w:r w:rsidR="00616989" w:rsidRPr="00647D01">
        <w:rPr>
          <w:rFonts w:ascii="Times New Roman" w:hAnsi="Times New Roman" w:cs="Times New Roman"/>
          <w:lang w:val="en-US"/>
        </w:rPr>
        <w:t>a).</w:t>
      </w:r>
    </w:p>
    <w:p w14:paraId="5E0DC752" w14:textId="77777777" w:rsidR="00AF19BB" w:rsidRDefault="00AF19BB" w:rsidP="00B4738B">
      <w:pPr>
        <w:spacing w:after="0" w:line="220" w:lineRule="atLeast"/>
        <w:ind w:firstLine="227"/>
        <w:jc w:val="both"/>
        <w:rPr>
          <w:rFonts w:ascii="Times New Roman" w:hAnsi="Times New Roman" w:cs="Times New Roman"/>
          <w:lang w:val="en-US"/>
        </w:rPr>
      </w:pPr>
    </w:p>
    <w:p w14:paraId="1AD5E24B" w14:textId="76AD7A1C" w:rsidR="00DA683D" w:rsidRPr="00647D01" w:rsidRDefault="005F599B" w:rsidP="00B4738B">
      <w:pPr>
        <w:spacing w:after="0" w:line="220" w:lineRule="atLeast"/>
        <w:ind w:firstLine="227"/>
        <w:jc w:val="both"/>
        <w:rPr>
          <w:rFonts w:ascii="Times New Roman" w:hAnsi="Times New Roman" w:cs="Times New Roman"/>
          <w:lang w:val="en-US"/>
        </w:rPr>
      </w:pPr>
      <w:r>
        <w:rPr>
          <w:rFonts w:ascii="Times New Roman" w:hAnsi="Times New Roman" w:cs="Times New Roman"/>
          <w:lang w:val="en-US"/>
        </w:rPr>
        <w:t xml:space="preserve">The </w:t>
      </w:r>
      <w:r w:rsidR="009C2C92" w:rsidRPr="00647D01">
        <w:rPr>
          <w:rFonts w:ascii="Times New Roman" w:hAnsi="Times New Roman" w:cs="Times New Roman"/>
          <w:lang w:val="en-US"/>
        </w:rPr>
        <w:t>PSA ha</w:t>
      </w:r>
      <w:r>
        <w:rPr>
          <w:rFonts w:ascii="Times New Roman" w:hAnsi="Times New Roman" w:cs="Times New Roman"/>
          <w:lang w:val="en-US"/>
        </w:rPr>
        <w:t>s</w:t>
      </w:r>
      <w:r w:rsidR="009C2C92" w:rsidRPr="00647D01">
        <w:rPr>
          <w:rFonts w:ascii="Times New Roman" w:hAnsi="Times New Roman" w:cs="Times New Roman"/>
          <w:lang w:val="en-US"/>
        </w:rPr>
        <w:t xml:space="preserve"> not complied with </w:t>
      </w:r>
      <w:r>
        <w:rPr>
          <w:rFonts w:ascii="Times New Roman" w:hAnsi="Times New Roman" w:cs="Times New Roman"/>
          <w:lang w:val="en-US"/>
        </w:rPr>
        <w:t>its</w:t>
      </w:r>
      <w:r w:rsidR="009C2C92" w:rsidRPr="00647D01">
        <w:rPr>
          <w:rFonts w:ascii="Times New Roman" w:hAnsi="Times New Roman" w:cs="Times New Roman"/>
          <w:lang w:val="en-US"/>
        </w:rPr>
        <w:t xml:space="preserve"> obligations to </w:t>
      </w:r>
      <w:r w:rsidR="00AB7A42" w:rsidRPr="00647D01">
        <w:rPr>
          <w:rFonts w:ascii="Times New Roman" w:hAnsi="Times New Roman" w:cs="Times New Roman"/>
          <w:lang w:val="en-US"/>
        </w:rPr>
        <w:t xml:space="preserve">supervise the efforts made (or not made!) by the operators and owners. </w:t>
      </w:r>
      <w:r>
        <w:rPr>
          <w:rFonts w:ascii="Times New Roman" w:hAnsi="Times New Roman" w:cs="Times New Roman"/>
          <w:lang w:val="en-US"/>
        </w:rPr>
        <w:t xml:space="preserve">The </w:t>
      </w:r>
      <w:r w:rsidR="00173EB4" w:rsidRPr="00647D01">
        <w:rPr>
          <w:rFonts w:ascii="Times New Roman" w:hAnsi="Times New Roman" w:cs="Times New Roman"/>
          <w:lang w:val="en-US"/>
        </w:rPr>
        <w:t xml:space="preserve">PSA was </w:t>
      </w:r>
      <w:r w:rsidR="00CD0DE8" w:rsidRPr="00647D01">
        <w:rPr>
          <w:rFonts w:ascii="Times New Roman" w:hAnsi="Times New Roman" w:cs="Times New Roman"/>
          <w:lang w:val="en-US"/>
        </w:rPr>
        <w:t>recommended by an expert group (</w:t>
      </w:r>
      <w:r w:rsidR="00BD5F7B" w:rsidRPr="00647D01">
        <w:rPr>
          <w:rFonts w:ascii="Times New Roman" w:hAnsi="Times New Roman" w:cs="Times New Roman"/>
          <w:lang w:val="en-US"/>
        </w:rPr>
        <w:t>ASD</w:t>
      </w:r>
      <w:r w:rsidR="00CD0DE8" w:rsidRPr="00647D01">
        <w:rPr>
          <w:rFonts w:ascii="Times New Roman" w:hAnsi="Times New Roman" w:cs="Times New Roman"/>
          <w:lang w:val="en-US"/>
        </w:rPr>
        <w:t>, 2013)</w:t>
      </w:r>
      <w:r w:rsidR="0039435C" w:rsidRPr="00647D01">
        <w:rPr>
          <w:rFonts w:ascii="Times New Roman" w:hAnsi="Times New Roman" w:cs="Times New Roman"/>
          <w:lang w:val="en-US"/>
        </w:rPr>
        <w:t>, repor</w:t>
      </w:r>
      <w:r w:rsidR="00201686">
        <w:rPr>
          <w:rFonts w:ascii="Times New Roman" w:hAnsi="Times New Roman" w:cs="Times New Roman"/>
          <w:lang w:val="en-US"/>
        </w:rPr>
        <w:softHyphen/>
      </w:r>
      <w:r w:rsidR="0039435C" w:rsidRPr="00647D01">
        <w:rPr>
          <w:rFonts w:ascii="Times New Roman" w:hAnsi="Times New Roman" w:cs="Times New Roman"/>
          <w:lang w:val="en-US"/>
        </w:rPr>
        <w:t>ting to the Ministry of Labour and Social Affairs,</w:t>
      </w:r>
      <w:r w:rsidR="00502990" w:rsidRPr="00647D01">
        <w:rPr>
          <w:rFonts w:ascii="Times New Roman" w:hAnsi="Times New Roman" w:cs="Times New Roman"/>
          <w:lang w:val="en-US"/>
        </w:rPr>
        <w:t xml:space="preserve"> to </w:t>
      </w:r>
      <w:r w:rsidR="00FC3E00" w:rsidRPr="00647D01">
        <w:rPr>
          <w:rFonts w:ascii="Times New Roman" w:hAnsi="Times New Roman" w:cs="Times New Roman"/>
          <w:lang w:val="en-US"/>
        </w:rPr>
        <w:t xml:space="preserve">place </w:t>
      </w:r>
      <w:r w:rsidR="00866F31" w:rsidRPr="00647D01">
        <w:rPr>
          <w:rFonts w:ascii="Times New Roman" w:hAnsi="Times New Roman" w:cs="Times New Roman"/>
          <w:lang w:val="en-US"/>
        </w:rPr>
        <w:t xml:space="preserve">more </w:t>
      </w:r>
      <w:r w:rsidR="00FC3E00" w:rsidRPr="00647D01">
        <w:rPr>
          <w:rFonts w:ascii="Times New Roman" w:hAnsi="Times New Roman" w:cs="Times New Roman"/>
          <w:lang w:val="en-US"/>
        </w:rPr>
        <w:t xml:space="preserve">focus on the </w:t>
      </w:r>
      <w:r w:rsidR="00C20A1F" w:rsidRPr="00647D01">
        <w:rPr>
          <w:rFonts w:ascii="Times New Roman" w:hAnsi="Times New Roman" w:cs="Times New Roman"/>
          <w:lang w:val="en-US"/>
        </w:rPr>
        <w:t xml:space="preserve">further </w:t>
      </w:r>
      <w:r w:rsidR="00FC3E00" w:rsidRPr="00647D01">
        <w:rPr>
          <w:rFonts w:ascii="Times New Roman" w:hAnsi="Times New Roman" w:cs="Times New Roman"/>
          <w:lang w:val="en-US"/>
        </w:rPr>
        <w:t>develop</w:t>
      </w:r>
      <w:r w:rsidR="00201686">
        <w:rPr>
          <w:rFonts w:ascii="Times New Roman" w:hAnsi="Times New Roman" w:cs="Times New Roman"/>
          <w:lang w:val="en-US"/>
        </w:rPr>
        <w:softHyphen/>
      </w:r>
      <w:r w:rsidR="00FC3E00" w:rsidRPr="00647D01">
        <w:rPr>
          <w:rFonts w:ascii="Times New Roman" w:hAnsi="Times New Roman" w:cs="Times New Roman"/>
          <w:lang w:val="en-US"/>
        </w:rPr>
        <w:t>ment</w:t>
      </w:r>
      <w:r w:rsidR="00B44ECF" w:rsidRPr="00647D01">
        <w:rPr>
          <w:rFonts w:ascii="Times New Roman" w:hAnsi="Times New Roman" w:cs="Times New Roman"/>
          <w:lang w:val="en-US"/>
        </w:rPr>
        <w:t xml:space="preserve"> of RTC</w:t>
      </w:r>
      <w:r w:rsidR="00C20A1F" w:rsidRPr="00647D01">
        <w:rPr>
          <w:rFonts w:ascii="Times New Roman" w:hAnsi="Times New Roman" w:cs="Times New Roman"/>
          <w:lang w:val="en-US"/>
        </w:rPr>
        <w:t xml:space="preserve">, but in spite of </w:t>
      </w:r>
      <w:r w:rsidR="001940D9" w:rsidRPr="00647D01">
        <w:rPr>
          <w:rFonts w:ascii="Times New Roman" w:hAnsi="Times New Roman" w:cs="Times New Roman"/>
          <w:lang w:val="en-US"/>
        </w:rPr>
        <w:t>several informal reminders, ha</w:t>
      </w:r>
      <w:r>
        <w:rPr>
          <w:rFonts w:ascii="Times New Roman" w:hAnsi="Times New Roman" w:cs="Times New Roman"/>
          <w:lang w:val="en-US"/>
        </w:rPr>
        <w:t>s</w:t>
      </w:r>
      <w:r w:rsidR="001940D9" w:rsidRPr="00647D01">
        <w:rPr>
          <w:rFonts w:ascii="Times New Roman" w:hAnsi="Times New Roman" w:cs="Times New Roman"/>
          <w:lang w:val="en-US"/>
        </w:rPr>
        <w:t xml:space="preserve"> chosen not to </w:t>
      </w:r>
      <w:r w:rsidR="00FB15B4" w:rsidRPr="00647D01">
        <w:rPr>
          <w:rFonts w:ascii="Times New Roman" w:hAnsi="Times New Roman" w:cs="Times New Roman"/>
          <w:lang w:val="en-US"/>
        </w:rPr>
        <w:t>focus any atten</w:t>
      </w:r>
      <w:r w:rsidR="00201686">
        <w:rPr>
          <w:rFonts w:ascii="Times New Roman" w:hAnsi="Times New Roman" w:cs="Times New Roman"/>
          <w:lang w:val="en-US"/>
        </w:rPr>
        <w:softHyphen/>
      </w:r>
      <w:r w:rsidR="00FB15B4" w:rsidRPr="00647D01">
        <w:rPr>
          <w:rFonts w:ascii="Times New Roman" w:hAnsi="Times New Roman" w:cs="Times New Roman"/>
          <w:lang w:val="en-US"/>
        </w:rPr>
        <w:t>tion on this topic.</w:t>
      </w:r>
    </w:p>
    <w:p w14:paraId="3011BBAC" w14:textId="77777777" w:rsidR="00AF19BB" w:rsidRDefault="00AF19BB" w:rsidP="00B4738B">
      <w:pPr>
        <w:spacing w:after="0" w:line="220" w:lineRule="atLeast"/>
        <w:ind w:firstLine="227"/>
        <w:jc w:val="both"/>
        <w:rPr>
          <w:rFonts w:ascii="Times New Roman" w:hAnsi="Times New Roman" w:cs="Times New Roman"/>
          <w:lang w:val="en-US"/>
        </w:rPr>
      </w:pPr>
    </w:p>
    <w:p w14:paraId="7DD594FB" w14:textId="0942DA73" w:rsidR="005276B8" w:rsidRDefault="005F599B" w:rsidP="00B4738B">
      <w:pPr>
        <w:spacing w:after="0" w:line="220" w:lineRule="atLeast"/>
        <w:ind w:firstLine="227"/>
        <w:jc w:val="both"/>
        <w:rPr>
          <w:rFonts w:ascii="Times New Roman" w:hAnsi="Times New Roman" w:cs="Times New Roman"/>
          <w:lang w:val="en-US"/>
        </w:rPr>
      </w:pPr>
      <w:r>
        <w:rPr>
          <w:rFonts w:ascii="Times New Roman" w:hAnsi="Times New Roman" w:cs="Times New Roman"/>
          <w:lang w:val="en-US"/>
        </w:rPr>
        <w:t xml:space="preserve">The </w:t>
      </w:r>
      <w:r w:rsidR="00673F76" w:rsidRPr="00647D01">
        <w:rPr>
          <w:rFonts w:ascii="Times New Roman" w:hAnsi="Times New Roman" w:cs="Times New Roman"/>
          <w:lang w:val="en-US"/>
        </w:rPr>
        <w:t xml:space="preserve">PSA </w:t>
      </w:r>
      <w:r w:rsidR="00AB3536" w:rsidRPr="00647D01">
        <w:rPr>
          <w:rFonts w:ascii="Times New Roman" w:hAnsi="Times New Roman" w:cs="Times New Roman"/>
          <w:lang w:val="en-US"/>
        </w:rPr>
        <w:t>was severe</w:t>
      </w:r>
      <w:r>
        <w:rPr>
          <w:rFonts w:ascii="Times New Roman" w:hAnsi="Times New Roman" w:cs="Times New Roman"/>
          <w:lang w:val="en-US"/>
        </w:rPr>
        <w:t>ly</w:t>
      </w:r>
      <w:r w:rsidR="00AB3536" w:rsidRPr="00647D01">
        <w:rPr>
          <w:rFonts w:ascii="Times New Roman" w:hAnsi="Times New Roman" w:cs="Times New Roman"/>
          <w:lang w:val="en-US"/>
        </w:rPr>
        <w:t xml:space="preserve"> criticis</w:t>
      </w:r>
      <w:r>
        <w:rPr>
          <w:rFonts w:ascii="Times New Roman" w:hAnsi="Times New Roman" w:cs="Times New Roman"/>
          <w:lang w:val="en-US"/>
        </w:rPr>
        <w:t>ed</w:t>
      </w:r>
      <w:r w:rsidR="00AB3536" w:rsidRPr="00647D01">
        <w:rPr>
          <w:rFonts w:ascii="Times New Roman" w:hAnsi="Times New Roman" w:cs="Times New Roman"/>
          <w:lang w:val="en-US"/>
        </w:rPr>
        <w:t xml:space="preserve"> by the </w:t>
      </w:r>
      <w:r w:rsidR="00CC3AB4" w:rsidRPr="00647D01">
        <w:rPr>
          <w:rFonts w:ascii="Times New Roman" w:hAnsi="Times New Roman" w:cs="Times New Roman"/>
          <w:lang w:val="en-US"/>
        </w:rPr>
        <w:t>Norwegian Auditor General</w:t>
      </w:r>
      <w:r w:rsidR="00D7573B" w:rsidRPr="00647D01">
        <w:rPr>
          <w:rFonts w:ascii="Times New Roman" w:hAnsi="Times New Roman" w:cs="Times New Roman"/>
          <w:lang w:val="en-US"/>
        </w:rPr>
        <w:t xml:space="preserve"> (Auditor General, 2019)</w:t>
      </w:r>
      <w:r w:rsidR="00926835" w:rsidRPr="00647D01">
        <w:rPr>
          <w:rFonts w:ascii="Times New Roman" w:hAnsi="Times New Roman" w:cs="Times New Roman"/>
          <w:lang w:val="en-US"/>
        </w:rPr>
        <w:t xml:space="preserve"> in a report published in January 2019</w:t>
      </w:r>
      <w:r w:rsidR="008065C2">
        <w:rPr>
          <w:rFonts w:ascii="Times New Roman" w:hAnsi="Times New Roman" w:cs="Times New Roman"/>
          <w:lang w:val="en-US"/>
        </w:rPr>
        <w:t xml:space="preserve">, where it was pointed out that the supervisory activities did not have the </w:t>
      </w:r>
      <w:r>
        <w:rPr>
          <w:rFonts w:ascii="Times New Roman" w:hAnsi="Times New Roman" w:cs="Times New Roman"/>
          <w:lang w:val="en-US"/>
        </w:rPr>
        <w:t xml:space="preserve">expected </w:t>
      </w:r>
      <w:r w:rsidR="008065C2">
        <w:rPr>
          <w:rFonts w:ascii="Times New Roman" w:hAnsi="Times New Roman" w:cs="Times New Roman"/>
          <w:lang w:val="en-US"/>
        </w:rPr>
        <w:t>effect on safety, environment and health</w:t>
      </w:r>
      <w:r w:rsidR="00926835" w:rsidRPr="00647D01">
        <w:rPr>
          <w:rFonts w:ascii="Times New Roman" w:hAnsi="Times New Roman" w:cs="Times New Roman"/>
          <w:lang w:val="en-US"/>
        </w:rPr>
        <w:t>.</w:t>
      </w:r>
      <w:r w:rsidR="001E1FA6" w:rsidRPr="00647D01">
        <w:rPr>
          <w:rFonts w:ascii="Times New Roman" w:hAnsi="Times New Roman" w:cs="Times New Roman"/>
          <w:lang w:val="en-US"/>
        </w:rPr>
        <w:t xml:space="preserve"> The lack of supervisory activities referred to here </w:t>
      </w:r>
      <w:r w:rsidR="00EA016C" w:rsidRPr="00647D01">
        <w:rPr>
          <w:rFonts w:ascii="Times New Roman" w:hAnsi="Times New Roman" w:cs="Times New Roman"/>
          <w:lang w:val="en-US"/>
        </w:rPr>
        <w:t>was not within the mandate of the report</w:t>
      </w:r>
      <w:r w:rsidR="00AA7386" w:rsidRPr="00647D01">
        <w:rPr>
          <w:rFonts w:ascii="Times New Roman" w:hAnsi="Times New Roman" w:cs="Times New Roman"/>
          <w:lang w:val="en-US"/>
        </w:rPr>
        <w:t xml:space="preserve">, so this lack of supervisory activities is an additional failure of </w:t>
      </w:r>
      <w:r>
        <w:rPr>
          <w:rFonts w:ascii="Times New Roman" w:hAnsi="Times New Roman" w:cs="Times New Roman"/>
          <w:lang w:val="en-US"/>
        </w:rPr>
        <w:t xml:space="preserve">the </w:t>
      </w:r>
      <w:r w:rsidR="00AA7386" w:rsidRPr="00647D01">
        <w:rPr>
          <w:rFonts w:ascii="Times New Roman" w:hAnsi="Times New Roman" w:cs="Times New Roman"/>
          <w:lang w:val="en-US"/>
        </w:rPr>
        <w:t>PSA.</w:t>
      </w:r>
    </w:p>
    <w:p w14:paraId="401C7F4E" w14:textId="77777777" w:rsidR="002E32F4" w:rsidRPr="00647D01" w:rsidRDefault="002E32F4" w:rsidP="00B4738B">
      <w:pPr>
        <w:spacing w:after="0" w:line="220" w:lineRule="atLeast"/>
        <w:ind w:firstLine="227"/>
        <w:jc w:val="both"/>
        <w:rPr>
          <w:rFonts w:ascii="Times New Roman" w:hAnsi="Times New Roman" w:cs="Times New Roman"/>
          <w:lang w:val="en-US"/>
        </w:rPr>
      </w:pPr>
    </w:p>
    <w:p w14:paraId="193B5C51" w14:textId="5E371807" w:rsidR="000A2762" w:rsidRPr="00074B90" w:rsidRDefault="002C36CC" w:rsidP="00B4738B">
      <w:pPr>
        <w:keepNext/>
        <w:spacing w:before="230" w:after="100" w:line="220" w:lineRule="atLeast"/>
        <w:ind w:left="227" w:hanging="227"/>
        <w:rPr>
          <w:rFonts w:ascii="Times New Roman" w:hAnsi="Times New Roman" w:cs="Times New Roman"/>
          <w:b/>
        </w:rPr>
      </w:pPr>
      <w:r>
        <w:rPr>
          <w:rFonts w:ascii="Times New Roman" w:hAnsi="Times New Roman" w:cs="Times New Roman"/>
          <w:b/>
        </w:rPr>
        <w:t>7</w:t>
      </w:r>
      <w:r w:rsidR="000A2762" w:rsidRPr="00074B90">
        <w:rPr>
          <w:rFonts w:ascii="Times New Roman" w:hAnsi="Times New Roman" w:cs="Times New Roman"/>
          <w:b/>
        </w:rPr>
        <w:t>. Conclusions</w:t>
      </w:r>
    </w:p>
    <w:p w14:paraId="1CB2223C" w14:textId="262F3CB2" w:rsidR="003C12A9" w:rsidRPr="00074B90" w:rsidRDefault="00E42DF9" w:rsidP="00B4738B">
      <w:pPr>
        <w:spacing w:after="0" w:line="220" w:lineRule="atLeast"/>
        <w:jc w:val="both"/>
        <w:rPr>
          <w:rFonts w:ascii="Times New Roman" w:hAnsi="Times New Roman" w:cs="Times New Roman"/>
          <w:lang w:val="en-US"/>
        </w:rPr>
      </w:pPr>
      <w:r w:rsidRPr="00074B90">
        <w:rPr>
          <w:rFonts w:ascii="Times New Roman" w:hAnsi="Times New Roman" w:cs="Times New Roman"/>
        </w:rPr>
        <w:t>Operators and owner</w:t>
      </w:r>
      <w:r w:rsidR="00B767C4" w:rsidRPr="00074B90">
        <w:rPr>
          <w:rFonts w:ascii="Times New Roman" w:hAnsi="Times New Roman" w:cs="Times New Roman"/>
        </w:rPr>
        <w:t>s</w:t>
      </w:r>
      <w:r w:rsidRPr="00074B90">
        <w:rPr>
          <w:rFonts w:ascii="Times New Roman" w:hAnsi="Times New Roman" w:cs="Times New Roman"/>
        </w:rPr>
        <w:t xml:space="preserve"> need to be challenged on how they express risk for personnel on UPP</w:t>
      </w:r>
      <w:r w:rsidR="004C4991" w:rsidRPr="00074B90">
        <w:rPr>
          <w:rFonts w:ascii="Times New Roman" w:hAnsi="Times New Roman" w:cs="Times New Roman"/>
        </w:rPr>
        <w:t xml:space="preserve">. </w:t>
      </w:r>
      <w:r w:rsidR="00764BBA" w:rsidRPr="00074B90">
        <w:rPr>
          <w:rFonts w:ascii="Times New Roman" w:hAnsi="Times New Roman" w:cs="Times New Roman"/>
        </w:rPr>
        <w:t>They are consistently expressing societal risk</w:t>
      </w:r>
      <w:r w:rsidR="008624AD" w:rsidRPr="00074B90">
        <w:rPr>
          <w:rFonts w:ascii="Times New Roman" w:hAnsi="Times New Roman" w:cs="Times New Roman"/>
        </w:rPr>
        <w:t xml:space="preserve"> and disregarding </w:t>
      </w:r>
      <w:r w:rsidR="00347BA2" w:rsidRPr="00074B90">
        <w:rPr>
          <w:rFonts w:ascii="Times New Roman" w:hAnsi="Times New Roman" w:cs="Times New Roman"/>
        </w:rPr>
        <w:t xml:space="preserve">individual risk. Whereas </w:t>
      </w:r>
      <w:r w:rsidR="0087387A" w:rsidRPr="00074B90">
        <w:rPr>
          <w:rFonts w:ascii="Times New Roman" w:hAnsi="Times New Roman" w:cs="Times New Roman"/>
        </w:rPr>
        <w:t>soci</w:t>
      </w:r>
      <w:r w:rsidR="009D03C6">
        <w:rPr>
          <w:rFonts w:ascii="Times New Roman" w:hAnsi="Times New Roman" w:cs="Times New Roman"/>
        </w:rPr>
        <w:softHyphen/>
      </w:r>
      <w:r w:rsidR="0087387A" w:rsidRPr="00074B90">
        <w:rPr>
          <w:rFonts w:ascii="Times New Roman" w:hAnsi="Times New Roman" w:cs="Times New Roman"/>
        </w:rPr>
        <w:t xml:space="preserve">etal risk </w:t>
      </w:r>
      <w:r w:rsidR="00F11AB2" w:rsidRPr="00074B90">
        <w:rPr>
          <w:rFonts w:ascii="Times New Roman" w:hAnsi="Times New Roman" w:cs="Times New Roman"/>
        </w:rPr>
        <w:t xml:space="preserve">is </w:t>
      </w:r>
      <w:r w:rsidR="00B25902" w:rsidRPr="00074B90">
        <w:rPr>
          <w:rFonts w:ascii="Times New Roman" w:hAnsi="Times New Roman" w:cs="Times New Roman"/>
        </w:rPr>
        <w:t>usually reduced</w:t>
      </w:r>
      <w:r w:rsidR="009D03C6">
        <w:rPr>
          <w:rFonts w:ascii="Times New Roman" w:hAnsi="Times New Roman" w:cs="Times New Roman"/>
        </w:rPr>
        <w:t xml:space="preserve"> </w:t>
      </w:r>
      <w:r w:rsidR="005F599B">
        <w:rPr>
          <w:rFonts w:ascii="Times New Roman" w:hAnsi="Times New Roman" w:cs="Times New Roman"/>
        </w:rPr>
        <w:t>by</w:t>
      </w:r>
      <w:r w:rsidR="009D03C6">
        <w:rPr>
          <w:rFonts w:ascii="Times New Roman" w:hAnsi="Times New Roman" w:cs="Times New Roman"/>
        </w:rPr>
        <w:t xml:space="preserve"> fewer exposure hours</w:t>
      </w:r>
      <w:r w:rsidR="00B25902" w:rsidRPr="00074B90">
        <w:rPr>
          <w:rFonts w:ascii="Times New Roman" w:hAnsi="Times New Roman" w:cs="Times New Roman"/>
        </w:rPr>
        <w:t>, individual risk may not always be redu</w:t>
      </w:r>
      <w:r w:rsidR="00E37761">
        <w:rPr>
          <w:rFonts w:ascii="Times New Roman" w:hAnsi="Times New Roman" w:cs="Times New Roman"/>
        </w:rPr>
        <w:softHyphen/>
      </w:r>
      <w:r w:rsidR="00B25902" w:rsidRPr="00074B90">
        <w:rPr>
          <w:rFonts w:ascii="Times New Roman" w:hAnsi="Times New Roman" w:cs="Times New Roman"/>
        </w:rPr>
        <w:t xml:space="preserve">ced, and in some cases </w:t>
      </w:r>
      <w:r w:rsidR="005F599B">
        <w:rPr>
          <w:rFonts w:ascii="Times New Roman" w:hAnsi="Times New Roman" w:cs="Times New Roman"/>
        </w:rPr>
        <w:t xml:space="preserve">may </w:t>
      </w:r>
      <w:r w:rsidR="00B25902" w:rsidRPr="00074B90">
        <w:rPr>
          <w:rFonts w:ascii="Times New Roman" w:hAnsi="Times New Roman" w:cs="Times New Roman"/>
        </w:rPr>
        <w:t xml:space="preserve">even </w:t>
      </w:r>
      <w:r w:rsidR="005F599B">
        <w:rPr>
          <w:rFonts w:ascii="Times New Roman" w:hAnsi="Times New Roman" w:cs="Times New Roman"/>
        </w:rPr>
        <w:t xml:space="preserve">be </w:t>
      </w:r>
      <w:r w:rsidR="00B25902" w:rsidRPr="00074B90">
        <w:rPr>
          <w:rFonts w:ascii="Times New Roman" w:hAnsi="Times New Roman" w:cs="Times New Roman"/>
        </w:rPr>
        <w:t xml:space="preserve">increased. Therefore </w:t>
      </w:r>
      <w:r w:rsidR="00222A68" w:rsidRPr="00074B90">
        <w:rPr>
          <w:rFonts w:ascii="Times New Roman" w:hAnsi="Times New Roman" w:cs="Times New Roman"/>
        </w:rPr>
        <w:t xml:space="preserve">both aspects need to be </w:t>
      </w:r>
      <w:r w:rsidR="00AE017D" w:rsidRPr="00074B90">
        <w:rPr>
          <w:rFonts w:ascii="Times New Roman" w:hAnsi="Times New Roman" w:cs="Times New Roman"/>
        </w:rPr>
        <w:t>addressed</w:t>
      </w:r>
      <w:r w:rsidR="00222A68" w:rsidRPr="00074B90">
        <w:rPr>
          <w:rFonts w:ascii="Times New Roman" w:hAnsi="Times New Roman" w:cs="Times New Roman"/>
        </w:rPr>
        <w:t>.</w:t>
      </w:r>
    </w:p>
    <w:p w14:paraId="6ECB6025" w14:textId="77777777" w:rsidR="003028EE" w:rsidRDefault="003028EE" w:rsidP="00B4738B">
      <w:pPr>
        <w:spacing w:after="0" w:line="220" w:lineRule="atLeast"/>
        <w:ind w:firstLine="227"/>
        <w:jc w:val="both"/>
        <w:rPr>
          <w:rFonts w:ascii="Times New Roman" w:hAnsi="Times New Roman" w:cs="Times New Roman"/>
        </w:rPr>
      </w:pPr>
    </w:p>
    <w:p w14:paraId="78D80713" w14:textId="26E857F5" w:rsidR="003C12A9" w:rsidRPr="00074B90" w:rsidRDefault="00F4270E" w:rsidP="00B4738B">
      <w:pPr>
        <w:spacing w:after="0" w:line="220" w:lineRule="atLeast"/>
        <w:ind w:firstLine="227"/>
        <w:jc w:val="both"/>
        <w:rPr>
          <w:rFonts w:ascii="Times New Roman" w:hAnsi="Times New Roman" w:cs="Times New Roman"/>
        </w:rPr>
      </w:pPr>
      <w:r w:rsidRPr="00074B90">
        <w:rPr>
          <w:rFonts w:ascii="Times New Roman" w:hAnsi="Times New Roman" w:cs="Times New Roman"/>
        </w:rPr>
        <w:t xml:space="preserve">There are no suitable </w:t>
      </w:r>
      <w:r w:rsidR="00DF777C">
        <w:rPr>
          <w:rFonts w:ascii="Times New Roman" w:hAnsi="Times New Roman" w:cs="Times New Roman"/>
        </w:rPr>
        <w:t xml:space="preserve">Norwegian </w:t>
      </w:r>
      <w:r w:rsidRPr="00074B90">
        <w:rPr>
          <w:rFonts w:ascii="Times New Roman" w:hAnsi="Times New Roman" w:cs="Times New Roman"/>
        </w:rPr>
        <w:t>tec</w:t>
      </w:r>
      <w:r w:rsidR="00E83E0F" w:rsidRPr="00074B90">
        <w:rPr>
          <w:rFonts w:ascii="Times New Roman" w:hAnsi="Times New Roman" w:cs="Times New Roman"/>
        </w:rPr>
        <w:t>hnical regulations for UPP</w:t>
      </w:r>
      <w:r w:rsidR="005F599B">
        <w:rPr>
          <w:rFonts w:ascii="Times New Roman" w:hAnsi="Times New Roman" w:cs="Times New Roman"/>
        </w:rPr>
        <w:t>;</w:t>
      </w:r>
      <w:r w:rsidR="002F1D6E" w:rsidRPr="00074B90">
        <w:rPr>
          <w:rFonts w:ascii="Times New Roman" w:hAnsi="Times New Roman" w:cs="Times New Roman"/>
        </w:rPr>
        <w:t xml:space="preserve"> the requirements that </w:t>
      </w:r>
      <w:r w:rsidR="005F599B">
        <w:rPr>
          <w:rFonts w:ascii="Times New Roman" w:hAnsi="Times New Roman" w:cs="Times New Roman"/>
        </w:rPr>
        <w:t xml:space="preserve">could </w:t>
      </w:r>
      <w:r w:rsidR="002F1D6E" w:rsidRPr="00074B90">
        <w:rPr>
          <w:rFonts w:ascii="Times New Roman" w:hAnsi="Times New Roman" w:cs="Times New Roman"/>
        </w:rPr>
        <w:t>possibly be applicable are very vague</w:t>
      </w:r>
      <w:r w:rsidR="006D4E4A" w:rsidRPr="00074B90">
        <w:rPr>
          <w:rFonts w:ascii="Times New Roman" w:hAnsi="Times New Roman" w:cs="Times New Roman"/>
        </w:rPr>
        <w:t xml:space="preserve"> and not really helpful </w:t>
      </w:r>
      <w:r w:rsidR="0054748E">
        <w:rPr>
          <w:rFonts w:ascii="Times New Roman" w:hAnsi="Times New Roman" w:cs="Times New Roman"/>
        </w:rPr>
        <w:t xml:space="preserve">in practice </w:t>
      </w:r>
      <w:r w:rsidR="006D4E4A" w:rsidRPr="00074B90">
        <w:rPr>
          <w:rFonts w:ascii="Times New Roman" w:hAnsi="Times New Roman" w:cs="Times New Roman"/>
        </w:rPr>
        <w:t>in any respect.</w:t>
      </w:r>
    </w:p>
    <w:p w14:paraId="715255E1" w14:textId="77777777" w:rsidR="003028EE" w:rsidRDefault="003028EE" w:rsidP="00B4738B">
      <w:pPr>
        <w:spacing w:after="0" w:line="220" w:lineRule="atLeast"/>
        <w:ind w:firstLine="227"/>
        <w:jc w:val="both"/>
        <w:rPr>
          <w:rFonts w:ascii="Times New Roman" w:hAnsi="Times New Roman" w:cs="Times New Roman"/>
        </w:rPr>
      </w:pPr>
    </w:p>
    <w:p w14:paraId="683186B7" w14:textId="6F144FC3" w:rsidR="00213117" w:rsidRPr="00647D01" w:rsidRDefault="00C83B62" w:rsidP="00213117">
      <w:pPr>
        <w:spacing w:after="0" w:line="220" w:lineRule="atLeast"/>
        <w:ind w:firstLine="227"/>
        <w:jc w:val="both"/>
        <w:rPr>
          <w:rFonts w:ascii="Times New Roman" w:hAnsi="Times New Roman" w:cs="Times New Roman"/>
        </w:rPr>
      </w:pPr>
      <w:r w:rsidRPr="00074B90">
        <w:rPr>
          <w:rFonts w:ascii="Times New Roman" w:hAnsi="Times New Roman" w:cs="Times New Roman"/>
        </w:rPr>
        <w:t xml:space="preserve">A risk assessment approach </w:t>
      </w:r>
      <w:r w:rsidR="00305EEB" w:rsidRPr="00074B90">
        <w:rPr>
          <w:rFonts w:ascii="Times New Roman" w:hAnsi="Times New Roman" w:cs="Times New Roman"/>
        </w:rPr>
        <w:t>should be used in accordance with regulations</w:t>
      </w:r>
      <w:r w:rsidR="00360D74" w:rsidRPr="00074B90">
        <w:rPr>
          <w:rFonts w:ascii="Times New Roman" w:hAnsi="Times New Roman" w:cs="Times New Roman"/>
        </w:rPr>
        <w:t xml:space="preserve">, but </w:t>
      </w:r>
      <w:r w:rsidR="00162BDC" w:rsidRPr="00074B90">
        <w:rPr>
          <w:rFonts w:ascii="Times New Roman" w:hAnsi="Times New Roman" w:cs="Times New Roman"/>
        </w:rPr>
        <w:t xml:space="preserve">such </w:t>
      </w:r>
      <w:r w:rsidR="008D659A" w:rsidRPr="00074B90">
        <w:rPr>
          <w:rFonts w:ascii="Times New Roman" w:hAnsi="Times New Roman" w:cs="Times New Roman"/>
        </w:rPr>
        <w:t xml:space="preserve">an </w:t>
      </w:r>
      <w:r w:rsidR="00162BDC" w:rsidRPr="00074B90">
        <w:rPr>
          <w:rFonts w:ascii="Times New Roman" w:hAnsi="Times New Roman" w:cs="Times New Roman"/>
        </w:rPr>
        <w:t xml:space="preserve">approach </w:t>
      </w:r>
      <w:r w:rsidR="00812A03" w:rsidRPr="00074B90">
        <w:rPr>
          <w:rFonts w:ascii="Times New Roman" w:hAnsi="Times New Roman" w:cs="Times New Roman"/>
        </w:rPr>
        <w:t xml:space="preserve">is </w:t>
      </w:r>
      <w:r w:rsidR="007F0236" w:rsidRPr="00074B90">
        <w:rPr>
          <w:rFonts w:ascii="Times New Roman" w:hAnsi="Times New Roman" w:cs="Times New Roman"/>
        </w:rPr>
        <w:t xml:space="preserve">impossible to </w:t>
      </w:r>
      <w:r w:rsidR="00860464" w:rsidRPr="00074B90">
        <w:rPr>
          <w:rFonts w:ascii="Times New Roman" w:hAnsi="Times New Roman" w:cs="Times New Roman"/>
        </w:rPr>
        <w:t xml:space="preserve">use due to the status of RTC for </w:t>
      </w:r>
      <w:r w:rsidR="001D0064" w:rsidRPr="00074B90">
        <w:rPr>
          <w:rFonts w:ascii="Times New Roman" w:hAnsi="Times New Roman" w:cs="Times New Roman"/>
        </w:rPr>
        <w:t>offshore installations.</w:t>
      </w:r>
      <w:r w:rsidR="00BC5C16">
        <w:rPr>
          <w:rFonts w:ascii="Times New Roman" w:hAnsi="Times New Roman" w:cs="Times New Roman"/>
        </w:rPr>
        <w:t xml:space="preserve"> </w:t>
      </w:r>
      <w:r w:rsidR="00267040" w:rsidRPr="00074B90">
        <w:rPr>
          <w:rFonts w:ascii="Times New Roman" w:hAnsi="Times New Roman" w:cs="Times New Roman"/>
        </w:rPr>
        <w:t>The general RTC for offshore installations have not been updated for more than 20 years</w:t>
      </w:r>
      <w:r w:rsidR="00BC6302" w:rsidRPr="00074B90">
        <w:rPr>
          <w:rFonts w:ascii="Times New Roman" w:hAnsi="Times New Roman" w:cs="Times New Roman"/>
        </w:rPr>
        <w:t xml:space="preserve"> and are at a level which is </w:t>
      </w:r>
      <w:r w:rsidR="00F9147E" w:rsidRPr="00074B90">
        <w:rPr>
          <w:rFonts w:ascii="Times New Roman" w:hAnsi="Times New Roman" w:cs="Times New Roman"/>
        </w:rPr>
        <w:t xml:space="preserve">inapplicable in </w:t>
      </w:r>
      <w:r w:rsidR="006809F0" w:rsidRPr="00074B90">
        <w:rPr>
          <w:rFonts w:ascii="Times New Roman" w:hAnsi="Times New Roman" w:cs="Times New Roman"/>
        </w:rPr>
        <w:t>the current conditions.</w:t>
      </w:r>
      <w:r w:rsidR="00D369FD" w:rsidRPr="00074B90">
        <w:rPr>
          <w:rFonts w:ascii="Times New Roman" w:hAnsi="Times New Roman" w:cs="Times New Roman"/>
        </w:rPr>
        <w:t xml:space="preserve"> No specific RTC for UPPs have been deve</w:t>
      </w:r>
      <w:r w:rsidR="00626CF3">
        <w:rPr>
          <w:rFonts w:ascii="Times New Roman" w:hAnsi="Times New Roman" w:cs="Times New Roman"/>
        </w:rPr>
        <w:softHyphen/>
      </w:r>
      <w:r w:rsidR="00D369FD" w:rsidRPr="00074B90">
        <w:rPr>
          <w:rFonts w:ascii="Times New Roman" w:hAnsi="Times New Roman" w:cs="Times New Roman"/>
        </w:rPr>
        <w:t>loped</w:t>
      </w:r>
      <w:r w:rsidR="00B74F1C" w:rsidRPr="00074B90">
        <w:rPr>
          <w:rFonts w:ascii="Times New Roman" w:hAnsi="Times New Roman" w:cs="Times New Roman"/>
        </w:rPr>
        <w:t>.</w:t>
      </w:r>
      <w:r w:rsidR="00213117">
        <w:rPr>
          <w:rFonts w:ascii="Times New Roman" w:hAnsi="Times New Roman" w:cs="Times New Roman"/>
        </w:rPr>
        <w:t xml:space="preserve"> </w:t>
      </w:r>
      <w:r w:rsidR="00213117" w:rsidRPr="00647D01">
        <w:rPr>
          <w:rFonts w:ascii="Times New Roman" w:hAnsi="Times New Roman" w:cs="Times New Roman"/>
        </w:rPr>
        <w:t>The following alterna</w:t>
      </w:r>
      <w:r w:rsidR="00213117" w:rsidRPr="00647D01">
        <w:rPr>
          <w:rFonts w:ascii="Times New Roman" w:hAnsi="Times New Roman" w:cs="Times New Roman"/>
        </w:rPr>
        <w:softHyphen/>
        <w:t>tives could be implemented with respect to RTC for unmanned installations:</w:t>
      </w:r>
    </w:p>
    <w:p w14:paraId="4F0A0F25" w14:textId="77777777" w:rsidR="00213117" w:rsidRPr="00647D01" w:rsidRDefault="00213117" w:rsidP="00213117">
      <w:pPr>
        <w:spacing w:after="0" w:line="220" w:lineRule="atLeast"/>
        <w:ind w:firstLine="227"/>
        <w:jc w:val="both"/>
        <w:rPr>
          <w:rFonts w:ascii="Times New Roman" w:hAnsi="Times New Roman" w:cs="Times New Roman"/>
        </w:rPr>
      </w:pPr>
    </w:p>
    <w:p w14:paraId="4FF3D129" w14:textId="77777777" w:rsidR="00213117" w:rsidRPr="00647D01" w:rsidRDefault="00213117" w:rsidP="00A75975">
      <w:pPr>
        <w:pStyle w:val="Listeavsnitt"/>
        <w:numPr>
          <w:ilvl w:val="0"/>
          <w:numId w:val="7"/>
        </w:numPr>
        <w:spacing w:after="0" w:line="220" w:lineRule="atLeast"/>
        <w:jc w:val="both"/>
        <w:rPr>
          <w:rFonts w:ascii="Times New Roman" w:hAnsi="Times New Roman" w:cs="Times New Roman"/>
        </w:rPr>
      </w:pPr>
      <w:r w:rsidRPr="00647D01">
        <w:rPr>
          <w:rFonts w:ascii="Times New Roman" w:hAnsi="Times New Roman" w:cs="Times New Roman"/>
        </w:rPr>
        <w:t>Stricter RTC in general</w:t>
      </w:r>
    </w:p>
    <w:p w14:paraId="57AC001D" w14:textId="77777777" w:rsidR="00213117" w:rsidRPr="00647D01" w:rsidRDefault="00213117" w:rsidP="00A75975">
      <w:pPr>
        <w:pStyle w:val="Listeavsnitt"/>
        <w:numPr>
          <w:ilvl w:val="0"/>
          <w:numId w:val="7"/>
        </w:numPr>
        <w:spacing w:after="0" w:line="220" w:lineRule="atLeast"/>
        <w:jc w:val="both"/>
        <w:rPr>
          <w:rFonts w:ascii="Times New Roman" w:hAnsi="Times New Roman" w:cs="Times New Roman"/>
        </w:rPr>
      </w:pPr>
      <w:r w:rsidRPr="00647D01">
        <w:rPr>
          <w:rFonts w:ascii="Times New Roman" w:hAnsi="Times New Roman" w:cs="Times New Roman"/>
        </w:rPr>
        <w:t>Specific [strict] RTC for unmanned installations</w:t>
      </w:r>
    </w:p>
    <w:p w14:paraId="7C8D39CA" w14:textId="77777777" w:rsidR="00213117" w:rsidRPr="00647D01" w:rsidRDefault="00213117" w:rsidP="00A75975">
      <w:pPr>
        <w:pStyle w:val="Listeavsnitt"/>
        <w:numPr>
          <w:ilvl w:val="0"/>
          <w:numId w:val="7"/>
        </w:numPr>
        <w:spacing w:after="0" w:line="220" w:lineRule="atLeast"/>
        <w:jc w:val="both"/>
        <w:rPr>
          <w:rFonts w:ascii="Times New Roman" w:hAnsi="Times New Roman" w:cs="Times New Roman"/>
        </w:rPr>
      </w:pPr>
      <w:r w:rsidRPr="00647D01">
        <w:rPr>
          <w:rFonts w:ascii="Times New Roman" w:hAnsi="Times New Roman" w:cs="Times New Roman"/>
        </w:rPr>
        <w:t>Adhere to upper limit for main safety function impairment irrespective of man</w:t>
      </w:r>
      <w:r w:rsidRPr="00647D01">
        <w:rPr>
          <w:rFonts w:ascii="Times New Roman" w:hAnsi="Times New Roman" w:cs="Times New Roman"/>
        </w:rPr>
        <w:softHyphen/>
        <w:t>ning duration</w:t>
      </w:r>
    </w:p>
    <w:p w14:paraId="5C4F353F" w14:textId="77777777" w:rsidR="003028EE" w:rsidRDefault="003028EE" w:rsidP="00B4738B">
      <w:pPr>
        <w:spacing w:after="0" w:line="220" w:lineRule="atLeast"/>
        <w:ind w:firstLine="227"/>
        <w:jc w:val="both"/>
        <w:rPr>
          <w:rFonts w:ascii="Times New Roman" w:hAnsi="Times New Roman" w:cs="Times New Roman"/>
        </w:rPr>
      </w:pPr>
    </w:p>
    <w:p w14:paraId="49586249" w14:textId="56AB51E1" w:rsidR="001862D3" w:rsidRPr="00074B90" w:rsidRDefault="005F599B" w:rsidP="00B4738B">
      <w:pPr>
        <w:spacing w:after="0" w:line="220" w:lineRule="atLeast"/>
        <w:ind w:firstLine="227"/>
        <w:jc w:val="both"/>
        <w:rPr>
          <w:rFonts w:ascii="Times New Roman" w:hAnsi="Times New Roman" w:cs="Times New Roman"/>
        </w:rPr>
      </w:pPr>
      <w:r>
        <w:rPr>
          <w:rFonts w:ascii="Times New Roman" w:hAnsi="Times New Roman" w:cs="Times New Roman"/>
        </w:rPr>
        <w:t>The a</w:t>
      </w:r>
      <w:r w:rsidR="00010E91" w:rsidRPr="00074B90">
        <w:rPr>
          <w:rFonts w:ascii="Times New Roman" w:hAnsi="Times New Roman" w:cs="Times New Roman"/>
        </w:rPr>
        <w:t xml:space="preserve">uthorities’ </w:t>
      </w:r>
      <w:r w:rsidR="003E39DF" w:rsidRPr="00074B90">
        <w:rPr>
          <w:rFonts w:ascii="Times New Roman" w:hAnsi="Times New Roman" w:cs="Times New Roman"/>
        </w:rPr>
        <w:t>lack of focus on RTC</w:t>
      </w:r>
      <w:r w:rsidR="00A14627" w:rsidRPr="00074B90">
        <w:rPr>
          <w:rFonts w:ascii="Times New Roman" w:hAnsi="Times New Roman" w:cs="Times New Roman"/>
        </w:rPr>
        <w:t xml:space="preserve"> </w:t>
      </w:r>
      <w:r w:rsidR="009060C9" w:rsidRPr="00074B90">
        <w:rPr>
          <w:rFonts w:ascii="Times New Roman" w:hAnsi="Times New Roman" w:cs="Times New Roman"/>
        </w:rPr>
        <w:t xml:space="preserve">is </w:t>
      </w:r>
      <w:r w:rsidR="00A14627" w:rsidRPr="00074B90">
        <w:rPr>
          <w:rFonts w:ascii="Times New Roman" w:hAnsi="Times New Roman" w:cs="Times New Roman"/>
        </w:rPr>
        <w:t xml:space="preserve">in </w:t>
      </w:r>
      <w:r w:rsidR="00B67164" w:rsidRPr="00074B90">
        <w:rPr>
          <w:rFonts w:ascii="Times New Roman" w:hAnsi="Times New Roman" w:cs="Times New Roman"/>
        </w:rPr>
        <w:t xml:space="preserve">stark </w:t>
      </w:r>
      <w:r w:rsidR="00A14627" w:rsidRPr="00074B90">
        <w:rPr>
          <w:rFonts w:ascii="Times New Roman" w:hAnsi="Times New Roman" w:cs="Times New Roman"/>
        </w:rPr>
        <w:t xml:space="preserve">contrast to </w:t>
      </w:r>
      <w:r w:rsidR="00C37B5C" w:rsidRPr="00074B90">
        <w:rPr>
          <w:rFonts w:ascii="Times New Roman" w:hAnsi="Times New Roman" w:cs="Times New Roman"/>
        </w:rPr>
        <w:t xml:space="preserve">the </w:t>
      </w:r>
      <w:r w:rsidR="001A58CC" w:rsidRPr="00074B90">
        <w:rPr>
          <w:rFonts w:ascii="Times New Roman" w:hAnsi="Times New Roman" w:cs="Times New Roman"/>
        </w:rPr>
        <w:t xml:space="preserve">importance placed on </w:t>
      </w:r>
      <w:r w:rsidR="00C37B5C" w:rsidRPr="00074B90">
        <w:rPr>
          <w:rFonts w:ascii="Times New Roman" w:hAnsi="Times New Roman" w:cs="Times New Roman"/>
        </w:rPr>
        <w:t xml:space="preserve">the use of </w:t>
      </w:r>
      <w:r w:rsidR="002C581B" w:rsidRPr="00074B90">
        <w:rPr>
          <w:rFonts w:ascii="Times New Roman" w:hAnsi="Times New Roman" w:cs="Times New Roman"/>
        </w:rPr>
        <w:t xml:space="preserve">RTC in </w:t>
      </w:r>
      <w:r w:rsidR="006C554B" w:rsidRPr="00074B90">
        <w:rPr>
          <w:rFonts w:ascii="Times New Roman" w:hAnsi="Times New Roman" w:cs="Times New Roman"/>
        </w:rPr>
        <w:t xml:space="preserve">current </w:t>
      </w:r>
      <w:r w:rsidR="004F2C44">
        <w:rPr>
          <w:rFonts w:ascii="Times New Roman" w:hAnsi="Times New Roman" w:cs="Times New Roman"/>
        </w:rPr>
        <w:t xml:space="preserve">Norwegian </w:t>
      </w:r>
      <w:r w:rsidR="002C581B" w:rsidRPr="00074B90">
        <w:rPr>
          <w:rFonts w:ascii="Times New Roman" w:hAnsi="Times New Roman" w:cs="Times New Roman"/>
        </w:rPr>
        <w:t>regulations</w:t>
      </w:r>
      <w:r w:rsidR="006C554B" w:rsidRPr="00074B90">
        <w:rPr>
          <w:rFonts w:ascii="Times New Roman" w:hAnsi="Times New Roman" w:cs="Times New Roman"/>
        </w:rPr>
        <w:t xml:space="preserve">. </w:t>
      </w:r>
      <w:r w:rsidR="00DE71FF" w:rsidRPr="00074B90">
        <w:rPr>
          <w:rFonts w:ascii="Times New Roman" w:hAnsi="Times New Roman" w:cs="Times New Roman"/>
        </w:rPr>
        <w:t>From the regulations (</w:t>
      </w:r>
      <w:r w:rsidR="009936AD" w:rsidRPr="00074B90">
        <w:rPr>
          <w:rFonts w:ascii="Times New Roman" w:hAnsi="Times New Roman" w:cs="Times New Roman"/>
        </w:rPr>
        <w:t>PSA, 201</w:t>
      </w:r>
      <w:r w:rsidR="00490871">
        <w:rPr>
          <w:rFonts w:ascii="Times New Roman" w:hAnsi="Times New Roman" w:cs="Times New Roman"/>
        </w:rPr>
        <w:t>9</w:t>
      </w:r>
      <w:r w:rsidR="009936AD" w:rsidRPr="00074B90">
        <w:rPr>
          <w:rFonts w:ascii="Times New Roman" w:hAnsi="Times New Roman" w:cs="Times New Roman"/>
        </w:rPr>
        <w:t>a;</w:t>
      </w:r>
      <w:r w:rsidR="00697A0B">
        <w:rPr>
          <w:rFonts w:ascii="Times New Roman" w:hAnsi="Times New Roman" w:cs="Times New Roman"/>
        </w:rPr>
        <w:t xml:space="preserve"> 2019b;</w:t>
      </w:r>
      <w:r w:rsidR="009936AD" w:rsidRPr="00074B90">
        <w:rPr>
          <w:rFonts w:ascii="Times New Roman" w:hAnsi="Times New Roman" w:cs="Times New Roman"/>
        </w:rPr>
        <w:t xml:space="preserve"> 201</w:t>
      </w:r>
      <w:r w:rsidR="00560B2D">
        <w:rPr>
          <w:rFonts w:ascii="Times New Roman" w:hAnsi="Times New Roman" w:cs="Times New Roman"/>
        </w:rPr>
        <w:t>9c</w:t>
      </w:r>
      <w:r w:rsidR="009936AD" w:rsidRPr="00074B90">
        <w:rPr>
          <w:rFonts w:ascii="Times New Roman" w:hAnsi="Times New Roman" w:cs="Times New Roman"/>
        </w:rPr>
        <w:t>)</w:t>
      </w:r>
      <w:r w:rsidR="00D96B5B" w:rsidRPr="00074B90">
        <w:rPr>
          <w:rFonts w:ascii="Times New Roman" w:hAnsi="Times New Roman" w:cs="Times New Roman"/>
        </w:rPr>
        <w:t xml:space="preserve"> there is a high importance placed on the use of RTC in </w:t>
      </w:r>
      <w:r w:rsidR="003D5E2B" w:rsidRPr="00074B90">
        <w:rPr>
          <w:rFonts w:ascii="Times New Roman" w:hAnsi="Times New Roman" w:cs="Times New Roman"/>
        </w:rPr>
        <w:t>the management of major hazards</w:t>
      </w:r>
      <w:r w:rsidR="00126D5A">
        <w:rPr>
          <w:rFonts w:ascii="Times New Roman" w:hAnsi="Times New Roman" w:cs="Times New Roman"/>
        </w:rPr>
        <w:t xml:space="preserve"> in all phases, from concept design to decommissioning</w:t>
      </w:r>
      <w:r w:rsidR="00926478" w:rsidRPr="00074B90">
        <w:rPr>
          <w:rFonts w:ascii="Times New Roman" w:hAnsi="Times New Roman" w:cs="Times New Roman"/>
        </w:rPr>
        <w:t xml:space="preserve">. </w:t>
      </w:r>
      <w:r w:rsidR="00B14E71" w:rsidRPr="00074B90">
        <w:rPr>
          <w:rFonts w:ascii="Times New Roman" w:hAnsi="Times New Roman" w:cs="Times New Roman"/>
        </w:rPr>
        <w:t xml:space="preserve">With this as background, it becomes totally inexplicable why there is no interest from </w:t>
      </w:r>
      <w:r>
        <w:rPr>
          <w:rFonts w:ascii="Times New Roman" w:hAnsi="Times New Roman" w:cs="Times New Roman"/>
        </w:rPr>
        <w:t xml:space="preserve">the </w:t>
      </w:r>
      <w:r w:rsidR="00B14E71" w:rsidRPr="00074B90">
        <w:rPr>
          <w:rFonts w:ascii="Times New Roman" w:hAnsi="Times New Roman" w:cs="Times New Roman"/>
        </w:rPr>
        <w:t xml:space="preserve">PSA </w:t>
      </w:r>
      <w:r>
        <w:rPr>
          <w:rFonts w:ascii="Times New Roman" w:hAnsi="Times New Roman" w:cs="Times New Roman"/>
        </w:rPr>
        <w:t>in</w:t>
      </w:r>
      <w:r w:rsidR="00B14E71" w:rsidRPr="00074B90">
        <w:rPr>
          <w:rFonts w:ascii="Times New Roman" w:hAnsi="Times New Roman" w:cs="Times New Roman"/>
        </w:rPr>
        <w:t xml:space="preserve"> follow</w:t>
      </w:r>
      <w:r>
        <w:rPr>
          <w:rFonts w:ascii="Times New Roman" w:hAnsi="Times New Roman" w:cs="Times New Roman"/>
        </w:rPr>
        <w:t xml:space="preserve">ing </w:t>
      </w:r>
      <w:r w:rsidR="00B14E71" w:rsidRPr="00074B90">
        <w:rPr>
          <w:rFonts w:ascii="Times New Roman" w:hAnsi="Times New Roman" w:cs="Times New Roman"/>
        </w:rPr>
        <w:t xml:space="preserve">up the </w:t>
      </w:r>
      <w:r w:rsidR="004109EC" w:rsidRPr="00074B90">
        <w:rPr>
          <w:rFonts w:ascii="Times New Roman" w:hAnsi="Times New Roman" w:cs="Times New Roman"/>
        </w:rPr>
        <w:t xml:space="preserve">development </w:t>
      </w:r>
      <w:r w:rsidR="00B14E71" w:rsidRPr="00074B90">
        <w:rPr>
          <w:rFonts w:ascii="Times New Roman" w:hAnsi="Times New Roman" w:cs="Times New Roman"/>
        </w:rPr>
        <w:t>of RTC</w:t>
      </w:r>
      <w:r w:rsidR="004109EC" w:rsidRPr="00074B90">
        <w:rPr>
          <w:rFonts w:ascii="Times New Roman" w:hAnsi="Times New Roman" w:cs="Times New Roman"/>
        </w:rPr>
        <w:t xml:space="preserve"> from operators and owners, in order to ensure that the </w:t>
      </w:r>
      <w:r w:rsidR="002777D0" w:rsidRPr="00074B90">
        <w:rPr>
          <w:rFonts w:ascii="Times New Roman" w:hAnsi="Times New Roman" w:cs="Times New Roman"/>
        </w:rPr>
        <w:t xml:space="preserve">current level of </w:t>
      </w:r>
      <w:r w:rsidR="00DE4DFB" w:rsidRPr="00074B90">
        <w:rPr>
          <w:rFonts w:ascii="Times New Roman" w:hAnsi="Times New Roman" w:cs="Times New Roman"/>
        </w:rPr>
        <w:t xml:space="preserve">general RTC </w:t>
      </w:r>
      <w:r>
        <w:rPr>
          <w:rFonts w:ascii="Times New Roman" w:hAnsi="Times New Roman" w:cs="Times New Roman"/>
        </w:rPr>
        <w:t>is</w:t>
      </w:r>
      <w:r w:rsidR="00DE4DFB" w:rsidRPr="00074B90">
        <w:rPr>
          <w:rFonts w:ascii="Times New Roman" w:hAnsi="Times New Roman" w:cs="Times New Roman"/>
        </w:rPr>
        <w:t xml:space="preserve"> in accordance with the development of risk levels in the </w:t>
      </w:r>
      <w:r w:rsidR="00C925F4" w:rsidRPr="00074B90">
        <w:rPr>
          <w:rFonts w:ascii="Times New Roman" w:hAnsi="Times New Roman" w:cs="Times New Roman"/>
        </w:rPr>
        <w:t xml:space="preserve">offshore industry, worldwide as well as </w:t>
      </w:r>
      <w:r w:rsidR="00171609" w:rsidRPr="00074B90">
        <w:rPr>
          <w:rFonts w:ascii="Times New Roman" w:hAnsi="Times New Roman" w:cs="Times New Roman"/>
        </w:rPr>
        <w:t>specifically for the Norwegian sector.</w:t>
      </w:r>
    </w:p>
    <w:p w14:paraId="3D3A271A" w14:textId="77777777" w:rsidR="004F1DE1" w:rsidRPr="00647D01" w:rsidRDefault="004F1DE1" w:rsidP="004F1DE1">
      <w:pPr>
        <w:spacing w:after="0" w:line="220" w:lineRule="atLeast"/>
        <w:jc w:val="both"/>
        <w:rPr>
          <w:rFonts w:ascii="Times New Roman" w:hAnsi="Times New Roman" w:cs="Times New Roman"/>
        </w:rPr>
      </w:pPr>
    </w:p>
    <w:p w14:paraId="2DBB4B7D" w14:textId="75FA942C" w:rsidR="000956C7" w:rsidRDefault="000956C7" w:rsidP="00B4738B">
      <w:pPr>
        <w:spacing w:after="0" w:line="220" w:lineRule="atLeast"/>
        <w:ind w:firstLine="227"/>
        <w:jc w:val="both"/>
        <w:rPr>
          <w:rFonts w:ascii="Times New Roman" w:hAnsi="Times New Roman" w:cs="Times New Roman"/>
        </w:rPr>
      </w:pPr>
    </w:p>
    <w:p w14:paraId="652C418C" w14:textId="02B2C885" w:rsidR="00D83232" w:rsidRPr="002E6D91" w:rsidRDefault="00D83232" w:rsidP="00D83232">
      <w:pPr>
        <w:pStyle w:val="Overskrift1"/>
      </w:pPr>
      <w:r>
        <w:t>A</w:t>
      </w:r>
      <w:r w:rsidRPr="002E6D91">
        <w:t>cknowledgement</w:t>
      </w:r>
    </w:p>
    <w:p w14:paraId="6DDB81F5" w14:textId="5EC7E171" w:rsidR="00D83232" w:rsidRPr="00287BB9" w:rsidRDefault="00D83232" w:rsidP="00287BB9">
      <w:pPr>
        <w:spacing w:after="0" w:line="220" w:lineRule="atLeast"/>
        <w:ind w:firstLine="227"/>
        <w:jc w:val="both"/>
        <w:rPr>
          <w:rFonts w:ascii="Times New Roman" w:hAnsi="Times New Roman" w:cs="Times New Roman"/>
        </w:rPr>
      </w:pPr>
      <w:r w:rsidRPr="00287BB9">
        <w:rPr>
          <w:rFonts w:ascii="Times New Roman" w:hAnsi="Times New Roman" w:cs="Times New Roman"/>
        </w:rPr>
        <w:t>The contributions from Silje J. Budde, Safetec Nordic AS, to the analysis of the case study on which the paper is based are gratefully acknowledged.</w:t>
      </w:r>
      <w:r w:rsidR="00B9128C">
        <w:rPr>
          <w:rFonts w:ascii="Times New Roman" w:hAnsi="Times New Roman" w:cs="Times New Roman"/>
        </w:rPr>
        <w:t xml:space="preserve"> The contribution from the anonymous reviewer is gratefully acknowledged.</w:t>
      </w:r>
    </w:p>
    <w:p w14:paraId="2913518C" w14:textId="77777777" w:rsidR="00D83232" w:rsidRPr="00D83232" w:rsidRDefault="00D83232" w:rsidP="00B4738B">
      <w:pPr>
        <w:spacing w:after="0" w:line="220" w:lineRule="atLeast"/>
        <w:ind w:firstLine="227"/>
        <w:jc w:val="both"/>
        <w:rPr>
          <w:rFonts w:ascii="Times New Roman" w:hAnsi="Times New Roman" w:cs="Times New Roman"/>
          <w:lang w:val="en-GB"/>
        </w:rPr>
      </w:pPr>
    </w:p>
    <w:p w14:paraId="37D70805" w14:textId="77777777" w:rsidR="00D06F46" w:rsidRPr="00E55F69" w:rsidRDefault="00D06F46" w:rsidP="00B4738B">
      <w:pPr>
        <w:keepNext/>
        <w:spacing w:before="230" w:after="100" w:line="220" w:lineRule="atLeast"/>
        <w:ind w:left="227" w:hanging="227"/>
        <w:rPr>
          <w:rFonts w:ascii="Times New Roman" w:hAnsi="Times New Roman" w:cs="Times New Roman"/>
          <w:b/>
          <w:sz w:val="20"/>
          <w:szCs w:val="20"/>
          <w:lang w:val="en-GB"/>
        </w:rPr>
      </w:pPr>
      <w:r w:rsidRPr="00E55F69">
        <w:rPr>
          <w:rFonts w:ascii="Times New Roman" w:hAnsi="Times New Roman" w:cs="Times New Roman"/>
          <w:b/>
          <w:sz w:val="20"/>
          <w:szCs w:val="20"/>
          <w:lang w:val="en-GB"/>
        </w:rPr>
        <w:t>References</w:t>
      </w:r>
    </w:p>
    <w:p w14:paraId="20A8D08E" w14:textId="0C547778" w:rsidR="006416D5" w:rsidRDefault="008F56DA" w:rsidP="00B4738B">
      <w:pPr>
        <w:autoSpaceDE w:val="0"/>
        <w:autoSpaceDN w:val="0"/>
        <w:adjustRightInd w:val="0"/>
        <w:spacing w:after="0" w:line="220" w:lineRule="atLeast"/>
        <w:ind w:left="357" w:hanging="357"/>
        <w:jc w:val="both"/>
        <w:rPr>
          <w:rFonts w:ascii="Times New Roman" w:hAnsi="Times New Roman" w:cs="Times New Roman"/>
          <w:spacing w:val="-2"/>
          <w:sz w:val="20"/>
          <w:szCs w:val="20"/>
          <w:lang w:val="en-GB"/>
        </w:rPr>
      </w:pPr>
      <w:r w:rsidRPr="008F56DA">
        <w:rPr>
          <w:rFonts w:ascii="Times New Roman" w:hAnsi="Times New Roman" w:cs="Times New Roman"/>
          <w:spacing w:val="-2"/>
          <w:sz w:val="20"/>
          <w:szCs w:val="20"/>
          <w:lang w:val="en-GB"/>
        </w:rPr>
        <w:t xml:space="preserve">AkerBP (2020). Capital Markets Update, Aker BP ASA, 11 February 2020 </w:t>
      </w:r>
      <w:hyperlink r:id="rId12" w:history="1">
        <w:r w:rsidR="006416D5" w:rsidRPr="008A78DB">
          <w:rPr>
            <w:rStyle w:val="Hyperkobling"/>
            <w:rFonts w:ascii="Times New Roman" w:hAnsi="Times New Roman" w:cs="Times New Roman"/>
            <w:spacing w:val="-2"/>
            <w:sz w:val="20"/>
            <w:szCs w:val="20"/>
            <w:lang w:val="en-GB"/>
          </w:rPr>
          <w:t>https://www.akerbp.com/wp-content/uploads/2020/02/Aker-BP-CMU-2020-web.pdf</w:t>
        </w:r>
      </w:hyperlink>
    </w:p>
    <w:p w14:paraId="37A355AB" w14:textId="0570F896" w:rsidR="001272FC" w:rsidRPr="0028550C" w:rsidRDefault="001272FC" w:rsidP="001272FC">
      <w:pPr>
        <w:autoSpaceDE w:val="0"/>
        <w:autoSpaceDN w:val="0"/>
        <w:adjustRightInd w:val="0"/>
        <w:spacing w:after="0" w:line="220" w:lineRule="atLeast"/>
        <w:ind w:left="357" w:hanging="357"/>
        <w:jc w:val="both"/>
        <w:rPr>
          <w:rFonts w:ascii="Times New Roman" w:hAnsi="Times New Roman" w:cs="Times New Roman"/>
          <w:spacing w:val="-2"/>
          <w:sz w:val="20"/>
          <w:szCs w:val="20"/>
          <w:lang w:val="en-GB"/>
        </w:rPr>
      </w:pPr>
      <w:r w:rsidRPr="00A75975">
        <w:rPr>
          <w:rFonts w:ascii="Times New Roman" w:hAnsi="Times New Roman" w:cs="Times New Roman"/>
          <w:spacing w:val="-2"/>
          <w:sz w:val="20"/>
          <w:szCs w:val="20"/>
          <w:lang w:val="nn-NO"/>
        </w:rPr>
        <w:t>Almeida, A.G. and Vinnem, J.E. (2020)</w:t>
      </w:r>
      <w:r w:rsidR="005F599B" w:rsidRPr="00A75975">
        <w:rPr>
          <w:rFonts w:ascii="Times New Roman" w:hAnsi="Times New Roman" w:cs="Times New Roman"/>
          <w:spacing w:val="-2"/>
          <w:sz w:val="20"/>
          <w:szCs w:val="20"/>
          <w:lang w:val="nn-NO"/>
        </w:rPr>
        <w:t>.</w:t>
      </w:r>
      <w:r w:rsidRPr="00A75975">
        <w:rPr>
          <w:rFonts w:ascii="Times New Roman" w:hAnsi="Times New Roman" w:cs="Times New Roman"/>
          <w:spacing w:val="-2"/>
          <w:sz w:val="20"/>
          <w:szCs w:val="20"/>
          <w:lang w:val="nn-NO"/>
        </w:rPr>
        <w:t xml:space="preserve"> </w:t>
      </w:r>
      <w:r w:rsidRPr="0028550C">
        <w:rPr>
          <w:rFonts w:ascii="Times New Roman" w:hAnsi="Times New Roman" w:cs="Times New Roman"/>
          <w:spacing w:val="-2"/>
          <w:sz w:val="20"/>
          <w:szCs w:val="20"/>
          <w:lang w:val="en-GB"/>
        </w:rPr>
        <w:t>Major accident prevention illustrated by hydrocarbon leak case studies: A comparison between Brazilian and Norwegian offshore functional petroleum safety regulatory approaches. Safety Science</w:t>
      </w:r>
      <w:r w:rsidR="005D5381">
        <w:rPr>
          <w:rFonts w:ascii="Times New Roman" w:hAnsi="Times New Roman" w:cs="Times New Roman"/>
          <w:spacing w:val="-2"/>
          <w:sz w:val="20"/>
          <w:szCs w:val="20"/>
          <w:lang w:val="en-GB"/>
        </w:rPr>
        <w:t>,</w:t>
      </w:r>
      <w:r w:rsidRPr="0028550C">
        <w:rPr>
          <w:rFonts w:ascii="Times New Roman" w:hAnsi="Times New Roman" w:cs="Times New Roman"/>
          <w:spacing w:val="-2"/>
          <w:sz w:val="20"/>
          <w:szCs w:val="20"/>
          <w:lang w:val="en-GB"/>
        </w:rPr>
        <w:t xml:space="preserve"> 121</w:t>
      </w:r>
      <w:r w:rsidR="005D5381">
        <w:rPr>
          <w:rFonts w:ascii="Times New Roman" w:hAnsi="Times New Roman" w:cs="Times New Roman"/>
          <w:spacing w:val="-2"/>
          <w:sz w:val="20"/>
          <w:szCs w:val="20"/>
          <w:lang w:val="en-GB"/>
        </w:rPr>
        <w:t>, 625-665</w:t>
      </w:r>
      <w:r w:rsidRPr="0028550C">
        <w:rPr>
          <w:rFonts w:ascii="Times New Roman" w:hAnsi="Times New Roman" w:cs="Times New Roman"/>
          <w:spacing w:val="-2"/>
          <w:sz w:val="20"/>
          <w:szCs w:val="20"/>
          <w:lang w:val="en-GB"/>
        </w:rPr>
        <w:t>.</w:t>
      </w:r>
    </w:p>
    <w:p w14:paraId="0A4FFE1D" w14:textId="7468C444" w:rsidR="009208D7" w:rsidRDefault="009208D7" w:rsidP="00B4738B">
      <w:pPr>
        <w:autoSpaceDE w:val="0"/>
        <w:autoSpaceDN w:val="0"/>
        <w:adjustRightInd w:val="0"/>
        <w:spacing w:after="0" w:line="220" w:lineRule="atLeast"/>
        <w:ind w:left="357" w:hanging="357"/>
        <w:jc w:val="both"/>
        <w:rPr>
          <w:rFonts w:ascii="Times New Roman" w:hAnsi="Times New Roman" w:cs="Times New Roman"/>
          <w:spacing w:val="-2"/>
          <w:sz w:val="20"/>
          <w:szCs w:val="20"/>
          <w:lang w:val="en-GB"/>
        </w:rPr>
      </w:pPr>
      <w:r w:rsidRPr="00E55F69">
        <w:rPr>
          <w:rFonts w:ascii="Times New Roman" w:hAnsi="Times New Roman" w:cs="Times New Roman"/>
          <w:spacing w:val="-2"/>
          <w:sz w:val="20"/>
          <w:szCs w:val="20"/>
          <w:lang w:val="en-GB"/>
        </w:rPr>
        <w:t xml:space="preserve">ASD (2013). </w:t>
      </w:r>
      <w:r w:rsidR="0063740D" w:rsidRPr="00B3721C">
        <w:rPr>
          <w:rFonts w:ascii="Times New Roman" w:hAnsi="Times New Roman" w:cs="Times New Roman"/>
          <w:spacing w:val="-2"/>
          <w:sz w:val="20"/>
          <w:szCs w:val="20"/>
          <w:lang w:val="en-GB"/>
        </w:rPr>
        <w:t>Supervi</w:t>
      </w:r>
      <w:r w:rsidR="00326105" w:rsidRPr="00B3721C">
        <w:rPr>
          <w:rFonts w:ascii="Times New Roman" w:hAnsi="Times New Roman" w:cs="Times New Roman"/>
          <w:spacing w:val="-2"/>
          <w:sz w:val="20"/>
          <w:szCs w:val="20"/>
          <w:lang w:val="en-GB"/>
        </w:rPr>
        <w:t>sory strategy and HES regu</w:t>
      </w:r>
      <w:r w:rsidR="004F3056">
        <w:rPr>
          <w:rFonts w:ascii="Times New Roman" w:hAnsi="Times New Roman" w:cs="Times New Roman"/>
          <w:spacing w:val="-2"/>
          <w:sz w:val="20"/>
          <w:szCs w:val="20"/>
          <w:lang w:val="en-GB"/>
        </w:rPr>
        <w:softHyphen/>
      </w:r>
      <w:r w:rsidR="00326105" w:rsidRPr="00B3721C">
        <w:rPr>
          <w:rFonts w:ascii="Times New Roman" w:hAnsi="Times New Roman" w:cs="Times New Roman"/>
          <w:spacing w:val="-2"/>
          <w:sz w:val="20"/>
          <w:szCs w:val="20"/>
          <w:lang w:val="en-GB"/>
        </w:rPr>
        <w:t xml:space="preserve">lations in Norwegian </w:t>
      </w:r>
      <w:r w:rsidR="00503B7F" w:rsidRPr="00B3721C">
        <w:rPr>
          <w:rFonts w:ascii="Times New Roman" w:hAnsi="Times New Roman" w:cs="Times New Roman"/>
          <w:spacing w:val="-2"/>
          <w:sz w:val="20"/>
          <w:szCs w:val="20"/>
          <w:lang w:val="en-GB"/>
        </w:rPr>
        <w:t xml:space="preserve">petroleum activities, </w:t>
      </w:r>
      <w:r w:rsidR="002B162B">
        <w:rPr>
          <w:rFonts w:ascii="Times New Roman" w:hAnsi="Times New Roman" w:cs="Times New Roman"/>
          <w:spacing w:val="-2"/>
          <w:sz w:val="20"/>
          <w:szCs w:val="20"/>
          <w:lang w:val="en-GB"/>
        </w:rPr>
        <w:t>R</w:t>
      </w:r>
      <w:r w:rsidR="00250A62" w:rsidRPr="00B3721C">
        <w:rPr>
          <w:rFonts w:ascii="Times New Roman" w:hAnsi="Times New Roman" w:cs="Times New Roman"/>
          <w:spacing w:val="-2"/>
          <w:sz w:val="20"/>
          <w:szCs w:val="20"/>
          <w:lang w:val="en-GB"/>
        </w:rPr>
        <w:t xml:space="preserve">eport from an expert group to Ministry of </w:t>
      </w:r>
      <w:r w:rsidR="00706C61" w:rsidRPr="00B3721C">
        <w:rPr>
          <w:rFonts w:ascii="Times New Roman" w:hAnsi="Times New Roman" w:cs="Times New Roman"/>
          <w:spacing w:val="-2"/>
          <w:sz w:val="20"/>
          <w:szCs w:val="20"/>
          <w:lang w:val="en-GB"/>
        </w:rPr>
        <w:t>Labour and Social Affairs</w:t>
      </w:r>
      <w:r w:rsidR="00D13C82" w:rsidRPr="00B3721C">
        <w:rPr>
          <w:rFonts w:ascii="Times New Roman" w:hAnsi="Times New Roman" w:cs="Times New Roman"/>
          <w:spacing w:val="-2"/>
          <w:sz w:val="20"/>
          <w:szCs w:val="20"/>
          <w:lang w:val="en-GB"/>
        </w:rPr>
        <w:t xml:space="preserve"> </w:t>
      </w:r>
      <w:r w:rsidRPr="00B3721C">
        <w:rPr>
          <w:rFonts w:ascii="Times New Roman" w:hAnsi="Times New Roman" w:cs="Times New Roman"/>
          <w:spacing w:val="-2"/>
          <w:sz w:val="20"/>
          <w:szCs w:val="20"/>
          <w:lang w:val="en-GB"/>
        </w:rPr>
        <w:t>27.8.2013 (in Norwegian only)</w:t>
      </w:r>
      <w:r w:rsidR="000E4CEE">
        <w:rPr>
          <w:rFonts w:ascii="Times New Roman" w:hAnsi="Times New Roman" w:cs="Times New Roman"/>
          <w:spacing w:val="-2"/>
          <w:sz w:val="20"/>
          <w:szCs w:val="20"/>
          <w:lang w:val="en-GB"/>
        </w:rPr>
        <w:t xml:space="preserve">, </w:t>
      </w:r>
      <w:r w:rsidR="000E4CEE" w:rsidRPr="00B3721C">
        <w:rPr>
          <w:rFonts w:ascii="Times New Roman" w:hAnsi="Times New Roman" w:cs="Times New Roman"/>
          <w:spacing w:val="-2"/>
          <w:sz w:val="20"/>
          <w:szCs w:val="20"/>
          <w:lang w:val="en-GB"/>
        </w:rPr>
        <w:t>Ministry of Labour and Social Affairs</w:t>
      </w:r>
    </w:p>
    <w:p w14:paraId="719D8712" w14:textId="77777777" w:rsidR="00E83BD1" w:rsidRPr="0028550C" w:rsidRDefault="00E83BD1" w:rsidP="00E83BD1">
      <w:pPr>
        <w:autoSpaceDE w:val="0"/>
        <w:autoSpaceDN w:val="0"/>
        <w:adjustRightInd w:val="0"/>
        <w:spacing w:after="0" w:line="220" w:lineRule="atLeast"/>
        <w:ind w:left="357" w:hanging="357"/>
        <w:jc w:val="both"/>
        <w:rPr>
          <w:rFonts w:ascii="Times New Roman" w:hAnsi="Times New Roman" w:cs="Times New Roman"/>
          <w:spacing w:val="-2"/>
          <w:sz w:val="20"/>
          <w:szCs w:val="20"/>
          <w:lang w:val="en-GB"/>
        </w:rPr>
      </w:pPr>
      <w:r w:rsidRPr="0028550C">
        <w:rPr>
          <w:rFonts w:ascii="Times New Roman" w:hAnsi="Times New Roman" w:cs="Times New Roman"/>
          <w:spacing w:val="-2"/>
          <w:sz w:val="20"/>
          <w:szCs w:val="20"/>
          <w:lang w:val="en-GB"/>
        </w:rPr>
        <w:t>ASD (2018). Health, safety and environment in the petroleum industry, Report to the Storting (white paper), Meld. St. 12 (2017–2018), 6.4.2018</w:t>
      </w:r>
    </w:p>
    <w:p w14:paraId="005566F8" w14:textId="723E6401" w:rsidR="008056F3" w:rsidRDefault="008056F3" w:rsidP="00B4738B">
      <w:pPr>
        <w:autoSpaceDE w:val="0"/>
        <w:autoSpaceDN w:val="0"/>
        <w:adjustRightInd w:val="0"/>
        <w:spacing w:after="0" w:line="220" w:lineRule="atLeast"/>
        <w:ind w:left="357" w:hanging="357"/>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Auditor General</w:t>
      </w:r>
      <w:r w:rsidR="00DD333B">
        <w:rPr>
          <w:rFonts w:ascii="Times New Roman" w:hAnsi="Times New Roman" w:cs="Times New Roman"/>
          <w:spacing w:val="-2"/>
          <w:sz w:val="20"/>
          <w:szCs w:val="20"/>
          <w:lang w:val="en-GB"/>
        </w:rPr>
        <w:t xml:space="preserve"> (2019)</w:t>
      </w:r>
      <w:r w:rsidR="005D5381">
        <w:rPr>
          <w:rFonts w:ascii="Times New Roman" w:hAnsi="Times New Roman" w:cs="Times New Roman"/>
          <w:spacing w:val="-2"/>
          <w:sz w:val="20"/>
          <w:szCs w:val="20"/>
          <w:lang w:val="en-GB"/>
        </w:rPr>
        <w:t>.</w:t>
      </w:r>
      <w:r w:rsidR="00DD333B">
        <w:rPr>
          <w:rFonts w:ascii="Times New Roman" w:hAnsi="Times New Roman" w:cs="Times New Roman"/>
          <w:spacing w:val="-2"/>
          <w:sz w:val="20"/>
          <w:szCs w:val="20"/>
          <w:lang w:val="en-GB"/>
        </w:rPr>
        <w:t xml:space="preserve"> </w:t>
      </w:r>
      <w:r w:rsidR="00546AE1">
        <w:rPr>
          <w:rFonts w:ascii="Times New Roman" w:hAnsi="Times New Roman" w:cs="Times New Roman"/>
          <w:spacing w:val="-2"/>
          <w:sz w:val="20"/>
          <w:szCs w:val="20"/>
          <w:lang w:val="en-GB"/>
        </w:rPr>
        <w:t xml:space="preserve">Study of the Petroleum Safety Authority’s follow-up of </w:t>
      </w:r>
      <w:r w:rsidR="00304C98">
        <w:rPr>
          <w:rFonts w:ascii="Times New Roman" w:hAnsi="Times New Roman" w:cs="Times New Roman"/>
          <w:spacing w:val="-2"/>
          <w:sz w:val="20"/>
          <w:szCs w:val="20"/>
          <w:lang w:val="en-GB"/>
        </w:rPr>
        <w:t xml:space="preserve">health, environment and safety, </w:t>
      </w:r>
      <w:r w:rsidR="00AA34A7">
        <w:rPr>
          <w:rFonts w:ascii="Times New Roman" w:hAnsi="Times New Roman" w:cs="Times New Roman"/>
          <w:spacing w:val="-2"/>
          <w:sz w:val="20"/>
          <w:szCs w:val="20"/>
          <w:lang w:val="en-GB"/>
        </w:rPr>
        <w:t>15.1.2019</w:t>
      </w:r>
      <w:r w:rsidR="005D5381">
        <w:rPr>
          <w:rFonts w:ascii="Times New Roman" w:hAnsi="Times New Roman" w:cs="Times New Roman"/>
          <w:spacing w:val="-2"/>
          <w:sz w:val="20"/>
          <w:szCs w:val="20"/>
          <w:lang w:val="en-GB"/>
        </w:rPr>
        <w:t>.</w:t>
      </w:r>
    </w:p>
    <w:p w14:paraId="0C10055F" w14:textId="5E8F6B94" w:rsidR="00FB19B9" w:rsidRPr="0028550C" w:rsidRDefault="00FB19B9" w:rsidP="00FB19B9">
      <w:pPr>
        <w:autoSpaceDE w:val="0"/>
        <w:autoSpaceDN w:val="0"/>
        <w:adjustRightInd w:val="0"/>
        <w:spacing w:after="0" w:line="220" w:lineRule="atLeast"/>
        <w:ind w:left="357" w:hanging="357"/>
        <w:jc w:val="both"/>
        <w:rPr>
          <w:rFonts w:ascii="Times New Roman" w:hAnsi="Times New Roman" w:cs="Times New Roman"/>
          <w:spacing w:val="-2"/>
          <w:sz w:val="20"/>
          <w:szCs w:val="20"/>
          <w:lang w:val="en-GB"/>
        </w:rPr>
      </w:pPr>
      <w:r w:rsidRPr="0028550C">
        <w:rPr>
          <w:rFonts w:ascii="Times New Roman" w:hAnsi="Times New Roman" w:cs="Times New Roman"/>
          <w:spacing w:val="-2"/>
          <w:sz w:val="20"/>
          <w:szCs w:val="20"/>
          <w:lang w:val="en-GB"/>
        </w:rPr>
        <w:t>Aven, T., Vinnem, J.E. and Vollen, F. (2006)</w:t>
      </w:r>
      <w:r w:rsidR="005F599B">
        <w:rPr>
          <w:rFonts w:ascii="Times New Roman" w:hAnsi="Times New Roman" w:cs="Times New Roman"/>
          <w:spacing w:val="-2"/>
          <w:sz w:val="20"/>
          <w:szCs w:val="20"/>
          <w:lang w:val="en-GB"/>
        </w:rPr>
        <w:t>.</w:t>
      </w:r>
      <w:r w:rsidRPr="0028550C">
        <w:rPr>
          <w:rFonts w:ascii="Times New Roman" w:hAnsi="Times New Roman" w:cs="Times New Roman"/>
          <w:spacing w:val="-2"/>
          <w:sz w:val="20"/>
          <w:szCs w:val="20"/>
          <w:lang w:val="en-GB"/>
        </w:rPr>
        <w:t xml:space="preserve"> Perspectives on risk acceptance criteria and management for off</w:t>
      </w:r>
      <w:r w:rsidR="005D5381">
        <w:rPr>
          <w:rFonts w:ascii="Times New Roman" w:hAnsi="Times New Roman" w:cs="Times New Roman"/>
          <w:spacing w:val="-2"/>
          <w:sz w:val="20"/>
          <w:szCs w:val="20"/>
          <w:lang w:val="en-GB"/>
        </w:rPr>
        <w:t>-</w:t>
      </w:r>
      <w:r w:rsidRPr="0028550C">
        <w:rPr>
          <w:rFonts w:ascii="Times New Roman" w:hAnsi="Times New Roman" w:cs="Times New Roman"/>
          <w:spacing w:val="-2"/>
          <w:sz w:val="20"/>
          <w:szCs w:val="20"/>
          <w:lang w:val="en-GB"/>
        </w:rPr>
        <w:t>shore installations – application to a development project. Int. J. of Materials and Structural Reliability, 4, 15-25.</w:t>
      </w:r>
    </w:p>
    <w:p w14:paraId="6425560F" w14:textId="3F1EF84A" w:rsidR="00D567B2" w:rsidRDefault="00D567B2" w:rsidP="00B4738B">
      <w:pPr>
        <w:autoSpaceDE w:val="0"/>
        <w:autoSpaceDN w:val="0"/>
        <w:adjustRightInd w:val="0"/>
        <w:spacing w:after="0" w:line="220" w:lineRule="atLeast"/>
        <w:ind w:left="357" w:hanging="357"/>
        <w:jc w:val="both"/>
        <w:rPr>
          <w:rFonts w:ascii="Times New Roman" w:hAnsi="Times New Roman" w:cs="Times New Roman"/>
          <w:spacing w:val="-2"/>
          <w:sz w:val="20"/>
          <w:szCs w:val="20"/>
          <w:lang w:val="en-GB"/>
        </w:rPr>
      </w:pPr>
      <w:r w:rsidRPr="00C64C1A">
        <w:rPr>
          <w:rFonts w:ascii="Times New Roman" w:hAnsi="Times New Roman" w:cs="Times New Roman"/>
          <w:spacing w:val="-2"/>
          <w:sz w:val="20"/>
          <w:szCs w:val="20"/>
          <w:lang w:val="en-GB"/>
        </w:rPr>
        <w:t xml:space="preserve">Aven, T. and Vinnem, J.E. </w:t>
      </w:r>
      <w:r w:rsidR="005F599B">
        <w:rPr>
          <w:rFonts w:ascii="Times New Roman" w:hAnsi="Times New Roman" w:cs="Times New Roman"/>
          <w:spacing w:val="-2"/>
          <w:sz w:val="20"/>
          <w:szCs w:val="20"/>
          <w:lang w:val="en-GB"/>
        </w:rPr>
        <w:t>(</w:t>
      </w:r>
      <w:r w:rsidRPr="00C64C1A">
        <w:rPr>
          <w:rFonts w:ascii="Times New Roman" w:hAnsi="Times New Roman" w:cs="Times New Roman"/>
          <w:spacing w:val="-2"/>
          <w:sz w:val="20"/>
          <w:szCs w:val="20"/>
          <w:lang w:val="en-GB"/>
        </w:rPr>
        <w:t>2007</w:t>
      </w:r>
      <w:r w:rsidR="005F599B">
        <w:rPr>
          <w:rFonts w:ascii="Times New Roman" w:hAnsi="Times New Roman" w:cs="Times New Roman"/>
          <w:spacing w:val="-2"/>
          <w:sz w:val="20"/>
          <w:szCs w:val="20"/>
          <w:lang w:val="en-GB"/>
        </w:rPr>
        <w:t>)</w:t>
      </w:r>
      <w:r w:rsidRPr="00C64C1A">
        <w:rPr>
          <w:rFonts w:ascii="Times New Roman" w:hAnsi="Times New Roman" w:cs="Times New Roman"/>
          <w:spacing w:val="-2"/>
          <w:sz w:val="20"/>
          <w:szCs w:val="20"/>
          <w:lang w:val="en-GB"/>
        </w:rPr>
        <w:t xml:space="preserve">. </w:t>
      </w:r>
      <w:r w:rsidR="00C64C1A" w:rsidRPr="00C64C1A">
        <w:rPr>
          <w:rFonts w:ascii="Times New Roman" w:hAnsi="Times New Roman" w:cs="Times New Roman"/>
          <w:spacing w:val="-2"/>
          <w:sz w:val="20"/>
          <w:szCs w:val="20"/>
          <w:lang w:val="en-GB"/>
        </w:rPr>
        <w:t>Risk</w:t>
      </w:r>
      <w:r w:rsidR="00C64C1A">
        <w:rPr>
          <w:rFonts w:ascii="Times New Roman" w:hAnsi="Times New Roman" w:cs="Times New Roman"/>
          <w:spacing w:val="-2"/>
          <w:sz w:val="20"/>
          <w:szCs w:val="20"/>
          <w:lang w:val="en-GB"/>
        </w:rPr>
        <w:t xml:space="preserve"> manage</w:t>
      </w:r>
      <w:r w:rsidR="005E3947">
        <w:rPr>
          <w:rFonts w:ascii="Times New Roman" w:hAnsi="Times New Roman" w:cs="Times New Roman"/>
          <w:spacing w:val="-2"/>
          <w:sz w:val="20"/>
          <w:szCs w:val="20"/>
          <w:lang w:val="en-GB"/>
        </w:rPr>
        <w:softHyphen/>
      </w:r>
      <w:r w:rsidR="00C64C1A">
        <w:rPr>
          <w:rFonts w:ascii="Times New Roman" w:hAnsi="Times New Roman" w:cs="Times New Roman"/>
          <w:spacing w:val="-2"/>
          <w:sz w:val="20"/>
          <w:szCs w:val="20"/>
          <w:lang w:val="en-GB"/>
        </w:rPr>
        <w:t xml:space="preserve">ment, with applications from the </w:t>
      </w:r>
      <w:r w:rsidR="006D74B8">
        <w:rPr>
          <w:rFonts w:ascii="Times New Roman" w:hAnsi="Times New Roman" w:cs="Times New Roman"/>
          <w:spacing w:val="-2"/>
          <w:sz w:val="20"/>
          <w:szCs w:val="20"/>
          <w:lang w:val="en-GB"/>
        </w:rPr>
        <w:t>offshore pet</w:t>
      </w:r>
      <w:r w:rsidR="005E3947">
        <w:rPr>
          <w:rFonts w:ascii="Times New Roman" w:hAnsi="Times New Roman" w:cs="Times New Roman"/>
          <w:spacing w:val="-2"/>
          <w:sz w:val="20"/>
          <w:szCs w:val="20"/>
          <w:lang w:val="en-GB"/>
        </w:rPr>
        <w:softHyphen/>
      </w:r>
      <w:r w:rsidR="006D74B8">
        <w:rPr>
          <w:rFonts w:ascii="Times New Roman" w:hAnsi="Times New Roman" w:cs="Times New Roman"/>
          <w:spacing w:val="-2"/>
          <w:sz w:val="20"/>
          <w:szCs w:val="20"/>
          <w:lang w:val="en-GB"/>
        </w:rPr>
        <w:t>roleum industry</w:t>
      </w:r>
      <w:r w:rsidR="005D5381">
        <w:rPr>
          <w:rFonts w:ascii="Times New Roman" w:hAnsi="Times New Roman" w:cs="Times New Roman"/>
          <w:spacing w:val="-2"/>
          <w:sz w:val="20"/>
          <w:szCs w:val="20"/>
          <w:lang w:val="en-GB"/>
        </w:rPr>
        <w:t>.</w:t>
      </w:r>
      <w:r w:rsidR="006D74B8">
        <w:rPr>
          <w:rFonts w:ascii="Times New Roman" w:hAnsi="Times New Roman" w:cs="Times New Roman"/>
          <w:spacing w:val="-2"/>
          <w:sz w:val="20"/>
          <w:szCs w:val="20"/>
          <w:lang w:val="en-GB"/>
        </w:rPr>
        <w:t xml:space="preserve"> Springer</w:t>
      </w:r>
      <w:r w:rsidR="005D5381">
        <w:rPr>
          <w:rFonts w:ascii="Times New Roman" w:hAnsi="Times New Roman" w:cs="Times New Roman"/>
          <w:spacing w:val="-2"/>
          <w:sz w:val="20"/>
          <w:szCs w:val="20"/>
          <w:lang w:val="en-GB"/>
        </w:rPr>
        <w:t>.</w:t>
      </w:r>
    </w:p>
    <w:p w14:paraId="489AED55" w14:textId="2227FB76" w:rsidR="004943F1" w:rsidRDefault="004943F1" w:rsidP="00B4738B">
      <w:pPr>
        <w:autoSpaceDE w:val="0"/>
        <w:autoSpaceDN w:val="0"/>
        <w:adjustRightInd w:val="0"/>
        <w:spacing w:after="0" w:line="220" w:lineRule="atLeast"/>
        <w:ind w:left="357" w:hanging="357"/>
        <w:jc w:val="both"/>
        <w:rPr>
          <w:rFonts w:ascii="Times New Roman" w:hAnsi="Times New Roman" w:cs="Times New Roman"/>
          <w:spacing w:val="-2"/>
          <w:sz w:val="20"/>
          <w:szCs w:val="20"/>
        </w:rPr>
      </w:pPr>
      <w:r w:rsidRPr="00580EA5">
        <w:rPr>
          <w:rFonts w:ascii="Times New Roman" w:hAnsi="Times New Roman" w:cs="Times New Roman"/>
          <w:spacing w:val="-2"/>
          <w:sz w:val="20"/>
          <w:szCs w:val="20"/>
        </w:rPr>
        <w:t>Bye, J. et al. (2018). Study of New Opera</w:t>
      </w:r>
      <w:r>
        <w:rPr>
          <w:rFonts w:ascii="Times New Roman" w:hAnsi="Times New Roman" w:cs="Times New Roman"/>
          <w:spacing w:val="-2"/>
          <w:sz w:val="20"/>
          <w:szCs w:val="20"/>
        </w:rPr>
        <w:softHyphen/>
      </w:r>
      <w:r w:rsidRPr="00580EA5">
        <w:rPr>
          <w:rFonts w:ascii="Times New Roman" w:hAnsi="Times New Roman" w:cs="Times New Roman"/>
          <w:spacing w:val="-2"/>
          <w:sz w:val="20"/>
          <w:szCs w:val="20"/>
        </w:rPr>
        <w:t>tional Concepts in the Petroleum Industry (in Norwegian only), Safetec report ST-12578-2, 8.2.2018</w:t>
      </w:r>
    </w:p>
    <w:p w14:paraId="637E7D25" w14:textId="34DF34AF" w:rsidR="004F1407" w:rsidRDefault="00032987" w:rsidP="00B4738B">
      <w:pPr>
        <w:pStyle w:val="Referencetext"/>
        <w:spacing w:line="220" w:lineRule="atLeast"/>
        <w:rPr>
          <w:lang w:val="en-GB"/>
        </w:rPr>
      </w:pPr>
      <w:r w:rsidRPr="00DF5E9F">
        <w:rPr>
          <w:lang w:val="nn-NO"/>
        </w:rPr>
        <w:t>Hokstad</w:t>
      </w:r>
      <w:r w:rsidR="005D5381" w:rsidRPr="00DF5E9F">
        <w:rPr>
          <w:lang w:val="nn-NO"/>
        </w:rPr>
        <w:t>,</w:t>
      </w:r>
      <w:r w:rsidRPr="00DF5E9F">
        <w:rPr>
          <w:lang w:val="nn-NO"/>
        </w:rPr>
        <w:t xml:space="preserve"> P</w:t>
      </w:r>
      <w:r w:rsidR="005D5381" w:rsidRPr="00DF5E9F">
        <w:rPr>
          <w:lang w:val="nn-NO"/>
        </w:rPr>
        <w:t>.</w:t>
      </w:r>
      <w:r w:rsidRPr="00DF5E9F">
        <w:rPr>
          <w:lang w:val="nn-NO"/>
        </w:rPr>
        <w:t>, Vatn</w:t>
      </w:r>
      <w:r w:rsidR="005D5381" w:rsidRPr="00DF5E9F">
        <w:rPr>
          <w:lang w:val="nn-NO"/>
        </w:rPr>
        <w:t>,</w:t>
      </w:r>
      <w:r w:rsidRPr="00DF5E9F">
        <w:rPr>
          <w:lang w:val="nn-NO"/>
        </w:rPr>
        <w:t xml:space="preserve"> J</w:t>
      </w:r>
      <w:r w:rsidR="005D5381" w:rsidRPr="00DF5E9F">
        <w:rPr>
          <w:lang w:val="nn-NO"/>
        </w:rPr>
        <w:t>.</w:t>
      </w:r>
      <w:r w:rsidRPr="00DF5E9F">
        <w:rPr>
          <w:lang w:val="nn-NO"/>
        </w:rPr>
        <w:t>, Aven</w:t>
      </w:r>
      <w:r w:rsidR="005D5381" w:rsidRPr="00DF5E9F">
        <w:rPr>
          <w:lang w:val="nn-NO"/>
        </w:rPr>
        <w:t>,</w:t>
      </w:r>
      <w:r w:rsidRPr="00DF5E9F">
        <w:rPr>
          <w:lang w:val="nn-NO"/>
        </w:rPr>
        <w:t xml:space="preserve"> T</w:t>
      </w:r>
      <w:r w:rsidR="005D5381" w:rsidRPr="00DF5E9F">
        <w:rPr>
          <w:lang w:val="nn-NO"/>
        </w:rPr>
        <w:t>.</w:t>
      </w:r>
      <w:r w:rsidRPr="00DF5E9F">
        <w:rPr>
          <w:lang w:val="nn-NO"/>
        </w:rPr>
        <w:t>, Sørum</w:t>
      </w:r>
      <w:r w:rsidR="002B162B" w:rsidRPr="00DF5E9F">
        <w:rPr>
          <w:lang w:val="nn-NO"/>
        </w:rPr>
        <w:t>,</w:t>
      </w:r>
      <w:r w:rsidRPr="00DF5E9F">
        <w:rPr>
          <w:lang w:val="nn-NO"/>
        </w:rPr>
        <w:t xml:space="preserve"> M. (2003)</w:t>
      </w:r>
      <w:r w:rsidR="005F599B" w:rsidRPr="00DF5E9F">
        <w:rPr>
          <w:lang w:val="nn-NO"/>
        </w:rPr>
        <w:t>.</w:t>
      </w:r>
      <w:r w:rsidRPr="00DF5E9F">
        <w:rPr>
          <w:lang w:val="nn-NO"/>
        </w:rPr>
        <w:t xml:space="preserve"> </w:t>
      </w:r>
      <w:r w:rsidRPr="00565CEF">
        <w:rPr>
          <w:lang w:val="en-GB"/>
        </w:rPr>
        <w:t>Use of risk acceptance criteria</w:t>
      </w:r>
      <w:r>
        <w:rPr>
          <w:lang w:val="en-GB"/>
        </w:rPr>
        <w:t xml:space="preserve"> </w:t>
      </w:r>
      <w:r w:rsidRPr="00565CEF">
        <w:rPr>
          <w:lang w:val="en-GB"/>
        </w:rPr>
        <w:t>in Norwegian offshore industry. Dilemmas and challenges. ESREL</w:t>
      </w:r>
      <w:r>
        <w:rPr>
          <w:lang w:val="en-GB"/>
        </w:rPr>
        <w:t xml:space="preserve"> </w:t>
      </w:r>
      <w:r w:rsidRPr="00565CEF">
        <w:rPr>
          <w:lang w:val="en-GB"/>
        </w:rPr>
        <w:t>2003;15–18/6-03.</w:t>
      </w:r>
    </w:p>
    <w:p w14:paraId="47528C3A" w14:textId="160BC47C" w:rsidR="00032987" w:rsidRDefault="00032987" w:rsidP="008B7DE0">
      <w:pPr>
        <w:pStyle w:val="Referencetext"/>
        <w:spacing w:line="220" w:lineRule="atLeast"/>
        <w:rPr>
          <w:lang w:val="en"/>
        </w:rPr>
      </w:pPr>
      <w:r>
        <w:t xml:space="preserve">HSE </w:t>
      </w:r>
      <w:r w:rsidR="005F599B">
        <w:t>(</w:t>
      </w:r>
      <w:r>
        <w:t>2001</w:t>
      </w:r>
      <w:r w:rsidR="005F599B">
        <w:t>)</w:t>
      </w:r>
      <w:r>
        <w:t xml:space="preserve">. UK HSE: </w:t>
      </w:r>
      <w:r>
        <w:rPr>
          <w:lang w:val="en"/>
        </w:rPr>
        <w:t>Principles and guidelines to assist HSE in its judgements that duty-holders have reduced risk as low as reasonably practicable,</w:t>
      </w:r>
      <w:r w:rsidR="005D5381">
        <w:rPr>
          <w:lang w:val="en"/>
        </w:rPr>
        <w:t xml:space="preserve"> </w:t>
      </w:r>
      <w:hyperlink r:id="rId13" w:history="1">
        <w:r>
          <w:rPr>
            <w:rStyle w:val="Hyperkobling"/>
            <w:lang w:val="en"/>
          </w:rPr>
          <w:t>www.hse.gov.uk/risk/theory/alarp1.htm</w:t>
        </w:r>
      </w:hyperlink>
    </w:p>
    <w:p w14:paraId="44DA6D5A" w14:textId="5C7D7B53" w:rsidR="00032987" w:rsidRDefault="00032987" w:rsidP="00B4738B">
      <w:pPr>
        <w:pStyle w:val="Referencetext"/>
        <w:spacing w:line="220" w:lineRule="atLeast"/>
      </w:pPr>
      <w:r>
        <w:t xml:space="preserve">HSE </w:t>
      </w:r>
      <w:r w:rsidR="005F599B">
        <w:t>(</w:t>
      </w:r>
      <w:r>
        <w:t>2003a</w:t>
      </w:r>
      <w:r w:rsidR="005F599B">
        <w:t>)</w:t>
      </w:r>
      <w:r>
        <w:t xml:space="preserve">. </w:t>
      </w:r>
      <w:smartTag w:uri="urn:schemas-microsoft-com:office:smarttags" w:element="place">
        <w:smartTag w:uri="urn:schemas-microsoft-com:office:smarttags" w:element="country-region">
          <w:r>
            <w:t>UK</w:t>
          </w:r>
        </w:smartTag>
      </w:smartTag>
      <w:r>
        <w:t xml:space="preserve"> HSE: Assessing compliance with the law in individual cases and the use of good practice, </w:t>
      </w:r>
      <w:hyperlink r:id="rId14" w:history="1">
        <w:r>
          <w:rPr>
            <w:rStyle w:val="Hyperkobling"/>
            <w:lang w:val="en"/>
          </w:rPr>
          <w:t>www.hse.gov.uk/risk/theory/alarp2.htm</w:t>
        </w:r>
      </w:hyperlink>
    </w:p>
    <w:p w14:paraId="03C7F16B" w14:textId="639656F9" w:rsidR="00032987" w:rsidRDefault="00032987" w:rsidP="008B7DE0">
      <w:pPr>
        <w:pStyle w:val="Referencetext"/>
        <w:spacing w:line="220" w:lineRule="atLeast"/>
      </w:pPr>
      <w:r>
        <w:t xml:space="preserve">HSE </w:t>
      </w:r>
      <w:r w:rsidR="005F599B">
        <w:t>(</w:t>
      </w:r>
      <w:r>
        <w:t>2003b</w:t>
      </w:r>
      <w:r w:rsidR="005F599B">
        <w:t>)</w:t>
      </w:r>
      <w:r>
        <w:t xml:space="preserve">. UK HSE: </w:t>
      </w:r>
      <w:r>
        <w:rPr>
          <w:lang w:val="en"/>
        </w:rPr>
        <w:t xml:space="preserve">Policy and </w:t>
      </w:r>
      <w:r w:rsidR="002B162B">
        <w:rPr>
          <w:lang w:val="en"/>
        </w:rPr>
        <w:t>g</w:t>
      </w:r>
      <w:r>
        <w:rPr>
          <w:lang w:val="en"/>
        </w:rPr>
        <w:t xml:space="preserve">uidance on reducing risks as low as reasonably practicable in </w:t>
      </w:r>
      <w:r w:rsidR="002B162B">
        <w:rPr>
          <w:lang w:val="en"/>
        </w:rPr>
        <w:t>d</w:t>
      </w:r>
      <w:r>
        <w:rPr>
          <w:lang w:val="en"/>
        </w:rPr>
        <w:t>esign,</w:t>
      </w:r>
      <w:r w:rsidR="005D5381">
        <w:rPr>
          <w:lang w:val="en"/>
        </w:rPr>
        <w:t xml:space="preserve"> </w:t>
      </w:r>
      <w:hyperlink r:id="rId15" w:history="1">
        <w:r>
          <w:rPr>
            <w:rStyle w:val="Hyperkobling"/>
            <w:lang w:val="en"/>
          </w:rPr>
          <w:t>www.hse.gov.uk/risk/theory/alarp3.htm</w:t>
        </w:r>
      </w:hyperlink>
    </w:p>
    <w:p w14:paraId="19B26BA8" w14:textId="47AA768E" w:rsidR="00032987" w:rsidRPr="003C60B4" w:rsidRDefault="00032987" w:rsidP="008B7DE0">
      <w:pPr>
        <w:pStyle w:val="Referencetext"/>
        <w:spacing w:line="220" w:lineRule="atLeast"/>
      </w:pPr>
      <w:r>
        <w:t xml:space="preserve">HSE </w:t>
      </w:r>
      <w:r w:rsidR="005F599B">
        <w:t>(</w:t>
      </w:r>
      <w:r>
        <w:t>2005</w:t>
      </w:r>
      <w:r w:rsidR="005F599B">
        <w:t>)</w:t>
      </w:r>
      <w:r>
        <w:t xml:space="preserve">. </w:t>
      </w:r>
      <w:r w:rsidRPr="003C60B4">
        <w:t>Guidance on ALARP for Offshore Division Inspectors making an ALARP demonstration, SPC/Enf/38,</w:t>
      </w:r>
      <w:r w:rsidR="005D5381">
        <w:t xml:space="preserve"> </w:t>
      </w:r>
      <w:hyperlink r:id="rId16" w:history="1">
        <w:r w:rsidRPr="003C60B4">
          <w:rPr>
            <w:rStyle w:val="Hyperkobling"/>
            <w:lang w:val="en"/>
          </w:rPr>
          <w:t>http://www.hse.gov.uk/offshore/circulars/enf38.htm</w:t>
        </w:r>
      </w:hyperlink>
    </w:p>
    <w:p w14:paraId="0562FBFA" w14:textId="01664FA5" w:rsidR="0021149B" w:rsidRDefault="0021149B" w:rsidP="00B4738B">
      <w:pPr>
        <w:autoSpaceDE w:val="0"/>
        <w:autoSpaceDN w:val="0"/>
        <w:adjustRightInd w:val="0"/>
        <w:spacing w:after="0" w:line="220" w:lineRule="atLeast"/>
        <w:ind w:left="357" w:hanging="357"/>
        <w:jc w:val="both"/>
        <w:rPr>
          <w:rFonts w:ascii="Times New Roman" w:hAnsi="Times New Roman" w:cs="Times New Roman"/>
          <w:spacing w:val="-2"/>
          <w:sz w:val="20"/>
          <w:szCs w:val="20"/>
          <w:lang w:val="en-GB"/>
        </w:rPr>
      </w:pPr>
      <w:r w:rsidRPr="0021149B">
        <w:rPr>
          <w:rFonts w:ascii="Times New Roman" w:hAnsi="Times New Roman" w:cs="Times New Roman"/>
          <w:spacing w:val="-2"/>
          <w:sz w:val="20"/>
          <w:szCs w:val="20"/>
          <w:lang w:val="en-GB"/>
        </w:rPr>
        <w:t>Okoh, P</w:t>
      </w:r>
      <w:r w:rsidR="005D5381">
        <w:rPr>
          <w:rFonts w:ascii="Times New Roman" w:hAnsi="Times New Roman" w:cs="Times New Roman"/>
          <w:spacing w:val="-2"/>
          <w:sz w:val="20"/>
          <w:szCs w:val="20"/>
          <w:lang w:val="en-GB"/>
        </w:rPr>
        <w:t>.,</w:t>
      </w:r>
      <w:r w:rsidRPr="0021149B">
        <w:rPr>
          <w:rFonts w:ascii="Times New Roman" w:hAnsi="Times New Roman" w:cs="Times New Roman"/>
          <w:spacing w:val="-2"/>
          <w:sz w:val="20"/>
          <w:szCs w:val="20"/>
          <w:lang w:val="en-GB"/>
        </w:rPr>
        <w:t xml:space="preserve"> Haugen, S</w:t>
      </w:r>
      <w:r w:rsidR="005D5381">
        <w:rPr>
          <w:rFonts w:ascii="Times New Roman" w:hAnsi="Times New Roman" w:cs="Times New Roman"/>
          <w:spacing w:val="-2"/>
          <w:sz w:val="20"/>
          <w:szCs w:val="20"/>
          <w:lang w:val="en-GB"/>
        </w:rPr>
        <w:t>.,</w:t>
      </w:r>
      <w:r w:rsidRPr="0021149B">
        <w:rPr>
          <w:rFonts w:ascii="Times New Roman" w:hAnsi="Times New Roman" w:cs="Times New Roman"/>
          <w:spacing w:val="-2"/>
          <w:sz w:val="20"/>
          <w:szCs w:val="20"/>
          <w:lang w:val="en-GB"/>
        </w:rPr>
        <w:t xml:space="preserve"> Vinnem, J</w:t>
      </w:r>
      <w:r w:rsidR="005D5381">
        <w:rPr>
          <w:rFonts w:ascii="Times New Roman" w:hAnsi="Times New Roman" w:cs="Times New Roman"/>
          <w:spacing w:val="-2"/>
          <w:sz w:val="20"/>
          <w:szCs w:val="20"/>
          <w:lang w:val="en-GB"/>
        </w:rPr>
        <w:t>.</w:t>
      </w:r>
      <w:r w:rsidRPr="0021149B">
        <w:rPr>
          <w:rFonts w:ascii="Times New Roman" w:hAnsi="Times New Roman" w:cs="Times New Roman"/>
          <w:spacing w:val="-2"/>
          <w:sz w:val="20"/>
          <w:szCs w:val="20"/>
          <w:lang w:val="en-GB"/>
        </w:rPr>
        <w:t>E. (2016)</w:t>
      </w:r>
      <w:r w:rsidR="005F599B">
        <w:rPr>
          <w:rFonts w:ascii="Times New Roman" w:hAnsi="Times New Roman" w:cs="Times New Roman"/>
          <w:spacing w:val="-2"/>
          <w:sz w:val="20"/>
          <w:szCs w:val="20"/>
          <w:lang w:val="en-GB"/>
        </w:rPr>
        <w:t>.</w:t>
      </w:r>
      <w:r w:rsidRPr="0021149B">
        <w:rPr>
          <w:rFonts w:ascii="Times New Roman" w:hAnsi="Times New Roman" w:cs="Times New Roman"/>
          <w:spacing w:val="-2"/>
          <w:sz w:val="20"/>
          <w:szCs w:val="20"/>
          <w:lang w:val="en-GB"/>
        </w:rPr>
        <w:t xml:space="preserve"> Optimization of recertification intervals for PSV based on major accident risk. Journal of Loss Prevention in the Process Industries</w:t>
      </w:r>
      <w:r w:rsidR="005D5381">
        <w:rPr>
          <w:rFonts w:ascii="Times New Roman" w:hAnsi="Times New Roman" w:cs="Times New Roman"/>
          <w:spacing w:val="-2"/>
          <w:sz w:val="20"/>
          <w:szCs w:val="20"/>
          <w:lang w:val="en-GB"/>
        </w:rPr>
        <w:t>,</w:t>
      </w:r>
      <w:r w:rsidRPr="0021149B">
        <w:rPr>
          <w:rFonts w:ascii="Times New Roman" w:hAnsi="Times New Roman" w:cs="Times New Roman"/>
          <w:spacing w:val="-2"/>
          <w:sz w:val="20"/>
          <w:szCs w:val="20"/>
          <w:lang w:val="en-GB"/>
        </w:rPr>
        <w:t xml:space="preserve"> 44</w:t>
      </w:r>
      <w:r w:rsidR="005D5381">
        <w:rPr>
          <w:rFonts w:ascii="Times New Roman" w:hAnsi="Times New Roman" w:cs="Times New Roman"/>
          <w:spacing w:val="-2"/>
          <w:sz w:val="20"/>
          <w:szCs w:val="20"/>
          <w:lang w:val="en-GB"/>
        </w:rPr>
        <w:t>, 150-157</w:t>
      </w:r>
      <w:r w:rsidRPr="0021149B">
        <w:rPr>
          <w:rFonts w:ascii="Times New Roman" w:hAnsi="Times New Roman" w:cs="Times New Roman"/>
          <w:spacing w:val="-2"/>
          <w:sz w:val="20"/>
          <w:szCs w:val="20"/>
          <w:lang w:val="en-GB"/>
        </w:rPr>
        <w:t>.</w:t>
      </w:r>
    </w:p>
    <w:p w14:paraId="1B11232B" w14:textId="68271465" w:rsidR="00292102" w:rsidRPr="00D62922" w:rsidRDefault="00292102" w:rsidP="00292102">
      <w:pPr>
        <w:autoSpaceDE w:val="0"/>
        <w:autoSpaceDN w:val="0"/>
        <w:adjustRightInd w:val="0"/>
        <w:spacing w:after="0" w:line="220" w:lineRule="atLeast"/>
        <w:ind w:left="357" w:hanging="357"/>
        <w:jc w:val="both"/>
        <w:rPr>
          <w:rFonts w:ascii="Times New Roman" w:hAnsi="Times New Roman" w:cs="Times New Roman"/>
          <w:spacing w:val="-2"/>
          <w:sz w:val="20"/>
          <w:szCs w:val="20"/>
          <w:lang w:val="en-GB"/>
        </w:rPr>
      </w:pPr>
      <w:r w:rsidRPr="00D62922">
        <w:rPr>
          <w:rFonts w:ascii="Times New Roman" w:hAnsi="Times New Roman" w:cs="Times New Roman"/>
          <w:spacing w:val="-2"/>
          <w:sz w:val="20"/>
          <w:szCs w:val="20"/>
          <w:lang w:val="en-GB"/>
        </w:rPr>
        <w:t>PSA (2019a). Regulations relating to health, safety and the environment in the petroleum activities and at certain onshore facilities, last amended 26.4.2019</w:t>
      </w:r>
      <w:r w:rsidR="005D5381">
        <w:rPr>
          <w:rFonts w:ascii="Times New Roman" w:hAnsi="Times New Roman" w:cs="Times New Roman"/>
          <w:spacing w:val="-2"/>
          <w:sz w:val="20"/>
          <w:szCs w:val="20"/>
          <w:lang w:val="en-GB"/>
        </w:rPr>
        <w:t>.</w:t>
      </w:r>
    </w:p>
    <w:p w14:paraId="7B7EF62B" w14:textId="3E466672" w:rsidR="00292102" w:rsidRPr="00D62922" w:rsidRDefault="00292102" w:rsidP="00292102">
      <w:pPr>
        <w:autoSpaceDE w:val="0"/>
        <w:autoSpaceDN w:val="0"/>
        <w:adjustRightInd w:val="0"/>
        <w:spacing w:after="0" w:line="220" w:lineRule="atLeast"/>
        <w:ind w:left="357" w:hanging="357"/>
        <w:jc w:val="both"/>
        <w:rPr>
          <w:rFonts w:ascii="Times New Roman" w:hAnsi="Times New Roman" w:cs="Times New Roman"/>
          <w:spacing w:val="-2"/>
          <w:sz w:val="20"/>
          <w:szCs w:val="20"/>
          <w:lang w:val="en-GB"/>
        </w:rPr>
      </w:pPr>
      <w:r w:rsidRPr="00D62922">
        <w:rPr>
          <w:rFonts w:ascii="Times New Roman" w:hAnsi="Times New Roman" w:cs="Times New Roman"/>
          <w:spacing w:val="-2"/>
          <w:sz w:val="20"/>
          <w:szCs w:val="20"/>
          <w:lang w:val="en-GB"/>
        </w:rPr>
        <w:t>PSA (2019b). Regulations relating to management and the duty to provide information in the petroleum activities and at certain onshore facilities, last amended 26.4.2019</w:t>
      </w:r>
      <w:r w:rsidR="005D5381">
        <w:rPr>
          <w:rFonts w:ascii="Times New Roman" w:hAnsi="Times New Roman" w:cs="Times New Roman"/>
          <w:spacing w:val="-2"/>
          <w:sz w:val="20"/>
          <w:szCs w:val="20"/>
          <w:lang w:val="en-GB"/>
        </w:rPr>
        <w:t>.</w:t>
      </w:r>
    </w:p>
    <w:p w14:paraId="311A87FA" w14:textId="2DD4F1A4" w:rsidR="007A6428" w:rsidRPr="00D62922" w:rsidRDefault="007A6428" w:rsidP="007A6428">
      <w:pPr>
        <w:autoSpaceDE w:val="0"/>
        <w:autoSpaceDN w:val="0"/>
        <w:adjustRightInd w:val="0"/>
        <w:spacing w:after="0" w:line="220" w:lineRule="atLeast"/>
        <w:ind w:left="357" w:hanging="357"/>
        <w:jc w:val="both"/>
        <w:rPr>
          <w:rFonts w:ascii="Times New Roman" w:hAnsi="Times New Roman" w:cs="Times New Roman"/>
          <w:spacing w:val="-2"/>
          <w:sz w:val="20"/>
          <w:szCs w:val="20"/>
          <w:lang w:val="en-GB"/>
        </w:rPr>
      </w:pPr>
      <w:r w:rsidRPr="00D62922">
        <w:rPr>
          <w:rFonts w:ascii="Times New Roman" w:hAnsi="Times New Roman" w:cs="Times New Roman"/>
          <w:spacing w:val="-2"/>
          <w:sz w:val="20"/>
          <w:szCs w:val="20"/>
          <w:lang w:val="en-GB"/>
        </w:rPr>
        <w:t>PSA (2019c). Regulations relating to design and outfitting of facilities, etc. in the petroleum activities, last amended 18.12.2019</w:t>
      </w:r>
      <w:r w:rsidR="005D5381">
        <w:rPr>
          <w:rFonts w:ascii="Times New Roman" w:hAnsi="Times New Roman" w:cs="Times New Roman"/>
          <w:spacing w:val="-2"/>
          <w:sz w:val="20"/>
          <w:szCs w:val="20"/>
          <w:lang w:val="en-GB"/>
        </w:rPr>
        <w:t>.</w:t>
      </w:r>
    </w:p>
    <w:p w14:paraId="34CF2B16" w14:textId="01816E29" w:rsidR="008912B2" w:rsidRDefault="0077314D" w:rsidP="00B4738B">
      <w:pPr>
        <w:autoSpaceDE w:val="0"/>
        <w:autoSpaceDN w:val="0"/>
        <w:adjustRightInd w:val="0"/>
        <w:spacing w:after="0" w:line="220" w:lineRule="atLeast"/>
        <w:ind w:left="357" w:hanging="357"/>
        <w:jc w:val="both"/>
        <w:rPr>
          <w:rFonts w:ascii="Times New Roman" w:hAnsi="Times New Roman" w:cs="Times New Roman"/>
          <w:spacing w:val="-2"/>
          <w:sz w:val="20"/>
          <w:szCs w:val="20"/>
        </w:rPr>
      </w:pPr>
      <w:r w:rsidRPr="0077314D">
        <w:rPr>
          <w:rFonts w:ascii="Times New Roman" w:hAnsi="Times New Roman" w:cs="Times New Roman"/>
          <w:spacing w:val="-2"/>
          <w:sz w:val="20"/>
          <w:szCs w:val="20"/>
        </w:rPr>
        <w:t xml:space="preserve">Rasmussen, J. </w:t>
      </w:r>
      <w:r w:rsidR="005F599B">
        <w:rPr>
          <w:rFonts w:ascii="Times New Roman" w:hAnsi="Times New Roman" w:cs="Times New Roman"/>
          <w:spacing w:val="-2"/>
          <w:sz w:val="20"/>
          <w:szCs w:val="20"/>
        </w:rPr>
        <w:t>(</w:t>
      </w:r>
      <w:r w:rsidRPr="0077314D">
        <w:rPr>
          <w:rFonts w:ascii="Times New Roman" w:hAnsi="Times New Roman" w:cs="Times New Roman"/>
          <w:spacing w:val="-2"/>
          <w:sz w:val="20"/>
          <w:szCs w:val="20"/>
        </w:rPr>
        <w:t>1997</w:t>
      </w:r>
      <w:r w:rsidR="005F599B">
        <w:rPr>
          <w:rFonts w:ascii="Times New Roman" w:hAnsi="Times New Roman" w:cs="Times New Roman"/>
          <w:spacing w:val="-2"/>
          <w:sz w:val="20"/>
          <w:szCs w:val="20"/>
        </w:rPr>
        <w:t>)</w:t>
      </w:r>
      <w:r w:rsidRPr="0077314D">
        <w:rPr>
          <w:rFonts w:ascii="Times New Roman" w:hAnsi="Times New Roman" w:cs="Times New Roman"/>
          <w:spacing w:val="-2"/>
          <w:sz w:val="20"/>
          <w:szCs w:val="20"/>
        </w:rPr>
        <w:t>. Risk management in a dynamic society: A modelling problem. Safety Science</w:t>
      </w:r>
      <w:r w:rsidR="005D5381">
        <w:rPr>
          <w:rFonts w:ascii="Times New Roman" w:hAnsi="Times New Roman" w:cs="Times New Roman"/>
          <w:spacing w:val="-2"/>
          <w:sz w:val="20"/>
          <w:szCs w:val="20"/>
        </w:rPr>
        <w:t>,</w:t>
      </w:r>
      <w:r w:rsidRPr="0077314D">
        <w:rPr>
          <w:rFonts w:ascii="Times New Roman" w:hAnsi="Times New Roman" w:cs="Times New Roman"/>
          <w:spacing w:val="-2"/>
          <w:sz w:val="20"/>
          <w:szCs w:val="20"/>
        </w:rPr>
        <w:t xml:space="preserve"> 27 (2)</w:t>
      </w:r>
      <w:r w:rsidR="005D5381">
        <w:rPr>
          <w:rFonts w:ascii="Times New Roman" w:hAnsi="Times New Roman" w:cs="Times New Roman"/>
          <w:spacing w:val="-2"/>
          <w:sz w:val="20"/>
          <w:szCs w:val="20"/>
        </w:rPr>
        <w:t>,</w:t>
      </w:r>
      <w:r w:rsidRPr="0077314D">
        <w:rPr>
          <w:rFonts w:ascii="Times New Roman" w:hAnsi="Times New Roman" w:cs="Times New Roman"/>
          <w:spacing w:val="-2"/>
          <w:sz w:val="20"/>
          <w:szCs w:val="20"/>
        </w:rPr>
        <w:t xml:space="preserve"> 183</w:t>
      </w:r>
      <w:r w:rsidR="005D5381">
        <w:rPr>
          <w:rFonts w:ascii="Times New Roman" w:hAnsi="Times New Roman" w:cs="Times New Roman"/>
          <w:spacing w:val="-2"/>
          <w:sz w:val="20"/>
          <w:szCs w:val="20"/>
        </w:rPr>
        <w:t>-</w:t>
      </w:r>
      <w:r w:rsidRPr="0077314D">
        <w:rPr>
          <w:rFonts w:ascii="Times New Roman" w:hAnsi="Times New Roman" w:cs="Times New Roman"/>
          <w:spacing w:val="-2"/>
          <w:sz w:val="20"/>
          <w:szCs w:val="20"/>
        </w:rPr>
        <w:t>213</w:t>
      </w:r>
      <w:r w:rsidR="005D5381">
        <w:rPr>
          <w:rFonts w:ascii="Times New Roman" w:hAnsi="Times New Roman" w:cs="Times New Roman"/>
          <w:spacing w:val="-2"/>
          <w:sz w:val="20"/>
          <w:szCs w:val="20"/>
        </w:rPr>
        <w:t>.</w:t>
      </w:r>
    </w:p>
    <w:p w14:paraId="63720421" w14:textId="4279A149" w:rsidR="00C70F93" w:rsidRPr="00CB4E4A" w:rsidRDefault="00C70F93" w:rsidP="00B4738B">
      <w:pPr>
        <w:autoSpaceDE w:val="0"/>
        <w:autoSpaceDN w:val="0"/>
        <w:adjustRightInd w:val="0"/>
        <w:spacing w:after="0" w:line="220" w:lineRule="atLeast"/>
        <w:ind w:left="357" w:hanging="357"/>
        <w:jc w:val="both"/>
        <w:rPr>
          <w:rFonts w:ascii="Times New Roman" w:hAnsi="Times New Roman" w:cs="Times New Roman"/>
          <w:spacing w:val="-2"/>
          <w:sz w:val="20"/>
          <w:szCs w:val="20"/>
        </w:rPr>
      </w:pPr>
      <w:r w:rsidRPr="00CB4E4A">
        <w:rPr>
          <w:rFonts w:ascii="Times New Roman" w:hAnsi="Times New Roman" w:cs="Times New Roman"/>
          <w:spacing w:val="-2"/>
          <w:sz w:val="20"/>
          <w:szCs w:val="20"/>
        </w:rPr>
        <w:t>Samuelsberg, A. (2017). Statoil Remotely Opera</w:t>
      </w:r>
      <w:r w:rsidR="00E728AC">
        <w:rPr>
          <w:rFonts w:ascii="Times New Roman" w:hAnsi="Times New Roman" w:cs="Times New Roman"/>
          <w:spacing w:val="-2"/>
          <w:sz w:val="20"/>
          <w:szCs w:val="20"/>
        </w:rPr>
        <w:softHyphen/>
      </w:r>
      <w:r w:rsidRPr="00CB4E4A">
        <w:rPr>
          <w:rFonts w:ascii="Times New Roman" w:hAnsi="Times New Roman" w:cs="Times New Roman"/>
          <w:spacing w:val="-2"/>
          <w:sz w:val="20"/>
          <w:szCs w:val="20"/>
        </w:rPr>
        <w:t xml:space="preserve">ted Factory (ROFTM) </w:t>
      </w:r>
      <w:r w:rsidR="005D5381">
        <w:rPr>
          <w:rFonts w:ascii="Times New Roman" w:hAnsi="Times New Roman" w:cs="Times New Roman"/>
          <w:spacing w:val="-2"/>
          <w:sz w:val="20"/>
          <w:szCs w:val="20"/>
        </w:rPr>
        <w:t>s</w:t>
      </w:r>
      <w:r w:rsidRPr="00CB4E4A">
        <w:rPr>
          <w:rFonts w:ascii="Times New Roman" w:hAnsi="Times New Roman" w:cs="Times New Roman"/>
          <w:spacing w:val="-2"/>
          <w:sz w:val="20"/>
          <w:szCs w:val="20"/>
        </w:rPr>
        <w:t xml:space="preserve">afe, high </w:t>
      </w:r>
      <w:r w:rsidR="005D5381">
        <w:rPr>
          <w:rFonts w:ascii="Times New Roman" w:hAnsi="Times New Roman" w:cs="Times New Roman"/>
          <w:spacing w:val="-2"/>
          <w:sz w:val="20"/>
          <w:szCs w:val="20"/>
        </w:rPr>
        <w:t>v</w:t>
      </w:r>
      <w:r w:rsidRPr="00CB4E4A">
        <w:rPr>
          <w:rFonts w:ascii="Times New Roman" w:hAnsi="Times New Roman" w:cs="Times New Roman"/>
          <w:spacing w:val="-2"/>
          <w:sz w:val="20"/>
          <w:szCs w:val="20"/>
        </w:rPr>
        <w:t xml:space="preserve">alue &amp; </w:t>
      </w:r>
      <w:r w:rsidR="005D5381">
        <w:rPr>
          <w:rFonts w:ascii="Times New Roman" w:hAnsi="Times New Roman" w:cs="Times New Roman"/>
          <w:spacing w:val="-2"/>
          <w:sz w:val="20"/>
          <w:szCs w:val="20"/>
        </w:rPr>
        <w:t>l</w:t>
      </w:r>
      <w:r w:rsidRPr="00CB4E4A">
        <w:rPr>
          <w:rFonts w:ascii="Times New Roman" w:hAnsi="Times New Roman" w:cs="Times New Roman"/>
          <w:spacing w:val="-2"/>
          <w:sz w:val="20"/>
          <w:szCs w:val="20"/>
        </w:rPr>
        <w:t xml:space="preserve">ow </w:t>
      </w:r>
      <w:r w:rsidR="005D5381">
        <w:rPr>
          <w:rFonts w:ascii="Times New Roman" w:hAnsi="Times New Roman" w:cs="Times New Roman"/>
          <w:spacing w:val="-2"/>
          <w:sz w:val="20"/>
          <w:szCs w:val="20"/>
        </w:rPr>
        <w:t>c</w:t>
      </w:r>
      <w:r w:rsidRPr="00CB4E4A">
        <w:rPr>
          <w:rFonts w:ascii="Times New Roman" w:hAnsi="Times New Roman" w:cs="Times New Roman"/>
          <w:spacing w:val="-2"/>
          <w:sz w:val="20"/>
          <w:szCs w:val="20"/>
        </w:rPr>
        <w:t>arbon intensity concepts</w:t>
      </w:r>
      <w:r w:rsidR="005D5381">
        <w:rPr>
          <w:rFonts w:ascii="Times New Roman" w:hAnsi="Times New Roman" w:cs="Times New Roman"/>
          <w:spacing w:val="-2"/>
          <w:sz w:val="20"/>
          <w:szCs w:val="20"/>
        </w:rPr>
        <w:t>.</w:t>
      </w:r>
      <w:r w:rsidRPr="00CB4E4A">
        <w:rPr>
          <w:rFonts w:ascii="Times New Roman" w:hAnsi="Times New Roman" w:cs="Times New Roman"/>
          <w:spacing w:val="-2"/>
          <w:sz w:val="20"/>
          <w:szCs w:val="20"/>
        </w:rPr>
        <w:t xml:space="preserve"> Equinor, 8.8.2017</w:t>
      </w:r>
      <w:r w:rsidR="005D5381">
        <w:rPr>
          <w:rFonts w:ascii="Times New Roman" w:hAnsi="Times New Roman" w:cs="Times New Roman"/>
          <w:spacing w:val="-2"/>
          <w:sz w:val="20"/>
          <w:szCs w:val="20"/>
        </w:rPr>
        <w:t>.</w:t>
      </w:r>
    </w:p>
    <w:p w14:paraId="594FE8B7" w14:textId="5A151D30" w:rsidR="005D5E2B" w:rsidRDefault="0099297B" w:rsidP="00B4738B">
      <w:pPr>
        <w:autoSpaceDE w:val="0"/>
        <w:autoSpaceDN w:val="0"/>
        <w:adjustRightInd w:val="0"/>
        <w:spacing w:after="0" w:line="220" w:lineRule="atLeast"/>
        <w:ind w:left="357" w:hanging="357"/>
        <w:jc w:val="both"/>
        <w:rPr>
          <w:rFonts w:ascii="Times New Roman" w:hAnsi="Times New Roman" w:cs="Times New Roman"/>
          <w:spacing w:val="-2"/>
          <w:sz w:val="20"/>
          <w:szCs w:val="20"/>
          <w:lang w:val="en-GB"/>
        </w:rPr>
      </w:pPr>
      <w:r w:rsidRPr="0099297B">
        <w:rPr>
          <w:rFonts w:ascii="Times New Roman" w:hAnsi="Times New Roman" w:cs="Times New Roman"/>
          <w:spacing w:val="-2"/>
          <w:sz w:val="20"/>
          <w:szCs w:val="20"/>
          <w:lang w:val="en-GB"/>
        </w:rPr>
        <w:t>Vinnem, J.E. (2015). Evaluation of the Norwegian major hazard risk management approach for offshore installations in the concept selection phase</w:t>
      </w:r>
      <w:r w:rsidR="005D5381">
        <w:rPr>
          <w:rFonts w:ascii="Times New Roman" w:hAnsi="Times New Roman" w:cs="Times New Roman"/>
          <w:spacing w:val="-2"/>
          <w:sz w:val="20"/>
          <w:szCs w:val="20"/>
          <w:lang w:val="en-GB"/>
        </w:rPr>
        <w:t>.</w:t>
      </w:r>
      <w:r w:rsidRPr="0099297B">
        <w:rPr>
          <w:rFonts w:ascii="Times New Roman" w:hAnsi="Times New Roman" w:cs="Times New Roman"/>
          <w:spacing w:val="-2"/>
          <w:sz w:val="20"/>
          <w:szCs w:val="20"/>
          <w:lang w:val="en-GB"/>
        </w:rPr>
        <w:t xml:space="preserve"> Journal of Risk and Uncertainty in Engineering Systems, Part B</w:t>
      </w:r>
      <w:r w:rsidR="002B162B">
        <w:rPr>
          <w:rFonts w:ascii="Times New Roman" w:hAnsi="Times New Roman" w:cs="Times New Roman"/>
          <w:spacing w:val="-2"/>
          <w:sz w:val="20"/>
          <w:szCs w:val="20"/>
          <w:lang w:val="en-GB"/>
        </w:rPr>
        <w:t>,</w:t>
      </w:r>
      <w:r w:rsidRPr="0099297B">
        <w:rPr>
          <w:rFonts w:ascii="Times New Roman" w:hAnsi="Times New Roman" w:cs="Times New Roman"/>
          <w:spacing w:val="-2"/>
          <w:sz w:val="20"/>
          <w:szCs w:val="20"/>
          <w:lang w:val="en-GB"/>
        </w:rPr>
        <w:t xml:space="preserve"> Mechanical Engineering</w:t>
      </w:r>
      <w:r w:rsidR="005D5381">
        <w:rPr>
          <w:rFonts w:ascii="Times New Roman" w:hAnsi="Times New Roman" w:cs="Times New Roman"/>
          <w:spacing w:val="-2"/>
          <w:sz w:val="20"/>
          <w:szCs w:val="20"/>
          <w:lang w:val="en-GB"/>
        </w:rPr>
        <w:t>,</w:t>
      </w:r>
      <w:r w:rsidRPr="0099297B">
        <w:rPr>
          <w:rFonts w:ascii="Times New Roman" w:hAnsi="Times New Roman" w:cs="Times New Roman"/>
          <w:spacing w:val="-2"/>
          <w:sz w:val="20"/>
          <w:szCs w:val="20"/>
          <w:lang w:val="en-GB"/>
        </w:rPr>
        <w:t xml:space="preserve"> 1(1), </w:t>
      </w:r>
      <w:r w:rsidR="005D5381">
        <w:rPr>
          <w:rFonts w:ascii="Times New Roman" w:hAnsi="Times New Roman" w:cs="Times New Roman"/>
          <w:spacing w:val="-2"/>
          <w:sz w:val="20"/>
          <w:szCs w:val="20"/>
          <w:lang w:val="en-GB"/>
        </w:rPr>
        <w:t>(</w:t>
      </w:r>
      <w:r w:rsidRPr="0099297B">
        <w:rPr>
          <w:rFonts w:ascii="Times New Roman" w:hAnsi="Times New Roman" w:cs="Times New Roman"/>
          <w:spacing w:val="-2"/>
          <w:sz w:val="20"/>
          <w:szCs w:val="20"/>
          <w:lang w:val="en-GB"/>
        </w:rPr>
        <w:t>12 pages</w:t>
      </w:r>
      <w:r w:rsidR="005D5381">
        <w:rPr>
          <w:rFonts w:ascii="Times New Roman" w:hAnsi="Times New Roman" w:cs="Times New Roman"/>
          <w:spacing w:val="-2"/>
          <w:sz w:val="20"/>
          <w:szCs w:val="20"/>
          <w:lang w:val="en-GB"/>
        </w:rPr>
        <w:t>).</w:t>
      </w:r>
    </w:p>
    <w:p w14:paraId="73D22FE5" w14:textId="1AE78A48" w:rsidR="0028550C" w:rsidRDefault="00894A15" w:rsidP="00B4738B">
      <w:pPr>
        <w:autoSpaceDE w:val="0"/>
        <w:autoSpaceDN w:val="0"/>
        <w:adjustRightInd w:val="0"/>
        <w:spacing w:after="0" w:line="220" w:lineRule="atLeast"/>
        <w:ind w:left="357" w:hanging="357"/>
        <w:jc w:val="both"/>
        <w:rPr>
          <w:rFonts w:ascii="Times New Roman" w:hAnsi="Times New Roman" w:cs="Times New Roman"/>
          <w:spacing w:val="-2"/>
          <w:sz w:val="20"/>
          <w:szCs w:val="20"/>
          <w:lang w:val="en-GB"/>
        </w:rPr>
      </w:pPr>
      <w:r w:rsidRPr="00A72994">
        <w:rPr>
          <w:rFonts w:ascii="Times New Roman" w:hAnsi="Times New Roman" w:cs="Times New Roman"/>
          <w:spacing w:val="-2"/>
          <w:sz w:val="20"/>
          <w:szCs w:val="20"/>
          <w:lang w:val="en-GB"/>
        </w:rPr>
        <w:t>Vinnem, J.E. (20</w:t>
      </w:r>
      <w:r>
        <w:rPr>
          <w:rFonts w:ascii="Times New Roman" w:hAnsi="Times New Roman" w:cs="Times New Roman"/>
          <w:spacing w:val="-2"/>
          <w:sz w:val="20"/>
          <w:szCs w:val="20"/>
          <w:lang w:val="en-GB"/>
        </w:rPr>
        <w:t>20</w:t>
      </w:r>
      <w:r w:rsidRPr="00A72994">
        <w:rPr>
          <w:rFonts w:ascii="Times New Roman" w:hAnsi="Times New Roman" w:cs="Times New Roman"/>
          <w:spacing w:val="-2"/>
          <w:sz w:val="20"/>
          <w:szCs w:val="20"/>
          <w:lang w:val="en-GB"/>
        </w:rPr>
        <w:t>).</w:t>
      </w:r>
      <w:r>
        <w:rPr>
          <w:rFonts w:ascii="Times New Roman" w:hAnsi="Times New Roman" w:cs="Times New Roman"/>
          <w:spacing w:val="-2"/>
          <w:sz w:val="20"/>
          <w:szCs w:val="20"/>
          <w:lang w:val="en-GB"/>
        </w:rPr>
        <w:t xml:space="preserve"> </w:t>
      </w:r>
      <w:r w:rsidR="00762647" w:rsidRPr="00762647">
        <w:rPr>
          <w:rFonts w:ascii="Times New Roman" w:hAnsi="Times New Roman" w:cs="Times New Roman"/>
          <w:spacing w:val="-2"/>
          <w:sz w:val="20"/>
          <w:szCs w:val="20"/>
          <w:lang w:val="en-GB"/>
        </w:rPr>
        <w:t xml:space="preserve">Preventive vs </w:t>
      </w:r>
      <w:r w:rsidR="005D5381">
        <w:rPr>
          <w:rFonts w:ascii="Times New Roman" w:hAnsi="Times New Roman" w:cs="Times New Roman"/>
          <w:spacing w:val="-2"/>
          <w:sz w:val="20"/>
          <w:szCs w:val="20"/>
          <w:lang w:val="en-GB"/>
        </w:rPr>
        <w:t>m</w:t>
      </w:r>
      <w:r w:rsidR="00762647" w:rsidRPr="00762647">
        <w:rPr>
          <w:rFonts w:ascii="Times New Roman" w:hAnsi="Times New Roman" w:cs="Times New Roman"/>
          <w:spacing w:val="-2"/>
          <w:sz w:val="20"/>
          <w:szCs w:val="20"/>
          <w:lang w:val="en-GB"/>
        </w:rPr>
        <w:t xml:space="preserve">itigation </w:t>
      </w:r>
      <w:r w:rsidR="005D5381">
        <w:rPr>
          <w:rFonts w:ascii="Times New Roman" w:hAnsi="Times New Roman" w:cs="Times New Roman"/>
          <w:spacing w:val="-2"/>
          <w:sz w:val="20"/>
          <w:szCs w:val="20"/>
          <w:lang w:val="en-GB"/>
        </w:rPr>
        <w:t>b</w:t>
      </w:r>
      <w:r w:rsidR="00762647" w:rsidRPr="00762647">
        <w:rPr>
          <w:rFonts w:ascii="Times New Roman" w:hAnsi="Times New Roman" w:cs="Times New Roman"/>
          <w:spacing w:val="-2"/>
          <w:sz w:val="20"/>
          <w:szCs w:val="20"/>
          <w:lang w:val="en-GB"/>
        </w:rPr>
        <w:t xml:space="preserve">arriers on Norwegian </w:t>
      </w:r>
      <w:r w:rsidR="005D5381">
        <w:rPr>
          <w:rFonts w:ascii="Times New Roman" w:hAnsi="Times New Roman" w:cs="Times New Roman"/>
          <w:spacing w:val="-2"/>
          <w:sz w:val="20"/>
          <w:szCs w:val="20"/>
          <w:lang w:val="en-GB"/>
        </w:rPr>
        <w:t>o</w:t>
      </w:r>
      <w:r w:rsidR="00762647" w:rsidRPr="00762647">
        <w:rPr>
          <w:rFonts w:ascii="Times New Roman" w:hAnsi="Times New Roman" w:cs="Times New Roman"/>
          <w:spacing w:val="-2"/>
          <w:sz w:val="20"/>
          <w:szCs w:val="20"/>
          <w:lang w:val="en-GB"/>
        </w:rPr>
        <w:t xml:space="preserve">ffshore </w:t>
      </w:r>
      <w:r w:rsidR="005D5381">
        <w:rPr>
          <w:rFonts w:ascii="Times New Roman" w:hAnsi="Times New Roman" w:cs="Times New Roman"/>
          <w:spacing w:val="-2"/>
          <w:sz w:val="20"/>
          <w:szCs w:val="20"/>
          <w:lang w:val="en-GB"/>
        </w:rPr>
        <w:t>p</w:t>
      </w:r>
      <w:r w:rsidR="00762647" w:rsidRPr="00762647">
        <w:rPr>
          <w:rFonts w:ascii="Times New Roman" w:hAnsi="Times New Roman" w:cs="Times New Roman"/>
          <w:spacing w:val="-2"/>
          <w:sz w:val="20"/>
          <w:szCs w:val="20"/>
          <w:lang w:val="en-GB"/>
        </w:rPr>
        <w:t xml:space="preserve">etroleum </w:t>
      </w:r>
      <w:r w:rsidR="005D5381">
        <w:rPr>
          <w:rFonts w:ascii="Times New Roman" w:hAnsi="Times New Roman" w:cs="Times New Roman"/>
          <w:spacing w:val="-2"/>
          <w:sz w:val="20"/>
          <w:szCs w:val="20"/>
          <w:lang w:val="en-GB"/>
        </w:rPr>
        <w:t>i</w:t>
      </w:r>
      <w:r w:rsidR="00762647" w:rsidRPr="00762647">
        <w:rPr>
          <w:rFonts w:ascii="Times New Roman" w:hAnsi="Times New Roman" w:cs="Times New Roman"/>
          <w:spacing w:val="-2"/>
          <w:sz w:val="20"/>
          <w:szCs w:val="20"/>
          <w:lang w:val="en-GB"/>
        </w:rPr>
        <w:t xml:space="preserve">nstallations – Future </w:t>
      </w:r>
      <w:r w:rsidR="005D5381">
        <w:rPr>
          <w:rFonts w:ascii="Times New Roman" w:hAnsi="Times New Roman" w:cs="Times New Roman"/>
          <w:spacing w:val="-2"/>
          <w:sz w:val="20"/>
          <w:szCs w:val="20"/>
          <w:lang w:val="en-GB"/>
        </w:rPr>
        <w:t>c</w:t>
      </w:r>
      <w:r w:rsidR="00762647" w:rsidRPr="00762647">
        <w:rPr>
          <w:rFonts w:ascii="Times New Roman" w:hAnsi="Times New Roman" w:cs="Times New Roman"/>
          <w:spacing w:val="-2"/>
          <w:sz w:val="20"/>
          <w:szCs w:val="20"/>
          <w:lang w:val="en-GB"/>
        </w:rPr>
        <w:t xml:space="preserve">oncepts call for </w:t>
      </w:r>
      <w:r w:rsidR="005D5381">
        <w:rPr>
          <w:rFonts w:ascii="Times New Roman" w:hAnsi="Times New Roman" w:cs="Times New Roman"/>
          <w:spacing w:val="-2"/>
          <w:sz w:val="20"/>
          <w:szCs w:val="20"/>
          <w:lang w:val="en-GB"/>
        </w:rPr>
        <w:t>r</w:t>
      </w:r>
      <w:r w:rsidR="00762647" w:rsidRPr="00762647">
        <w:rPr>
          <w:rFonts w:ascii="Times New Roman" w:hAnsi="Times New Roman" w:cs="Times New Roman"/>
          <w:spacing w:val="-2"/>
          <w:sz w:val="20"/>
          <w:szCs w:val="20"/>
          <w:lang w:val="en-GB"/>
        </w:rPr>
        <w:t>econsideration?</w:t>
      </w:r>
      <w:r w:rsidR="004135F6">
        <w:rPr>
          <w:rFonts w:ascii="Times New Roman" w:hAnsi="Times New Roman" w:cs="Times New Roman"/>
          <w:spacing w:val="-2"/>
          <w:sz w:val="20"/>
          <w:szCs w:val="20"/>
          <w:lang w:val="en-GB"/>
        </w:rPr>
        <w:t xml:space="preserve"> (submitted for publication)</w:t>
      </w:r>
    </w:p>
    <w:p w14:paraId="14D65AC8" w14:textId="63E5AB71" w:rsidR="00510A46" w:rsidRDefault="00510A46" w:rsidP="00510A46">
      <w:pPr>
        <w:autoSpaceDE w:val="0"/>
        <w:autoSpaceDN w:val="0"/>
        <w:adjustRightInd w:val="0"/>
        <w:spacing w:after="0" w:line="220" w:lineRule="atLeast"/>
        <w:ind w:left="357" w:hanging="357"/>
        <w:jc w:val="both"/>
        <w:rPr>
          <w:rFonts w:ascii="Times New Roman" w:hAnsi="Times New Roman" w:cs="Times New Roman"/>
          <w:spacing w:val="-2"/>
          <w:sz w:val="20"/>
          <w:szCs w:val="20"/>
          <w:lang w:val="en-GB"/>
        </w:rPr>
      </w:pPr>
      <w:r w:rsidRPr="00591265">
        <w:rPr>
          <w:rFonts w:ascii="Times New Roman" w:hAnsi="Times New Roman" w:cs="Times New Roman"/>
          <w:spacing w:val="-2"/>
          <w:sz w:val="20"/>
          <w:szCs w:val="20"/>
          <w:lang w:val="en-GB"/>
        </w:rPr>
        <w:t>Vinnem, J.E., Witsø, E. and Kristensen, V. (2006)</w:t>
      </w:r>
      <w:r w:rsidR="005F599B">
        <w:rPr>
          <w:rFonts w:ascii="Times New Roman" w:hAnsi="Times New Roman" w:cs="Times New Roman"/>
          <w:spacing w:val="-2"/>
          <w:sz w:val="20"/>
          <w:szCs w:val="20"/>
          <w:lang w:val="en-GB"/>
        </w:rPr>
        <w:t>.</w:t>
      </w:r>
      <w:r w:rsidRPr="00591265">
        <w:rPr>
          <w:rFonts w:ascii="Times New Roman" w:hAnsi="Times New Roman" w:cs="Times New Roman"/>
          <w:spacing w:val="-2"/>
          <w:sz w:val="20"/>
          <w:szCs w:val="20"/>
          <w:lang w:val="en-GB"/>
        </w:rPr>
        <w:t xml:space="preserve"> Use of ALARP evaluations and risk accep</w:t>
      </w:r>
      <w:r>
        <w:rPr>
          <w:rFonts w:ascii="Times New Roman" w:hAnsi="Times New Roman" w:cs="Times New Roman"/>
          <w:spacing w:val="-2"/>
          <w:sz w:val="20"/>
          <w:szCs w:val="20"/>
          <w:lang w:val="en-GB"/>
        </w:rPr>
        <w:softHyphen/>
      </w:r>
      <w:r w:rsidRPr="00591265">
        <w:rPr>
          <w:rFonts w:ascii="Times New Roman" w:hAnsi="Times New Roman" w:cs="Times New Roman"/>
          <w:spacing w:val="-2"/>
          <w:sz w:val="20"/>
          <w:szCs w:val="20"/>
          <w:lang w:val="en-GB"/>
        </w:rPr>
        <w:t>tance criteria for risk informed decision-making in the offshore petroleum industry</w:t>
      </w:r>
      <w:r w:rsidR="005D5381">
        <w:rPr>
          <w:rFonts w:ascii="Times New Roman" w:hAnsi="Times New Roman" w:cs="Times New Roman"/>
          <w:spacing w:val="-2"/>
          <w:sz w:val="20"/>
          <w:szCs w:val="20"/>
          <w:lang w:val="en-GB"/>
        </w:rPr>
        <w:t>. P</w:t>
      </w:r>
      <w:r w:rsidRPr="00591265">
        <w:rPr>
          <w:rFonts w:ascii="Times New Roman" w:hAnsi="Times New Roman" w:cs="Times New Roman"/>
          <w:spacing w:val="-2"/>
          <w:sz w:val="20"/>
          <w:szCs w:val="20"/>
          <w:lang w:val="en-GB"/>
        </w:rPr>
        <w:t>resented at ESREL2006, 18</w:t>
      </w:r>
      <w:r w:rsidR="002B162B">
        <w:rPr>
          <w:rFonts w:ascii="Times New Roman" w:hAnsi="Times New Roman" w:cs="Times New Roman"/>
          <w:spacing w:val="-2"/>
          <w:sz w:val="20"/>
          <w:szCs w:val="20"/>
          <w:lang w:val="en-GB"/>
        </w:rPr>
        <w:t>‒</w:t>
      </w:r>
      <w:r w:rsidRPr="00591265">
        <w:rPr>
          <w:rFonts w:ascii="Times New Roman" w:hAnsi="Times New Roman" w:cs="Times New Roman"/>
          <w:spacing w:val="-2"/>
          <w:sz w:val="20"/>
          <w:szCs w:val="20"/>
          <w:lang w:val="en-GB"/>
        </w:rPr>
        <w:t>22 Sep</w:t>
      </w:r>
      <w:r>
        <w:rPr>
          <w:rFonts w:ascii="Times New Roman" w:hAnsi="Times New Roman" w:cs="Times New Roman"/>
          <w:spacing w:val="-2"/>
          <w:sz w:val="20"/>
          <w:szCs w:val="20"/>
          <w:lang w:val="en-GB"/>
        </w:rPr>
        <w:softHyphen/>
      </w:r>
      <w:r w:rsidRPr="00591265">
        <w:rPr>
          <w:rFonts w:ascii="Times New Roman" w:hAnsi="Times New Roman" w:cs="Times New Roman"/>
          <w:spacing w:val="-2"/>
          <w:sz w:val="20"/>
          <w:szCs w:val="20"/>
          <w:lang w:val="en-GB"/>
        </w:rPr>
        <w:t>tember 2006</w:t>
      </w:r>
      <w:r w:rsidR="002B162B">
        <w:rPr>
          <w:rFonts w:ascii="Times New Roman" w:hAnsi="Times New Roman" w:cs="Times New Roman"/>
          <w:spacing w:val="-2"/>
          <w:sz w:val="20"/>
          <w:szCs w:val="20"/>
          <w:lang w:val="en-GB"/>
        </w:rPr>
        <w:t>, Estoril, Portugal</w:t>
      </w:r>
      <w:r w:rsidR="005D5381">
        <w:rPr>
          <w:rFonts w:ascii="Times New Roman" w:hAnsi="Times New Roman" w:cs="Times New Roman"/>
          <w:spacing w:val="-2"/>
          <w:sz w:val="20"/>
          <w:szCs w:val="20"/>
          <w:lang w:val="en-GB"/>
        </w:rPr>
        <w:t>.</w:t>
      </w:r>
    </w:p>
    <w:p w14:paraId="7E6556B6" w14:textId="1087E159" w:rsidR="00510A46" w:rsidRDefault="00510A46" w:rsidP="00510A46">
      <w:pPr>
        <w:autoSpaceDE w:val="0"/>
        <w:autoSpaceDN w:val="0"/>
        <w:adjustRightInd w:val="0"/>
        <w:spacing w:after="0" w:line="220" w:lineRule="atLeast"/>
        <w:ind w:left="357" w:hanging="357"/>
        <w:jc w:val="both"/>
        <w:rPr>
          <w:rFonts w:ascii="Times New Roman" w:hAnsi="Times New Roman" w:cs="Times New Roman"/>
          <w:spacing w:val="-2"/>
          <w:sz w:val="20"/>
          <w:szCs w:val="20"/>
        </w:rPr>
      </w:pPr>
      <w:r>
        <w:rPr>
          <w:rFonts w:ascii="Times New Roman" w:hAnsi="Times New Roman" w:cs="Times New Roman"/>
          <w:spacing w:val="-2"/>
          <w:sz w:val="20"/>
          <w:szCs w:val="20"/>
        </w:rPr>
        <w:t>Vinnem, J.E. and Budde, S.F. (2019)</w:t>
      </w:r>
      <w:r w:rsidR="005F599B">
        <w:rPr>
          <w:rFonts w:ascii="Times New Roman" w:hAnsi="Times New Roman" w:cs="Times New Roman"/>
          <w:spacing w:val="-2"/>
          <w:sz w:val="20"/>
          <w:szCs w:val="20"/>
        </w:rPr>
        <w:t>.</w:t>
      </w:r>
      <w:r>
        <w:rPr>
          <w:rFonts w:ascii="Times New Roman" w:hAnsi="Times New Roman" w:cs="Times New Roman"/>
          <w:spacing w:val="-2"/>
          <w:sz w:val="20"/>
          <w:szCs w:val="20"/>
        </w:rPr>
        <w:t xml:space="preserve"> </w:t>
      </w:r>
      <w:r w:rsidRPr="00015094">
        <w:rPr>
          <w:rFonts w:ascii="Times New Roman" w:hAnsi="Times New Roman" w:cs="Times New Roman"/>
          <w:spacing w:val="-2"/>
          <w:sz w:val="20"/>
          <w:szCs w:val="20"/>
        </w:rPr>
        <w:t xml:space="preserve">Challenges for </w:t>
      </w:r>
      <w:r w:rsidR="005D5381">
        <w:rPr>
          <w:rFonts w:ascii="Times New Roman" w:hAnsi="Times New Roman" w:cs="Times New Roman"/>
          <w:spacing w:val="-2"/>
          <w:sz w:val="20"/>
          <w:szCs w:val="20"/>
        </w:rPr>
        <w:t>r</w:t>
      </w:r>
      <w:r w:rsidRPr="00015094">
        <w:rPr>
          <w:rFonts w:ascii="Times New Roman" w:hAnsi="Times New Roman" w:cs="Times New Roman"/>
          <w:spacing w:val="-2"/>
          <w:sz w:val="20"/>
          <w:szCs w:val="20"/>
        </w:rPr>
        <w:t xml:space="preserve">isk on </w:t>
      </w:r>
      <w:r w:rsidR="005D5381">
        <w:rPr>
          <w:rFonts w:ascii="Times New Roman" w:hAnsi="Times New Roman" w:cs="Times New Roman"/>
          <w:spacing w:val="-2"/>
          <w:sz w:val="20"/>
          <w:szCs w:val="20"/>
        </w:rPr>
        <w:t>f</w:t>
      </w:r>
      <w:r w:rsidRPr="00015094">
        <w:rPr>
          <w:rFonts w:ascii="Times New Roman" w:hAnsi="Times New Roman" w:cs="Times New Roman"/>
          <w:spacing w:val="-2"/>
          <w:sz w:val="20"/>
          <w:szCs w:val="20"/>
        </w:rPr>
        <w:t xml:space="preserve">uture </w:t>
      </w:r>
      <w:r w:rsidR="005D5381">
        <w:rPr>
          <w:rFonts w:ascii="Times New Roman" w:hAnsi="Times New Roman" w:cs="Times New Roman"/>
          <w:spacing w:val="-2"/>
          <w:sz w:val="20"/>
          <w:szCs w:val="20"/>
        </w:rPr>
        <w:t>a</w:t>
      </w:r>
      <w:r w:rsidRPr="00015094">
        <w:rPr>
          <w:rFonts w:ascii="Times New Roman" w:hAnsi="Times New Roman" w:cs="Times New Roman"/>
          <w:spacing w:val="-2"/>
          <w:sz w:val="20"/>
          <w:szCs w:val="20"/>
        </w:rPr>
        <w:t xml:space="preserve">utonomous </w:t>
      </w:r>
      <w:r w:rsidR="005D5381">
        <w:rPr>
          <w:rFonts w:ascii="Times New Roman" w:hAnsi="Times New Roman" w:cs="Times New Roman"/>
          <w:spacing w:val="-2"/>
          <w:sz w:val="20"/>
          <w:szCs w:val="20"/>
        </w:rPr>
        <w:t>o</w:t>
      </w:r>
      <w:r w:rsidRPr="00015094">
        <w:rPr>
          <w:rFonts w:ascii="Times New Roman" w:hAnsi="Times New Roman" w:cs="Times New Roman"/>
          <w:spacing w:val="-2"/>
          <w:sz w:val="20"/>
          <w:szCs w:val="20"/>
        </w:rPr>
        <w:t xml:space="preserve">ffshore </w:t>
      </w:r>
      <w:r w:rsidR="005D5381">
        <w:rPr>
          <w:rFonts w:ascii="Times New Roman" w:hAnsi="Times New Roman" w:cs="Times New Roman"/>
          <w:spacing w:val="-2"/>
          <w:sz w:val="20"/>
          <w:szCs w:val="20"/>
        </w:rPr>
        <w:t>i</w:t>
      </w:r>
      <w:r w:rsidRPr="00015094">
        <w:rPr>
          <w:rFonts w:ascii="Times New Roman" w:hAnsi="Times New Roman" w:cs="Times New Roman"/>
          <w:spacing w:val="-2"/>
          <w:sz w:val="20"/>
          <w:szCs w:val="20"/>
        </w:rPr>
        <w:t>nstallations</w:t>
      </w:r>
      <w:r w:rsidR="005D5381">
        <w:rPr>
          <w:rFonts w:ascii="Times New Roman" w:hAnsi="Times New Roman" w:cs="Times New Roman"/>
          <w:spacing w:val="-2"/>
          <w:sz w:val="20"/>
          <w:szCs w:val="20"/>
        </w:rPr>
        <w:t xml:space="preserve">. </w:t>
      </w:r>
      <w:r>
        <w:rPr>
          <w:rFonts w:ascii="Times New Roman" w:hAnsi="Times New Roman" w:cs="Times New Roman"/>
          <w:spacing w:val="-2"/>
          <w:sz w:val="20"/>
          <w:szCs w:val="20"/>
        </w:rPr>
        <w:t>ESREL 2019, 22–26 September 2019, Hannover, Germany</w:t>
      </w:r>
      <w:r w:rsidR="005D5381">
        <w:rPr>
          <w:rFonts w:ascii="Times New Roman" w:hAnsi="Times New Roman" w:cs="Times New Roman"/>
          <w:spacing w:val="-2"/>
          <w:sz w:val="20"/>
          <w:szCs w:val="20"/>
        </w:rPr>
        <w:t>.</w:t>
      </w:r>
    </w:p>
    <w:p w14:paraId="10BC7CD4" w14:textId="47DCE05C" w:rsidR="00510A46" w:rsidRPr="00CC5871" w:rsidRDefault="00510A46" w:rsidP="00510A46">
      <w:pPr>
        <w:autoSpaceDE w:val="0"/>
        <w:autoSpaceDN w:val="0"/>
        <w:adjustRightInd w:val="0"/>
        <w:spacing w:after="0" w:line="220" w:lineRule="atLeast"/>
        <w:ind w:left="357" w:hanging="357"/>
        <w:jc w:val="both"/>
        <w:rPr>
          <w:rFonts w:ascii="Times New Roman" w:hAnsi="Times New Roman" w:cs="Times New Roman"/>
          <w:spacing w:val="-2"/>
          <w:sz w:val="20"/>
          <w:szCs w:val="20"/>
          <w:lang w:val="en-GB"/>
        </w:rPr>
      </w:pPr>
      <w:r w:rsidRPr="00CC5871">
        <w:rPr>
          <w:rFonts w:ascii="Times New Roman" w:hAnsi="Times New Roman" w:cs="Times New Roman"/>
          <w:spacing w:val="-2"/>
          <w:sz w:val="20"/>
          <w:szCs w:val="20"/>
          <w:lang w:val="en-GB"/>
        </w:rPr>
        <w:t>Vinnem, J.E. and Fossan, I. (2019)</w:t>
      </w:r>
      <w:r w:rsidR="005F599B">
        <w:rPr>
          <w:rFonts w:ascii="Times New Roman" w:hAnsi="Times New Roman" w:cs="Times New Roman"/>
          <w:spacing w:val="-2"/>
          <w:sz w:val="20"/>
          <w:szCs w:val="20"/>
          <w:lang w:val="en-GB"/>
        </w:rPr>
        <w:t>.</w:t>
      </w:r>
      <w:r w:rsidRPr="00CC5871">
        <w:rPr>
          <w:rFonts w:ascii="Times New Roman" w:hAnsi="Times New Roman" w:cs="Times New Roman"/>
          <w:spacing w:val="-2"/>
          <w:sz w:val="20"/>
          <w:szCs w:val="20"/>
          <w:lang w:val="en-GB"/>
        </w:rPr>
        <w:t xml:space="preserve"> Risk</w:t>
      </w:r>
      <w:r>
        <w:rPr>
          <w:rFonts w:ascii="Times New Roman" w:hAnsi="Times New Roman" w:cs="Times New Roman"/>
          <w:spacing w:val="-2"/>
          <w:sz w:val="20"/>
          <w:szCs w:val="20"/>
          <w:lang w:val="en-GB"/>
        </w:rPr>
        <w:t xml:space="preserve"> Tolerance Criteria for </w:t>
      </w:r>
      <w:r w:rsidRPr="00E46446">
        <w:rPr>
          <w:rFonts w:ascii="Times New Roman" w:hAnsi="Times New Roman" w:cs="Times New Roman"/>
          <w:i/>
          <w:iCs/>
          <w:spacing w:val="-2"/>
          <w:sz w:val="20"/>
          <w:szCs w:val="20"/>
          <w:lang w:val="en-GB"/>
        </w:rPr>
        <w:t>(confidential client)</w:t>
      </w:r>
      <w:r>
        <w:rPr>
          <w:rFonts w:ascii="Times New Roman" w:hAnsi="Times New Roman" w:cs="Times New Roman"/>
          <w:spacing w:val="-2"/>
          <w:sz w:val="20"/>
          <w:szCs w:val="20"/>
          <w:lang w:val="en-GB"/>
        </w:rPr>
        <w:t>, Benchmar</w:t>
      </w:r>
      <w:r>
        <w:rPr>
          <w:rFonts w:ascii="Times New Roman" w:hAnsi="Times New Roman" w:cs="Times New Roman"/>
          <w:spacing w:val="-2"/>
          <w:sz w:val="20"/>
          <w:szCs w:val="20"/>
          <w:lang w:val="en-GB"/>
        </w:rPr>
        <w:softHyphen/>
        <w:t>king &amp; Review</w:t>
      </w:r>
      <w:r w:rsidR="005D5381">
        <w:rPr>
          <w:rFonts w:ascii="Times New Roman" w:hAnsi="Times New Roman" w:cs="Times New Roman"/>
          <w:spacing w:val="-2"/>
          <w:sz w:val="20"/>
          <w:szCs w:val="20"/>
          <w:lang w:val="en-GB"/>
        </w:rPr>
        <w:t>.</w:t>
      </w:r>
      <w:r>
        <w:rPr>
          <w:rFonts w:ascii="Times New Roman" w:hAnsi="Times New Roman" w:cs="Times New Roman"/>
          <w:spacing w:val="-2"/>
          <w:sz w:val="20"/>
          <w:szCs w:val="20"/>
          <w:lang w:val="en-GB"/>
        </w:rPr>
        <w:t xml:space="preserve"> Preventor report 2019107-01, rev1, 10.04.2019</w:t>
      </w:r>
      <w:r w:rsidR="005D5381">
        <w:rPr>
          <w:rFonts w:ascii="Times New Roman" w:hAnsi="Times New Roman" w:cs="Times New Roman"/>
          <w:spacing w:val="-2"/>
          <w:sz w:val="20"/>
          <w:szCs w:val="20"/>
          <w:lang w:val="en-GB"/>
        </w:rPr>
        <w:t>.</w:t>
      </w:r>
    </w:p>
    <w:p w14:paraId="2A0D9C78" w14:textId="7F97F8C4" w:rsidR="00510A46" w:rsidRDefault="00510A46" w:rsidP="00510A46">
      <w:pPr>
        <w:autoSpaceDE w:val="0"/>
        <w:autoSpaceDN w:val="0"/>
        <w:adjustRightInd w:val="0"/>
        <w:spacing w:after="0" w:line="220" w:lineRule="atLeast"/>
        <w:ind w:left="357" w:hanging="357"/>
        <w:jc w:val="both"/>
        <w:rPr>
          <w:rFonts w:ascii="Times New Roman" w:hAnsi="Times New Roman" w:cs="Times New Roman"/>
          <w:spacing w:val="-2"/>
          <w:sz w:val="20"/>
          <w:szCs w:val="20"/>
        </w:rPr>
      </w:pPr>
      <w:r w:rsidRPr="00A72994">
        <w:rPr>
          <w:rFonts w:ascii="Times New Roman" w:hAnsi="Times New Roman" w:cs="Times New Roman"/>
          <w:spacing w:val="-2"/>
          <w:sz w:val="20"/>
          <w:szCs w:val="20"/>
          <w:lang w:val="en-GB"/>
        </w:rPr>
        <w:t xml:space="preserve">Vinnem, J.E. </w:t>
      </w:r>
      <w:r>
        <w:rPr>
          <w:rFonts w:ascii="Times New Roman" w:hAnsi="Times New Roman" w:cs="Times New Roman"/>
          <w:spacing w:val="-2"/>
          <w:sz w:val="20"/>
          <w:szCs w:val="20"/>
          <w:lang w:val="en-GB"/>
        </w:rPr>
        <w:t>and</w:t>
      </w:r>
      <w:r w:rsidRPr="00A72994">
        <w:rPr>
          <w:rFonts w:ascii="Times New Roman" w:hAnsi="Times New Roman" w:cs="Times New Roman"/>
          <w:spacing w:val="-2"/>
          <w:sz w:val="20"/>
          <w:szCs w:val="20"/>
          <w:lang w:val="en-GB"/>
        </w:rPr>
        <w:t xml:space="preserve"> Røed, W. (20</w:t>
      </w:r>
      <w:r>
        <w:rPr>
          <w:rFonts w:ascii="Times New Roman" w:hAnsi="Times New Roman" w:cs="Times New Roman"/>
          <w:spacing w:val="-2"/>
          <w:sz w:val="20"/>
          <w:szCs w:val="20"/>
          <w:lang w:val="en-GB"/>
        </w:rPr>
        <w:t>20</w:t>
      </w:r>
      <w:r w:rsidRPr="00A72994">
        <w:rPr>
          <w:rFonts w:ascii="Times New Roman" w:hAnsi="Times New Roman" w:cs="Times New Roman"/>
          <w:spacing w:val="-2"/>
          <w:sz w:val="20"/>
          <w:szCs w:val="20"/>
          <w:lang w:val="en-GB"/>
        </w:rPr>
        <w:t xml:space="preserve">). </w:t>
      </w:r>
      <w:r w:rsidRPr="00A72994">
        <w:rPr>
          <w:rFonts w:ascii="Times New Roman" w:hAnsi="Times New Roman" w:cs="Times New Roman"/>
          <w:spacing w:val="-2"/>
          <w:sz w:val="20"/>
          <w:szCs w:val="20"/>
        </w:rPr>
        <w:t>Offshore Risk Assessment, 4th Edition</w:t>
      </w:r>
      <w:r w:rsidR="005D5381">
        <w:rPr>
          <w:rFonts w:ascii="Times New Roman" w:hAnsi="Times New Roman" w:cs="Times New Roman"/>
          <w:spacing w:val="-2"/>
          <w:sz w:val="20"/>
          <w:szCs w:val="20"/>
        </w:rPr>
        <w:t>.</w:t>
      </w:r>
      <w:r w:rsidRPr="00A72994">
        <w:rPr>
          <w:rFonts w:ascii="Times New Roman" w:hAnsi="Times New Roman" w:cs="Times New Roman"/>
          <w:spacing w:val="-2"/>
          <w:sz w:val="20"/>
          <w:szCs w:val="20"/>
        </w:rPr>
        <w:t xml:space="preserve"> Springer</w:t>
      </w:r>
      <w:r w:rsidR="005D5381">
        <w:rPr>
          <w:rFonts w:ascii="Times New Roman" w:hAnsi="Times New Roman" w:cs="Times New Roman"/>
          <w:spacing w:val="-2"/>
          <w:sz w:val="20"/>
          <w:szCs w:val="20"/>
        </w:rPr>
        <w:t>.</w:t>
      </w:r>
    </w:p>
    <w:p w14:paraId="2F12082E" w14:textId="61D0A4D3" w:rsidR="0028550C" w:rsidRPr="00510A46" w:rsidRDefault="0028550C" w:rsidP="00B4738B">
      <w:pPr>
        <w:autoSpaceDE w:val="0"/>
        <w:autoSpaceDN w:val="0"/>
        <w:adjustRightInd w:val="0"/>
        <w:spacing w:after="0" w:line="220" w:lineRule="atLeast"/>
        <w:ind w:left="357" w:hanging="357"/>
        <w:jc w:val="both"/>
        <w:rPr>
          <w:rFonts w:ascii="Times New Roman" w:hAnsi="Times New Roman" w:cs="Times New Roman"/>
          <w:spacing w:val="-2"/>
          <w:sz w:val="20"/>
          <w:szCs w:val="20"/>
        </w:rPr>
      </w:pPr>
    </w:p>
    <w:p w14:paraId="1C5023DF" w14:textId="497CE718" w:rsidR="0028550C" w:rsidRDefault="0028550C" w:rsidP="00B4738B">
      <w:pPr>
        <w:autoSpaceDE w:val="0"/>
        <w:autoSpaceDN w:val="0"/>
        <w:adjustRightInd w:val="0"/>
        <w:spacing w:after="0" w:line="220" w:lineRule="atLeast"/>
        <w:ind w:left="357" w:hanging="357"/>
        <w:jc w:val="both"/>
        <w:rPr>
          <w:rFonts w:ascii="Times New Roman" w:hAnsi="Times New Roman" w:cs="Times New Roman"/>
          <w:spacing w:val="-2"/>
          <w:sz w:val="20"/>
          <w:szCs w:val="20"/>
          <w:lang w:val="en-GB"/>
        </w:rPr>
      </w:pPr>
    </w:p>
    <w:p w14:paraId="07FE9AF2" w14:textId="77777777" w:rsidR="00CB6871" w:rsidRPr="00CC5871" w:rsidRDefault="00CB6871" w:rsidP="00E42942">
      <w:pPr>
        <w:autoSpaceDE w:val="0"/>
        <w:autoSpaceDN w:val="0"/>
        <w:adjustRightInd w:val="0"/>
        <w:spacing w:after="0" w:line="220" w:lineRule="atLeast"/>
        <w:jc w:val="both"/>
        <w:rPr>
          <w:rFonts w:ascii="Times New Roman" w:hAnsi="Times New Roman" w:cs="Times New Roman"/>
          <w:spacing w:val="-2"/>
          <w:sz w:val="20"/>
          <w:szCs w:val="20"/>
          <w:lang w:val="en-GB"/>
        </w:rPr>
      </w:pPr>
    </w:p>
    <w:sectPr w:rsidR="00CB6871" w:rsidRPr="00CC5871" w:rsidSect="00BD65B3">
      <w:footerReference w:type="even" r:id="rId17"/>
      <w:footerReference w:type="default" r:id="rId18"/>
      <w:footerReference w:type="first" r:id="rId19"/>
      <w:type w:val="continuous"/>
      <w:pgSz w:w="11906" w:h="16838" w:code="9"/>
      <w:pgMar w:top="2279" w:right="1435" w:bottom="2024" w:left="2200" w:header="2268" w:footer="1361" w:gutter="0"/>
      <w:cols w:space="35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BFD77" w14:textId="77777777" w:rsidR="00CD3B0E" w:rsidRDefault="00CD3B0E" w:rsidP="000626DF">
      <w:pPr>
        <w:spacing w:after="0" w:line="240" w:lineRule="auto"/>
      </w:pPr>
      <w:r>
        <w:separator/>
      </w:r>
    </w:p>
  </w:endnote>
  <w:endnote w:type="continuationSeparator" w:id="0">
    <w:p w14:paraId="62F8CFFB" w14:textId="77777777" w:rsidR="00CD3B0E" w:rsidRDefault="00CD3B0E" w:rsidP="000626DF">
      <w:pPr>
        <w:spacing w:after="0" w:line="240" w:lineRule="auto"/>
      </w:pPr>
      <w:r>
        <w:continuationSeparator/>
      </w:r>
    </w:p>
  </w:endnote>
  <w:endnote w:type="continuationNotice" w:id="1">
    <w:p w14:paraId="5A563F28" w14:textId="77777777" w:rsidR="00A96E95" w:rsidRDefault="00A96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127064"/>
      <w:docPartObj>
        <w:docPartGallery w:val="Page Numbers (Bottom of Page)"/>
        <w:docPartUnique/>
      </w:docPartObj>
    </w:sdtPr>
    <w:sdtContent>
      <w:p w14:paraId="07C7B2B0" w14:textId="1B38F57F" w:rsidR="00CD3B0E" w:rsidRDefault="00CD3B0E">
        <w:pPr>
          <w:pStyle w:val="Bunntekst"/>
          <w:jc w:val="center"/>
        </w:pPr>
        <w:r>
          <w:fldChar w:fldCharType="begin"/>
        </w:r>
        <w:r>
          <w:instrText>PAGE   \* MERGEFORMAT</w:instrText>
        </w:r>
        <w:r>
          <w:fldChar w:fldCharType="separate"/>
        </w:r>
        <w:r>
          <w:rPr>
            <w:lang w:val="nb-NO"/>
          </w:rPr>
          <w:t>2</w:t>
        </w:r>
        <w:r>
          <w:fldChar w:fldCharType="end"/>
        </w:r>
      </w:p>
    </w:sdtContent>
  </w:sdt>
  <w:p w14:paraId="4056E193" w14:textId="77777777" w:rsidR="00CD3B0E" w:rsidRDefault="00CD3B0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070637"/>
      <w:docPartObj>
        <w:docPartGallery w:val="Page Numbers (Bottom of Page)"/>
        <w:docPartUnique/>
      </w:docPartObj>
    </w:sdtPr>
    <w:sdtContent>
      <w:p w14:paraId="7CE68761" w14:textId="054ACE5F" w:rsidR="00CD3B0E" w:rsidRDefault="00CD3B0E">
        <w:pPr>
          <w:pStyle w:val="Bunntekst"/>
          <w:jc w:val="center"/>
        </w:pPr>
        <w:r>
          <w:fldChar w:fldCharType="begin"/>
        </w:r>
        <w:r>
          <w:instrText>PAGE   \* MERGEFORMAT</w:instrText>
        </w:r>
        <w:r>
          <w:fldChar w:fldCharType="separate"/>
        </w:r>
        <w:r>
          <w:rPr>
            <w:lang w:val="nb-NO"/>
          </w:rPr>
          <w:t>2</w:t>
        </w:r>
        <w:r>
          <w:fldChar w:fldCharType="end"/>
        </w:r>
      </w:p>
    </w:sdtContent>
  </w:sdt>
  <w:p w14:paraId="529B9593" w14:textId="77777777" w:rsidR="00CD3B0E" w:rsidRDefault="00CD3B0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710398"/>
      <w:docPartObj>
        <w:docPartGallery w:val="Page Numbers (Bottom of Page)"/>
        <w:docPartUnique/>
      </w:docPartObj>
    </w:sdtPr>
    <w:sdtContent>
      <w:p w14:paraId="07D541AE" w14:textId="4D67C721" w:rsidR="00CD3B0E" w:rsidRDefault="00CD3B0E">
        <w:pPr>
          <w:pStyle w:val="Bunntekst"/>
          <w:jc w:val="center"/>
        </w:pPr>
        <w:r>
          <w:fldChar w:fldCharType="begin"/>
        </w:r>
        <w:r>
          <w:instrText>PAGE   \* MERGEFORMAT</w:instrText>
        </w:r>
        <w:r>
          <w:fldChar w:fldCharType="separate"/>
        </w:r>
        <w:r w:rsidRPr="008B7DE0">
          <w:rPr>
            <w:noProof/>
            <w:lang w:val="nb-NO"/>
          </w:rPr>
          <w:t>1</w:t>
        </w:r>
        <w:r>
          <w:fldChar w:fldCharType="end"/>
        </w:r>
      </w:p>
    </w:sdtContent>
  </w:sdt>
  <w:p w14:paraId="13581DB7" w14:textId="68EFA421" w:rsidR="00CD3B0E" w:rsidRPr="00254535" w:rsidRDefault="00CD3B0E" w:rsidP="0025453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B6196" w14:textId="77777777" w:rsidR="00CD3B0E" w:rsidRDefault="00CD3B0E" w:rsidP="000626DF">
      <w:pPr>
        <w:spacing w:after="0" w:line="240" w:lineRule="auto"/>
      </w:pPr>
      <w:r>
        <w:separator/>
      </w:r>
    </w:p>
  </w:footnote>
  <w:footnote w:type="continuationSeparator" w:id="0">
    <w:p w14:paraId="435B0DEA" w14:textId="77777777" w:rsidR="00CD3B0E" w:rsidRDefault="00CD3B0E" w:rsidP="000626DF">
      <w:pPr>
        <w:spacing w:after="0" w:line="240" w:lineRule="auto"/>
      </w:pPr>
      <w:r>
        <w:continuationSeparator/>
      </w:r>
    </w:p>
  </w:footnote>
  <w:footnote w:type="continuationNotice" w:id="1">
    <w:p w14:paraId="0B12F050" w14:textId="77777777" w:rsidR="00A96E95" w:rsidRDefault="00A96E95">
      <w:pPr>
        <w:spacing w:after="0" w:line="240" w:lineRule="auto"/>
      </w:pPr>
    </w:p>
  </w:footnote>
  <w:footnote w:id="2">
    <w:p w14:paraId="0872D6FB" w14:textId="3F65D40F" w:rsidR="00CD3B0E" w:rsidRPr="00A75975" w:rsidRDefault="00CD3B0E">
      <w:pPr>
        <w:pStyle w:val="Fotnotetekst"/>
        <w:rPr>
          <w:lang w:val="nb-NO"/>
        </w:rPr>
      </w:pPr>
      <w:r>
        <w:rPr>
          <w:rStyle w:val="Fotnotereferanse"/>
        </w:rPr>
        <w:footnoteRef/>
      </w:r>
      <w:r>
        <w:t xml:space="preserve"> See </w:t>
      </w:r>
      <w:r>
        <w:rPr>
          <w:lang w:val="nb-NO"/>
        </w:rPr>
        <w:t>www.equinor.com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6032"/>
    <w:multiLevelType w:val="hybridMultilevel"/>
    <w:tmpl w:val="76B67FE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52C7686"/>
    <w:multiLevelType w:val="hybridMultilevel"/>
    <w:tmpl w:val="876259FC"/>
    <w:lvl w:ilvl="0" w:tplc="04140001">
      <w:start w:val="1"/>
      <w:numFmt w:val="bullet"/>
      <w:lvlText w:val=""/>
      <w:lvlJc w:val="left"/>
      <w:pPr>
        <w:ind w:left="587" w:hanging="360"/>
      </w:pPr>
      <w:rPr>
        <w:rFonts w:ascii="Symbol" w:hAnsi="Symbol" w:hint="default"/>
      </w:rPr>
    </w:lvl>
    <w:lvl w:ilvl="1" w:tplc="04140003" w:tentative="1">
      <w:start w:val="1"/>
      <w:numFmt w:val="bullet"/>
      <w:lvlText w:val="o"/>
      <w:lvlJc w:val="left"/>
      <w:pPr>
        <w:ind w:left="1307" w:hanging="360"/>
      </w:pPr>
      <w:rPr>
        <w:rFonts w:ascii="Courier New" w:hAnsi="Courier New" w:cs="Courier New" w:hint="default"/>
      </w:rPr>
    </w:lvl>
    <w:lvl w:ilvl="2" w:tplc="04140005" w:tentative="1">
      <w:start w:val="1"/>
      <w:numFmt w:val="bullet"/>
      <w:lvlText w:val=""/>
      <w:lvlJc w:val="left"/>
      <w:pPr>
        <w:ind w:left="2027" w:hanging="360"/>
      </w:pPr>
      <w:rPr>
        <w:rFonts w:ascii="Wingdings" w:hAnsi="Wingdings" w:hint="default"/>
      </w:rPr>
    </w:lvl>
    <w:lvl w:ilvl="3" w:tplc="04140001" w:tentative="1">
      <w:start w:val="1"/>
      <w:numFmt w:val="bullet"/>
      <w:lvlText w:val=""/>
      <w:lvlJc w:val="left"/>
      <w:pPr>
        <w:ind w:left="2747" w:hanging="360"/>
      </w:pPr>
      <w:rPr>
        <w:rFonts w:ascii="Symbol" w:hAnsi="Symbol" w:hint="default"/>
      </w:rPr>
    </w:lvl>
    <w:lvl w:ilvl="4" w:tplc="04140003" w:tentative="1">
      <w:start w:val="1"/>
      <w:numFmt w:val="bullet"/>
      <w:lvlText w:val="o"/>
      <w:lvlJc w:val="left"/>
      <w:pPr>
        <w:ind w:left="3467" w:hanging="360"/>
      </w:pPr>
      <w:rPr>
        <w:rFonts w:ascii="Courier New" w:hAnsi="Courier New" w:cs="Courier New" w:hint="default"/>
      </w:rPr>
    </w:lvl>
    <w:lvl w:ilvl="5" w:tplc="04140005" w:tentative="1">
      <w:start w:val="1"/>
      <w:numFmt w:val="bullet"/>
      <w:lvlText w:val=""/>
      <w:lvlJc w:val="left"/>
      <w:pPr>
        <w:ind w:left="4187" w:hanging="360"/>
      </w:pPr>
      <w:rPr>
        <w:rFonts w:ascii="Wingdings" w:hAnsi="Wingdings" w:hint="default"/>
      </w:rPr>
    </w:lvl>
    <w:lvl w:ilvl="6" w:tplc="04140001" w:tentative="1">
      <w:start w:val="1"/>
      <w:numFmt w:val="bullet"/>
      <w:lvlText w:val=""/>
      <w:lvlJc w:val="left"/>
      <w:pPr>
        <w:ind w:left="4907" w:hanging="360"/>
      </w:pPr>
      <w:rPr>
        <w:rFonts w:ascii="Symbol" w:hAnsi="Symbol" w:hint="default"/>
      </w:rPr>
    </w:lvl>
    <w:lvl w:ilvl="7" w:tplc="04140003" w:tentative="1">
      <w:start w:val="1"/>
      <w:numFmt w:val="bullet"/>
      <w:lvlText w:val="o"/>
      <w:lvlJc w:val="left"/>
      <w:pPr>
        <w:ind w:left="5627" w:hanging="360"/>
      </w:pPr>
      <w:rPr>
        <w:rFonts w:ascii="Courier New" w:hAnsi="Courier New" w:cs="Courier New" w:hint="default"/>
      </w:rPr>
    </w:lvl>
    <w:lvl w:ilvl="8" w:tplc="04140005" w:tentative="1">
      <w:start w:val="1"/>
      <w:numFmt w:val="bullet"/>
      <w:lvlText w:val=""/>
      <w:lvlJc w:val="left"/>
      <w:pPr>
        <w:ind w:left="6347" w:hanging="360"/>
      </w:pPr>
      <w:rPr>
        <w:rFonts w:ascii="Wingdings" w:hAnsi="Wingdings" w:hint="default"/>
      </w:rPr>
    </w:lvl>
  </w:abstractNum>
  <w:abstractNum w:abstractNumId="2" w15:restartNumberingAfterBreak="0">
    <w:nsid w:val="43E9008D"/>
    <w:multiLevelType w:val="hybridMultilevel"/>
    <w:tmpl w:val="A962A8EC"/>
    <w:lvl w:ilvl="0" w:tplc="04140001">
      <w:start w:val="1"/>
      <w:numFmt w:val="bullet"/>
      <w:lvlText w:val=""/>
      <w:lvlJc w:val="left"/>
      <w:pPr>
        <w:ind w:left="1022" w:hanging="360"/>
      </w:pPr>
      <w:rPr>
        <w:rFonts w:ascii="Symbol" w:hAnsi="Symbol" w:hint="default"/>
      </w:rPr>
    </w:lvl>
    <w:lvl w:ilvl="1" w:tplc="04140003">
      <w:start w:val="1"/>
      <w:numFmt w:val="bullet"/>
      <w:lvlText w:val="o"/>
      <w:lvlJc w:val="left"/>
      <w:pPr>
        <w:ind w:left="1742" w:hanging="360"/>
      </w:pPr>
      <w:rPr>
        <w:rFonts w:ascii="Courier New" w:hAnsi="Courier New" w:cs="Courier New" w:hint="default"/>
      </w:rPr>
    </w:lvl>
    <w:lvl w:ilvl="2" w:tplc="04140005" w:tentative="1">
      <w:start w:val="1"/>
      <w:numFmt w:val="bullet"/>
      <w:lvlText w:val=""/>
      <w:lvlJc w:val="left"/>
      <w:pPr>
        <w:ind w:left="2462" w:hanging="360"/>
      </w:pPr>
      <w:rPr>
        <w:rFonts w:ascii="Wingdings" w:hAnsi="Wingdings" w:hint="default"/>
      </w:rPr>
    </w:lvl>
    <w:lvl w:ilvl="3" w:tplc="04140001" w:tentative="1">
      <w:start w:val="1"/>
      <w:numFmt w:val="bullet"/>
      <w:lvlText w:val=""/>
      <w:lvlJc w:val="left"/>
      <w:pPr>
        <w:ind w:left="3182" w:hanging="360"/>
      </w:pPr>
      <w:rPr>
        <w:rFonts w:ascii="Symbol" w:hAnsi="Symbol" w:hint="default"/>
      </w:rPr>
    </w:lvl>
    <w:lvl w:ilvl="4" w:tplc="04140003" w:tentative="1">
      <w:start w:val="1"/>
      <w:numFmt w:val="bullet"/>
      <w:lvlText w:val="o"/>
      <w:lvlJc w:val="left"/>
      <w:pPr>
        <w:ind w:left="3902" w:hanging="360"/>
      </w:pPr>
      <w:rPr>
        <w:rFonts w:ascii="Courier New" w:hAnsi="Courier New" w:cs="Courier New" w:hint="default"/>
      </w:rPr>
    </w:lvl>
    <w:lvl w:ilvl="5" w:tplc="04140005" w:tentative="1">
      <w:start w:val="1"/>
      <w:numFmt w:val="bullet"/>
      <w:lvlText w:val=""/>
      <w:lvlJc w:val="left"/>
      <w:pPr>
        <w:ind w:left="4622" w:hanging="360"/>
      </w:pPr>
      <w:rPr>
        <w:rFonts w:ascii="Wingdings" w:hAnsi="Wingdings" w:hint="default"/>
      </w:rPr>
    </w:lvl>
    <w:lvl w:ilvl="6" w:tplc="04140001" w:tentative="1">
      <w:start w:val="1"/>
      <w:numFmt w:val="bullet"/>
      <w:lvlText w:val=""/>
      <w:lvlJc w:val="left"/>
      <w:pPr>
        <w:ind w:left="5342" w:hanging="360"/>
      </w:pPr>
      <w:rPr>
        <w:rFonts w:ascii="Symbol" w:hAnsi="Symbol" w:hint="default"/>
      </w:rPr>
    </w:lvl>
    <w:lvl w:ilvl="7" w:tplc="04140003" w:tentative="1">
      <w:start w:val="1"/>
      <w:numFmt w:val="bullet"/>
      <w:lvlText w:val="o"/>
      <w:lvlJc w:val="left"/>
      <w:pPr>
        <w:ind w:left="6062" w:hanging="360"/>
      </w:pPr>
      <w:rPr>
        <w:rFonts w:ascii="Courier New" w:hAnsi="Courier New" w:cs="Courier New" w:hint="default"/>
      </w:rPr>
    </w:lvl>
    <w:lvl w:ilvl="8" w:tplc="04140005" w:tentative="1">
      <w:start w:val="1"/>
      <w:numFmt w:val="bullet"/>
      <w:lvlText w:val=""/>
      <w:lvlJc w:val="left"/>
      <w:pPr>
        <w:ind w:left="6782" w:hanging="360"/>
      </w:pPr>
      <w:rPr>
        <w:rFonts w:ascii="Wingdings" w:hAnsi="Wingdings" w:hint="default"/>
      </w:rPr>
    </w:lvl>
  </w:abstractNum>
  <w:abstractNum w:abstractNumId="3" w15:restartNumberingAfterBreak="0">
    <w:nsid w:val="61EB50BC"/>
    <w:multiLevelType w:val="hybridMultilevel"/>
    <w:tmpl w:val="FF50327E"/>
    <w:lvl w:ilvl="0" w:tplc="7030851E">
      <w:start w:val="1"/>
      <w:numFmt w:val="bullet"/>
      <w:lvlText w:val=""/>
      <w:lvlJc w:val="left"/>
      <w:pPr>
        <w:ind w:left="587" w:hanging="360"/>
      </w:pPr>
      <w:rPr>
        <w:rFonts w:ascii="Symbol" w:hAnsi="Symbol" w:hint="default"/>
        <w:lang w:val="en-GB"/>
      </w:rPr>
    </w:lvl>
    <w:lvl w:ilvl="1" w:tplc="04140003" w:tentative="1">
      <w:start w:val="1"/>
      <w:numFmt w:val="bullet"/>
      <w:lvlText w:val="o"/>
      <w:lvlJc w:val="left"/>
      <w:pPr>
        <w:ind w:left="1307" w:hanging="360"/>
      </w:pPr>
      <w:rPr>
        <w:rFonts w:ascii="Courier New" w:hAnsi="Courier New" w:cs="Courier New" w:hint="default"/>
      </w:rPr>
    </w:lvl>
    <w:lvl w:ilvl="2" w:tplc="04140005" w:tentative="1">
      <w:start w:val="1"/>
      <w:numFmt w:val="bullet"/>
      <w:lvlText w:val=""/>
      <w:lvlJc w:val="left"/>
      <w:pPr>
        <w:ind w:left="2027" w:hanging="360"/>
      </w:pPr>
      <w:rPr>
        <w:rFonts w:ascii="Wingdings" w:hAnsi="Wingdings" w:hint="default"/>
      </w:rPr>
    </w:lvl>
    <w:lvl w:ilvl="3" w:tplc="04140001" w:tentative="1">
      <w:start w:val="1"/>
      <w:numFmt w:val="bullet"/>
      <w:lvlText w:val=""/>
      <w:lvlJc w:val="left"/>
      <w:pPr>
        <w:ind w:left="2747" w:hanging="360"/>
      </w:pPr>
      <w:rPr>
        <w:rFonts w:ascii="Symbol" w:hAnsi="Symbol" w:hint="default"/>
      </w:rPr>
    </w:lvl>
    <w:lvl w:ilvl="4" w:tplc="04140003" w:tentative="1">
      <w:start w:val="1"/>
      <w:numFmt w:val="bullet"/>
      <w:lvlText w:val="o"/>
      <w:lvlJc w:val="left"/>
      <w:pPr>
        <w:ind w:left="3467" w:hanging="360"/>
      </w:pPr>
      <w:rPr>
        <w:rFonts w:ascii="Courier New" w:hAnsi="Courier New" w:cs="Courier New" w:hint="default"/>
      </w:rPr>
    </w:lvl>
    <w:lvl w:ilvl="5" w:tplc="04140005" w:tentative="1">
      <w:start w:val="1"/>
      <w:numFmt w:val="bullet"/>
      <w:lvlText w:val=""/>
      <w:lvlJc w:val="left"/>
      <w:pPr>
        <w:ind w:left="4187" w:hanging="360"/>
      </w:pPr>
      <w:rPr>
        <w:rFonts w:ascii="Wingdings" w:hAnsi="Wingdings" w:hint="default"/>
      </w:rPr>
    </w:lvl>
    <w:lvl w:ilvl="6" w:tplc="04140001" w:tentative="1">
      <w:start w:val="1"/>
      <w:numFmt w:val="bullet"/>
      <w:lvlText w:val=""/>
      <w:lvlJc w:val="left"/>
      <w:pPr>
        <w:ind w:left="4907" w:hanging="360"/>
      </w:pPr>
      <w:rPr>
        <w:rFonts w:ascii="Symbol" w:hAnsi="Symbol" w:hint="default"/>
      </w:rPr>
    </w:lvl>
    <w:lvl w:ilvl="7" w:tplc="04140003" w:tentative="1">
      <w:start w:val="1"/>
      <w:numFmt w:val="bullet"/>
      <w:lvlText w:val="o"/>
      <w:lvlJc w:val="left"/>
      <w:pPr>
        <w:ind w:left="5627" w:hanging="360"/>
      </w:pPr>
      <w:rPr>
        <w:rFonts w:ascii="Courier New" w:hAnsi="Courier New" w:cs="Courier New" w:hint="default"/>
      </w:rPr>
    </w:lvl>
    <w:lvl w:ilvl="8" w:tplc="04140005" w:tentative="1">
      <w:start w:val="1"/>
      <w:numFmt w:val="bullet"/>
      <w:lvlText w:val=""/>
      <w:lvlJc w:val="left"/>
      <w:pPr>
        <w:ind w:left="6347" w:hanging="360"/>
      </w:pPr>
      <w:rPr>
        <w:rFonts w:ascii="Wingdings" w:hAnsi="Wingdings" w:hint="default"/>
      </w:rPr>
    </w:lvl>
  </w:abstractNum>
  <w:abstractNum w:abstractNumId="4" w15:restartNumberingAfterBreak="0">
    <w:nsid w:val="7CEC2AD2"/>
    <w:multiLevelType w:val="hybridMultilevel"/>
    <w:tmpl w:val="FED61A24"/>
    <w:lvl w:ilvl="0" w:tplc="0414000F">
      <w:start w:val="1"/>
      <w:numFmt w:val="decimal"/>
      <w:lvlText w:val="%1."/>
      <w:lvlJc w:val="left"/>
      <w:pPr>
        <w:ind w:left="587" w:hanging="360"/>
      </w:pPr>
    </w:lvl>
    <w:lvl w:ilvl="1" w:tplc="04140019" w:tentative="1">
      <w:start w:val="1"/>
      <w:numFmt w:val="lowerLetter"/>
      <w:lvlText w:val="%2."/>
      <w:lvlJc w:val="left"/>
      <w:pPr>
        <w:ind w:left="1307" w:hanging="360"/>
      </w:pPr>
    </w:lvl>
    <w:lvl w:ilvl="2" w:tplc="0414001B" w:tentative="1">
      <w:start w:val="1"/>
      <w:numFmt w:val="lowerRoman"/>
      <w:lvlText w:val="%3."/>
      <w:lvlJc w:val="right"/>
      <w:pPr>
        <w:ind w:left="2027" w:hanging="180"/>
      </w:pPr>
    </w:lvl>
    <w:lvl w:ilvl="3" w:tplc="0414000F" w:tentative="1">
      <w:start w:val="1"/>
      <w:numFmt w:val="decimal"/>
      <w:lvlText w:val="%4."/>
      <w:lvlJc w:val="left"/>
      <w:pPr>
        <w:ind w:left="2747" w:hanging="360"/>
      </w:pPr>
    </w:lvl>
    <w:lvl w:ilvl="4" w:tplc="04140019" w:tentative="1">
      <w:start w:val="1"/>
      <w:numFmt w:val="lowerLetter"/>
      <w:lvlText w:val="%5."/>
      <w:lvlJc w:val="left"/>
      <w:pPr>
        <w:ind w:left="3467" w:hanging="360"/>
      </w:pPr>
    </w:lvl>
    <w:lvl w:ilvl="5" w:tplc="0414001B" w:tentative="1">
      <w:start w:val="1"/>
      <w:numFmt w:val="lowerRoman"/>
      <w:lvlText w:val="%6."/>
      <w:lvlJc w:val="right"/>
      <w:pPr>
        <w:ind w:left="4187" w:hanging="180"/>
      </w:pPr>
    </w:lvl>
    <w:lvl w:ilvl="6" w:tplc="0414000F" w:tentative="1">
      <w:start w:val="1"/>
      <w:numFmt w:val="decimal"/>
      <w:lvlText w:val="%7."/>
      <w:lvlJc w:val="left"/>
      <w:pPr>
        <w:ind w:left="4907" w:hanging="360"/>
      </w:pPr>
    </w:lvl>
    <w:lvl w:ilvl="7" w:tplc="04140019" w:tentative="1">
      <w:start w:val="1"/>
      <w:numFmt w:val="lowerLetter"/>
      <w:lvlText w:val="%8."/>
      <w:lvlJc w:val="left"/>
      <w:pPr>
        <w:ind w:left="5627" w:hanging="360"/>
      </w:pPr>
    </w:lvl>
    <w:lvl w:ilvl="8" w:tplc="0414001B" w:tentative="1">
      <w:start w:val="1"/>
      <w:numFmt w:val="lowerRoman"/>
      <w:lvlText w:val="%9."/>
      <w:lvlJc w:val="right"/>
      <w:pPr>
        <w:ind w:left="6347" w:hanging="180"/>
      </w:pPr>
    </w:lvl>
  </w:abstractNum>
  <w:abstractNum w:abstractNumId="5" w15:restartNumberingAfterBreak="0">
    <w:nsid w:val="7D295A11"/>
    <w:multiLevelType w:val="hybridMultilevel"/>
    <w:tmpl w:val="FED61A24"/>
    <w:lvl w:ilvl="0" w:tplc="0414000F">
      <w:start w:val="1"/>
      <w:numFmt w:val="decimal"/>
      <w:lvlText w:val="%1."/>
      <w:lvlJc w:val="left"/>
      <w:pPr>
        <w:ind w:left="587" w:hanging="360"/>
      </w:pPr>
    </w:lvl>
    <w:lvl w:ilvl="1" w:tplc="04140019" w:tentative="1">
      <w:start w:val="1"/>
      <w:numFmt w:val="lowerLetter"/>
      <w:lvlText w:val="%2."/>
      <w:lvlJc w:val="left"/>
      <w:pPr>
        <w:ind w:left="1307" w:hanging="360"/>
      </w:pPr>
    </w:lvl>
    <w:lvl w:ilvl="2" w:tplc="0414001B" w:tentative="1">
      <w:start w:val="1"/>
      <w:numFmt w:val="lowerRoman"/>
      <w:lvlText w:val="%3."/>
      <w:lvlJc w:val="right"/>
      <w:pPr>
        <w:ind w:left="2027" w:hanging="180"/>
      </w:pPr>
    </w:lvl>
    <w:lvl w:ilvl="3" w:tplc="0414000F" w:tentative="1">
      <w:start w:val="1"/>
      <w:numFmt w:val="decimal"/>
      <w:lvlText w:val="%4."/>
      <w:lvlJc w:val="left"/>
      <w:pPr>
        <w:ind w:left="2747" w:hanging="360"/>
      </w:pPr>
    </w:lvl>
    <w:lvl w:ilvl="4" w:tplc="04140019" w:tentative="1">
      <w:start w:val="1"/>
      <w:numFmt w:val="lowerLetter"/>
      <w:lvlText w:val="%5."/>
      <w:lvlJc w:val="left"/>
      <w:pPr>
        <w:ind w:left="3467" w:hanging="360"/>
      </w:pPr>
    </w:lvl>
    <w:lvl w:ilvl="5" w:tplc="0414001B" w:tentative="1">
      <w:start w:val="1"/>
      <w:numFmt w:val="lowerRoman"/>
      <w:lvlText w:val="%6."/>
      <w:lvlJc w:val="right"/>
      <w:pPr>
        <w:ind w:left="4187" w:hanging="180"/>
      </w:pPr>
    </w:lvl>
    <w:lvl w:ilvl="6" w:tplc="0414000F" w:tentative="1">
      <w:start w:val="1"/>
      <w:numFmt w:val="decimal"/>
      <w:lvlText w:val="%7."/>
      <w:lvlJc w:val="left"/>
      <w:pPr>
        <w:ind w:left="4907" w:hanging="360"/>
      </w:pPr>
    </w:lvl>
    <w:lvl w:ilvl="7" w:tplc="04140019" w:tentative="1">
      <w:start w:val="1"/>
      <w:numFmt w:val="lowerLetter"/>
      <w:lvlText w:val="%8."/>
      <w:lvlJc w:val="left"/>
      <w:pPr>
        <w:ind w:left="5627" w:hanging="360"/>
      </w:pPr>
    </w:lvl>
    <w:lvl w:ilvl="8" w:tplc="0414001B" w:tentative="1">
      <w:start w:val="1"/>
      <w:numFmt w:val="lowerRoman"/>
      <w:lvlText w:val="%9."/>
      <w:lvlJc w:val="right"/>
      <w:pPr>
        <w:ind w:left="6347" w:hanging="180"/>
      </w:pPr>
    </w:lvl>
  </w:abstractNum>
  <w:abstractNum w:abstractNumId="6" w15:restartNumberingAfterBreak="0">
    <w:nsid w:val="7E7526B4"/>
    <w:multiLevelType w:val="hybridMultilevel"/>
    <w:tmpl w:val="0018F90A"/>
    <w:lvl w:ilvl="0" w:tplc="C4F8D780">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6DF"/>
    <w:rsid w:val="000000C4"/>
    <w:rsid w:val="000009AC"/>
    <w:rsid w:val="000025B0"/>
    <w:rsid w:val="00003267"/>
    <w:rsid w:val="00003323"/>
    <w:rsid w:val="0000356E"/>
    <w:rsid w:val="00004A9E"/>
    <w:rsid w:val="00005F1E"/>
    <w:rsid w:val="00006F11"/>
    <w:rsid w:val="00007DD4"/>
    <w:rsid w:val="000103D5"/>
    <w:rsid w:val="00010E91"/>
    <w:rsid w:val="00013B8A"/>
    <w:rsid w:val="00015094"/>
    <w:rsid w:val="000153BD"/>
    <w:rsid w:val="0002071E"/>
    <w:rsid w:val="00020987"/>
    <w:rsid w:val="00022138"/>
    <w:rsid w:val="00024410"/>
    <w:rsid w:val="00025373"/>
    <w:rsid w:val="00026A0D"/>
    <w:rsid w:val="00027900"/>
    <w:rsid w:val="00030820"/>
    <w:rsid w:val="00031445"/>
    <w:rsid w:val="00032096"/>
    <w:rsid w:val="000324E8"/>
    <w:rsid w:val="00032987"/>
    <w:rsid w:val="00032D1C"/>
    <w:rsid w:val="00032EAD"/>
    <w:rsid w:val="00034D74"/>
    <w:rsid w:val="0003546E"/>
    <w:rsid w:val="00036449"/>
    <w:rsid w:val="00037416"/>
    <w:rsid w:val="0003764B"/>
    <w:rsid w:val="000405E9"/>
    <w:rsid w:val="000422C2"/>
    <w:rsid w:val="00043F30"/>
    <w:rsid w:val="00046B29"/>
    <w:rsid w:val="00047375"/>
    <w:rsid w:val="00047ECB"/>
    <w:rsid w:val="000501CE"/>
    <w:rsid w:val="00052742"/>
    <w:rsid w:val="00052B44"/>
    <w:rsid w:val="00053D14"/>
    <w:rsid w:val="00054EE6"/>
    <w:rsid w:val="000560B2"/>
    <w:rsid w:val="0006195B"/>
    <w:rsid w:val="00061A3F"/>
    <w:rsid w:val="000626DF"/>
    <w:rsid w:val="000665DA"/>
    <w:rsid w:val="000666B3"/>
    <w:rsid w:val="00070645"/>
    <w:rsid w:val="00070FD5"/>
    <w:rsid w:val="00071C54"/>
    <w:rsid w:val="00072393"/>
    <w:rsid w:val="0007310D"/>
    <w:rsid w:val="00074836"/>
    <w:rsid w:val="00074B90"/>
    <w:rsid w:val="00075201"/>
    <w:rsid w:val="000761A4"/>
    <w:rsid w:val="00080441"/>
    <w:rsid w:val="0008046E"/>
    <w:rsid w:val="0008100B"/>
    <w:rsid w:val="00082947"/>
    <w:rsid w:val="000908AE"/>
    <w:rsid w:val="00091DE0"/>
    <w:rsid w:val="00092A7F"/>
    <w:rsid w:val="00093A62"/>
    <w:rsid w:val="00093B9D"/>
    <w:rsid w:val="000956C7"/>
    <w:rsid w:val="00095788"/>
    <w:rsid w:val="00096526"/>
    <w:rsid w:val="00097DE2"/>
    <w:rsid w:val="000A2762"/>
    <w:rsid w:val="000A4B72"/>
    <w:rsid w:val="000A7AF9"/>
    <w:rsid w:val="000A7D77"/>
    <w:rsid w:val="000B1AF7"/>
    <w:rsid w:val="000B1E7B"/>
    <w:rsid w:val="000B322A"/>
    <w:rsid w:val="000B3895"/>
    <w:rsid w:val="000B46D4"/>
    <w:rsid w:val="000B4B72"/>
    <w:rsid w:val="000B53FD"/>
    <w:rsid w:val="000B5556"/>
    <w:rsid w:val="000B6673"/>
    <w:rsid w:val="000B7365"/>
    <w:rsid w:val="000C011F"/>
    <w:rsid w:val="000C06B8"/>
    <w:rsid w:val="000C25F9"/>
    <w:rsid w:val="000C3038"/>
    <w:rsid w:val="000C37F7"/>
    <w:rsid w:val="000C4971"/>
    <w:rsid w:val="000C6F56"/>
    <w:rsid w:val="000C6FA5"/>
    <w:rsid w:val="000D34C6"/>
    <w:rsid w:val="000D46C4"/>
    <w:rsid w:val="000D4F46"/>
    <w:rsid w:val="000D54A8"/>
    <w:rsid w:val="000D5794"/>
    <w:rsid w:val="000D5D9F"/>
    <w:rsid w:val="000D7B85"/>
    <w:rsid w:val="000E0EF9"/>
    <w:rsid w:val="000E12B8"/>
    <w:rsid w:val="000E358A"/>
    <w:rsid w:val="000E3B44"/>
    <w:rsid w:val="000E3BAF"/>
    <w:rsid w:val="000E4CEE"/>
    <w:rsid w:val="000E56B6"/>
    <w:rsid w:val="000E71CF"/>
    <w:rsid w:val="000E7B9B"/>
    <w:rsid w:val="000E7BDF"/>
    <w:rsid w:val="000F04E9"/>
    <w:rsid w:val="000F117B"/>
    <w:rsid w:val="000F1387"/>
    <w:rsid w:val="000F146D"/>
    <w:rsid w:val="000F1C12"/>
    <w:rsid w:val="000F532B"/>
    <w:rsid w:val="000F5937"/>
    <w:rsid w:val="000F6634"/>
    <w:rsid w:val="000F723B"/>
    <w:rsid w:val="000F7A3F"/>
    <w:rsid w:val="00100149"/>
    <w:rsid w:val="001014DF"/>
    <w:rsid w:val="00103104"/>
    <w:rsid w:val="001043EA"/>
    <w:rsid w:val="00105F3F"/>
    <w:rsid w:val="00106853"/>
    <w:rsid w:val="001069DA"/>
    <w:rsid w:val="00107472"/>
    <w:rsid w:val="001108DF"/>
    <w:rsid w:val="00112ADC"/>
    <w:rsid w:val="00116BA2"/>
    <w:rsid w:val="00117775"/>
    <w:rsid w:val="001202B6"/>
    <w:rsid w:val="00120BF8"/>
    <w:rsid w:val="00120D28"/>
    <w:rsid w:val="001217B4"/>
    <w:rsid w:val="00121978"/>
    <w:rsid w:val="00121A0B"/>
    <w:rsid w:val="00122F7B"/>
    <w:rsid w:val="00123D47"/>
    <w:rsid w:val="00126482"/>
    <w:rsid w:val="00126B1D"/>
    <w:rsid w:val="00126D5A"/>
    <w:rsid w:val="001272FC"/>
    <w:rsid w:val="0013301A"/>
    <w:rsid w:val="001331CC"/>
    <w:rsid w:val="00133624"/>
    <w:rsid w:val="0013496F"/>
    <w:rsid w:val="00134FA3"/>
    <w:rsid w:val="00135184"/>
    <w:rsid w:val="00135A22"/>
    <w:rsid w:val="00136355"/>
    <w:rsid w:val="00140CDA"/>
    <w:rsid w:val="00142BC8"/>
    <w:rsid w:val="00144E17"/>
    <w:rsid w:val="001463C3"/>
    <w:rsid w:val="0014768A"/>
    <w:rsid w:val="0015126D"/>
    <w:rsid w:val="00151B6C"/>
    <w:rsid w:val="0015204E"/>
    <w:rsid w:val="00153C24"/>
    <w:rsid w:val="00162BDC"/>
    <w:rsid w:val="00163079"/>
    <w:rsid w:val="00165826"/>
    <w:rsid w:val="00166E1D"/>
    <w:rsid w:val="00170E0B"/>
    <w:rsid w:val="00171373"/>
    <w:rsid w:val="00171609"/>
    <w:rsid w:val="001716CF"/>
    <w:rsid w:val="0017315D"/>
    <w:rsid w:val="00173EB4"/>
    <w:rsid w:val="00174B76"/>
    <w:rsid w:val="00175BDC"/>
    <w:rsid w:val="00176973"/>
    <w:rsid w:val="00181BD3"/>
    <w:rsid w:val="0018218C"/>
    <w:rsid w:val="001862D3"/>
    <w:rsid w:val="0018648D"/>
    <w:rsid w:val="00187667"/>
    <w:rsid w:val="00191659"/>
    <w:rsid w:val="001940D9"/>
    <w:rsid w:val="001946CE"/>
    <w:rsid w:val="00194AEA"/>
    <w:rsid w:val="00197972"/>
    <w:rsid w:val="00197A60"/>
    <w:rsid w:val="00197C5B"/>
    <w:rsid w:val="00197FB8"/>
    <w:rsid w:val="001A05BE"/>
    <w:rsid w:val="001A0608"/>
    <w:rsid w:val="001A159E"/>
    <w:rsid w:val="001A369E"/>
    <w:rsid w:val="001A3B7E"/>
    <w:rsid w:val="001A58CC"/>
    <w:rsid w:val="001A5C78"/>
    <w:rsid w:val="001A60FB"/>
    <w:rsid w:val="001A708E"/>
    <w:rsid w:val="001A78CA"/>
    <w:rsid w:val="001B1456"/>
    <w:rsid w:val="001B4880"/>
    <w:rsid w:val="001B5E6D"/>
    <w:rsid w:val="001B6303"/>
    <w:rsid w:val="001C2AD1"/>
    <w:rsid w:val="001C2CD3"/>
    <w:rsid w:val="001C40B4"/>
    <w:rsid w:val="001C54E5"/>
    <w:rsid w:val="001C665A"/>
    <w:rsid w:val="001C7797"/>
    <w:rsid w:val="001D0032"/>
    <w:rsid w:val="001D0064"/>
    <w:rsid w:val="001D05F9"/>
    <w:rsid w:val="001D0D25"/>
    <w:rsid w:val="001D31F9"/>
    <w:rsid w:val="001D359A"/>
    <w:rsid w:val="001D47EA"/>
    <w:rsid w:val="001D5167"/>
    <w:rsid w:val="001D52BD"/>
    <w:rsid w:val="001D5579"/>
    <w:rsid w:val="001D7A66"/>
    <w:rsid w:val="001E0BA1"/>
    <w:rsid w:val="001E1FA6"/>
    <w:rsid w:val="001E3950"/>
    <w:rsid w:val="001E49F5"/>
    <w:rsid w:val="001E5B72"/>
    <w:rsid w:val="001E6C12"/>
    <w:rsid w:val="001E774A"/>
    <w:rsid w:val="001F1A8A"/>
    <w:rsid w:val="001F2392"/>
    <w:rsid w:val="001F23D7"/>
    <w:rsid w:val="001F4120"/>
    <w:rsid w:val="001F5E1E"/>
    <w:rsid w:val="00200556"/>
    <w:rsid w:val="00201686"/>
    <w:rsid w:val="00202824"/>
    <w:rsid w:val="002038B8"/>
    <w:rsid w:val="00203A28"/>
    <w:rsid w:val="00203AE9"/>
    <w:rsid w:val="00204B7D"/>
    <w:rsid w:val="002051E5"/>
    <w:rsid w:val="002056CE"/>
    <w:rsid w:val="0021048F"/>
    <w:rsid w:val="002107EE"/>
    <w:rsid w:val="00210ED0"/>
    <w:rsid w:val="0021149B"/>
    <w:rsid w:val="00213117"/>
    <w:rsid w:val="0021440F"/>
    <w:rsid w:val="00215A7E"/>
    <w:rsid w:val="002169D2"/>
    <w:rsid w:val="00216D6E"/>
    <w:rsid w:val="00216FF9"/>
    <w:rsid w:val="002171D6"/>
    <w:rsid w:val="00220B56"/>
    <w:rsid w:val="00222A68"/>
    <w:rsid w:val="002242E6"/>
    <w:rsid w:val="0022518F"/>
    <w:rsid w:val="00225741"/>
    <w:rsid w:val="00226F06"/>
    <w:rsid w:val="00231FDF"/>
    <w:rsid w:val="00232926"/>
    <w:rsid w:val="00234D64"/>
    <w:rsid w:val="002359DB"/>
    <w:rsid w:val="0023628B"/>
    <w:rsid w:val="0023748E"/>
    <w:rsid w:val="00240456"/>
    <w:rsid w:val="0024050B"/>
    <w:rsid w:val="0024139C"/>
    <w:rsid w:val="002424B3"/>
    <w:rsid w:val="00243353"/>
    <w:rsid w:val="00245453"/>
    <w:rsid w:val="00245CE4"/>
    <w:rsid w:val="00245ECE"/>
    <w:rsid w:val="0024615B"/>
    <w:rsid w:val="00246162"/>
    <w:rsid w:val="00247F78"/>
    <w:rsid w:val="002504DE"/>
    <w:rsid w:val="00250A62"/>
    <w:rsid w:val="00250F92"/>
    <w:rsid w:val="002528B6"/>
    <w:rsid w:val="002536A5"/>
    <w:rsid w:val="002540DA"/>
    <w:rsid w:val="00254535"/>
    <w:rsid w:val="00255252"/>
    <w:rsid w:val="00255989"/>
    <w:rsid w:val="00257256"/>
    <w:rsid w:val="00257AA8"/>
    <w:rsid w:val="002614B1"/>
    <w:rsid w:val="0026283D"/>
    <w:rsid w:val="002650E6"/>
    <w:rsid w:val="00265D9C"/>
    <w:rsid w:val="00265FEC"/>
    <w:rsid w:val="0026632A"/>
    <w:rsid w:val="00266D2A"/>
    <w:rsid w:val="00267040"/>
    <w:rsid w:val="00267DF8"/>
    <w:rsid w:val="00270351"/>
    <w:rsid w:val="00271982"/>
    <w:rsid w:val="00274EA5"/>
    <w:rsid w:val="00276A7C"/>
    <w:rsid w:val="0027757F"/>
    <w:rsid w:val="002775C5"/>
    <w:rsid w:val="002777D0"/>
    <w:rsid w:val="00277D75"/>
    <w:rsid w:val="002806CC"/>
    <w:rsid w:val="002834D8"/>
    <w:rsid w:val="002839EC"/>
    <w:rsid w:val="0028550C"/>
    <w:rsid w:val="002866A2"/>
    <w:rsid w:val="00286BED"/>
    <w:rsid w:val="00287BB9"/>
    <w:rsid w:val="002906EE"/>
    <w:rsid w:val="00291815"/>
    <w:rsid w:val="0029201E"/>
    <w:rsid w:val="00292102"/>
    <w:rsid w:val="00292EC7"/>
    <w:rsid w:val="00293083"/>
    <w:rsid w:val="00293450"/>
    <w:rsid w:val="00294718"/>
    <w:rsid w:val="00294885"/>
    <w:rsid w:val="00295A05"/>
    <w:rsid w:val="002970A7"/>
    <w:rsid w:val="002977F1"/>
    <w:rsid w:val="002A09D2"/>
    <w:rsid w:val="002A1629"/>
    <w:rsid w:val="002A1E56"/>
    <w:rsid w:val="002A224D"/>
    <w:rsid w:val="002A25EB"/>
    <w:rsid w:val="002A4640"/>
    <w:rsid w:val="002A596F"/>
    <w:rsid w:val="002A5FD8"/>
    <w:rsid w:val="002A7ED2"/>
    <w:rsid w:val="002A7FB5"/>
    <w:rsid w:val="002B162B"/>
    <w:rsid w:val="002B1B65"/>
    <w:rsid w:val="002B29B6"/>
    <w:rsid w:val="002B31CD"/>
    <w:rsid w:val="002B56EA"/>
    <w:rsid w:val="002B73FF"/>
    <w:rsid w:val="002C09EC"/>
    <w:rsid w:val="002C138F"/>
    <w:rsid w:val="002C2D28"/>
    <w:rsid w:val="002C36CC"/>
    <w:rsid w:val="002C46E5"/>
    <w:rsid w:val="002C5679"/>
    <w:rsid w:val="002C581B"/>
    <w:rsid w:val="002C5DAB"/>
    <w:rsid w:val="002C7383"/>
    <w:rsid w:val="002D1F8B"/>
    <w:rsid w:val="002D238C"/>
    <w:rsid w:val="002D2C40"/>
    <w:rsid w:val="002D333C"/>
    <w:rsid w:val="002D3903"/>
    <w:rsid w:val="002D39B3"/>
    <w:rsid w:val="002D4B6B"/>
    <w:rsid w:val="002D62F9"/>
    <w:rsid w:val="002D749D"/>
    <w:rsid w:val="002D779F"/>
    <w:rsid w:val="002E32F4"/>
    <w:rsid w:val="002E4353"/>
    <w:rsid w:val="002E538A"/>
    <w:rsid w:val="002E58EE"/>
    <w:rsid w:val="002E5ACE"/>
    <w:rsid w:val="002E60E0"/>
    <w:rsid w:val="002F0305"/>
    <w:rsid w:val="002F1879"/>
    <w:rsid w:val="002F1D6E"/>
    <w:rsid w:val="002F28E7"/>
    <w:rsid w:val="002F2923"/>
    <w:rsid w:val="002F4FB7"/>
    <w:rsid w:val="002F52EA"/>
    <w:rsid w:val="002F5BBD"/>
    <w:rsid w:val="002F5DC6"/>
    <w:rsid w:val="0030014C"/>
    <w:rsid w:val="003016D4"/>
    <w:rsid w:val="003028EE"/>
    <w:rsid w:val="00304C98"/>
    <w:rsid w:val="00305EEB"/>
    <w:rsid w:val="00306C0D"/>
    <w:rsid w:val="00307180"/>
    <w:rsid w:val="00310B84"/>
    <w:rsid w:val="00312A5C"/>
    <w:rsid w:val="00313E2E"/>
    <w:rsid w:val="003205F6"/>
    <w:rsid w:val="003208F7"/>
    <w:rsid w:val="0032184F"/>
    <w:rsid w:val="003229FA"/>
    <w:rsid w:val="00322D79"/>
    <w:rsid w:val="003242C2"/>
    <w:rsid w:val="00324CD1"/>
    <w:rsid w:val="00326105"/>
    <w:rsid w:val="003262ED"/>
    <w:rsid w:val="00326D38"/>
    <w:rsid w:val="00332985"/>
    <w:rsid w:val="00333CB4"/>
    <w:rsid w:val="0033545D"/>
    <w:rsid w:val="00337CC2"/>
    <w:rsid w:val="003407DC"/>
    <w:rsid w:val="00341915"/>
    <w:rsid w:val="00342312"/>
    <w:rsid w:val="00342AF3"/>
    <w:rsid w:val="00344289"/>
    <w:rsid w:val="00347296"/>
    <w:rsid w:val="00347BA2"/>
    <w:rsid w:val="00352480"/>
    <w:rsid w:val="00360D74"/>
    <w:rsid w:val="00361591"/>
    <w:rsid w:val="00363EDE"/>
    <w:rsid w:val="00365862"/>
    <w:rsid w:val="00367610"/>
    <w:rsid w:val="00370157"/>
    <w:rsid w:val="003703D8"/>
    <w:rsid w:val="00370A81"/>
    <w:rsid w:val="00371CCC"/>
    <w:rsid w:val="00371E95"/>
    <w:rsid w:val="00372E4A"/>
    <w:rsid w:val="003741BC"/>
    <w:rsid w:val="0037451E"/>
    <w:rsid w:val="003753C4"/>
    <w:rsid w:val="00380193"/>
    <w:rsid w:val="00380C2F"/>
    <w:rsid w:val="00380FF4"/>
    <w:rsid w:val="003815FD"/>
    <w:rsid w:val="003829E6"/>
    <w:rsid w:val="00383B95"/>
    <w:rsid w:val="00385BD4"/>
    <w:rsid w:val="003876D6"/>
    <w:rsid w:val="00387D27"/>
    <w:rsid w:val="00390458"/>
    <w:rsid w:val="00390E5C"/>
    <w:rsid w:val="0039139F"/>
    <w:rsid w:val="00392091"/>
    <w:rsid w:val="003924E7"/>
    <w:rsid w:val="00393040"/>
    <w:rsid w:val="0039346D"/>
    <w:rsid w:val="0039435C"/>
    <w:rsid w:val="00394A18"/>
    <w:rsid w:val="00395203"/>
    <w:rsid w:val="00395EB8"/>
    <w:rsid w:val="00396FFC"/>
    <w:rsid w:val="00397D8B"/>
    <w:rsid w:val="00397DF1"/>
    <w:rsid w:val="003A1445"/>
    <w:rsid w:val="003A40BB"/>
    <w:rsid w:val="003A451B"/>
    <w:rsid w:val="003A4A09"/>
    <w:rsid w:val="003A7BA9"/>
    <w:rsid w:val="003B162A"/>
    <w:rsid w:val="003B29F1"/>
    <w:rsid w:val="003B2A58"/>
    <w:rsid w:val="003B316B"/>
    <w:rsid w:val="003B41B2"/>
    <w:rsid w:val="003B4C47"/>
    <w:rsid w:val="003B5708"/>
    <w:rsid w:val="003B72A9"/>
    <w:rsid w:val="003B79CE"/>
    <w:rsid w:val="003B7E8A"/>
    <w:rsid w:val="003C00E8"/>
    <w:rsid w:val="003C12A9"/>
    <w:rsid w:val="003C2D20"/>
    <w:rsid w:val="003C590D"/>
    <w:rsid w:val="003C6351"/>
    <w:rsid w:val="003C702B"/>
    <w:rsid w:val="003D04AA"/>
    <w:rsid w:val="003D1D03"/>
    <w:rsid w:val="003D2D63"/>
    <w:rsid w:val="003D2F76"/>
    <w:rsid w:val="003D32FA"/>
    <w:rsid w:val="003D3DCE"/>
    <w:rsid w:val="003D40A4"/>
    <w:rsid w:val="003D5E2B"/>
    <w:rsid w:val="003D7367"/>
    <w:rsid w:val="003D7D95"/>
    <w:rsid w:val="003D7E52"/>
    <w:rsid w:val="003E39DF"/>
    <w:rsid w:val="003E4396"/>
    <w:rsid w:val="003E4D6A"/>
    <w:rsid w:val="003E5406"/>
    <w:rsid w:val="003E715B"/>
    <w:rsid w:val="003E7162"/>
    <w:rsid w:val="003F07A6"/>
    <w:rsid w:val="003F1E29"/>
    <w:rsid w:val="003F3688"/>
    <w:rsid w:val="003F3AF9"/>
    <w:rsid w:val="003F448D"/>
    <w:rsid w:val="003F4852"/>
    <w:rsid w:val="003F6879"/>
    <w:rsid w:val="00401794"/>
    <w:rsid w:val="00401C2A"/>
    <w:rsid w:val="004024AA"/>
    <w:rsid w:val="00402B2C"/>
    <w:rsid w:val="004041E2"/>
    <w:rsid w:val="00404419"/>
    <w:rsid w:val="00405924"/>
    <w:rsid w:val="00405BCC"/>
    <w:rsid w:val="00407870"/>
    <w:rsid w:val="00410519"/>
    <w:rsid w:val="00410774"/>
    <w:rsid w:val="004109EC"/>
    <w:rsid w:val="00410C0D"/>
    <w:rsid w:val="00411389"/>
    <w:rsid w:val="004123C1"/>
    <w:rsid w:val="004128F4"/>
    <w:rsid w:val="004129D5"/>
    <w:rsid w:val="00412DA1"/>
    <w:rsid w:val="004135F6"/>
    <w:rsid w:val="00413EE7"/>
    <w:rsid w:val="00414580"/>
    <w:rsid w:val="00416AA9"/>
    <w:rsid w:val="00416EE1"/>
    <w:rsid w:val="00423C14"/>
    <w:rsid w:val="004242CD"/>
    <w:rsid w:val="00424905"/>
    <w:rsid w:val="00427776"/>
    <w:rsid w:val="00427CDE"/>
    <w:rsid w:val="0043104B"/>
    <w:rsid w:val="004310EA"/>
    <w:rsid w:val="0043265F"/>
    <w:rsid w:val="00432C85"/>
    <w:rsid w:val="00433A4A"/>
    <w:rsid w:val="00433EB4"/>
    <w:rsid w:val="00435413"/>
    <w:rsid w:val="00436003"/>
    <w:rsid w:val="0044023B"/>
    <w:rsid w:val="00441A64"/>
    <w:rsid w:val="004425DC"/>
    <w:rsid w:val="0044282C"/>
    <w:rsid w:val="00443E48"/>
    <w:rsid w:val="0044492D"/>
    <w:rsid w:val="00445F88"/>
    <w:rsid w:val="0044686C"/>
    <w:rsid w:val="004468C8"/>
    <w:rsid w:val="00447524"/>
    <w:rsid w:val="00447B0A"/>
    <w:rsid w:val="00450A3B"/>
    <w:rsid w:val="0045114F"/>
    <w:rsid w:val="004511FC"/>
    <w:rsid w:val="00451D69"/>
    <w:rsid w:val="00453DAE"/>
    <w:rsid w:val="00454657"/>
    <w:rsid w:val="004547E4"/>
    <w:rsid w:val="004563DD"/>
    <w:rsid w:val="004610EF"/>
    <w:rsid w:val="00462E02"/>
    <w:rsid w:val="0046355A"/>
    <w:rsid w:val="00463F31"/>
    <w:rsid w:val="004649C0"/>
    <w:rsid w:val="00465259"/>
    <w:rsid w:val="00465904"/>
    <w:rsid w:val="00466C94"/>
    <w:rsid w:val="00467074"/>
    <w:rsid w:val="004713FC"/>
    <w:rsid w:val="004716C7"/>
    <w:rsid w:val="00471999"/>
    <w:rsid w:val="00472BF0"/>
    <w:rsid w:val="0047331E"/>
    <w:rsid w:val="004757DC"/>
    <w:rsid w:val="004804D4"/>
    <w:rsid w:val="004813F8"/>
    <w:rsid w:val="00482075"/>
    <w:rsid w:val="00485027"/>
    <w:rsid w:val="004852ED"/>
    <w:rsid w:val="00485CC5"/>
    <w:rsid w:val="0048613E"/>
    <w:rsid w:val="00486855"/>
    <w:rsid w:val="00490871"/>
    <w:rsid w:val="0049149E"/>
    <w:rsid w:val="00492424"/>
    <w:rsid w:val="00492F7F"/>
    <w:rsid w:val="004943F1"/>
    <w:rsid w:val="00495737"/>
    <w:rsid w:val="0049799C"/>
    <w:rsid w:val="004A12B7"/>
    <w:rsid w:val="004A32FB"/>
    <w:rsid w:val="004A486E"/>
    <w:rsid w:val="004A4A29"/>
    <w:rsid w:val="004A543D"/>
    <w:rsid w:val="004A5471"/>
    <w:rsid w:val="004A59F1"/>
    <w:rsid w:val="004A5D00"/>
    <w:rsid w:val="004B021E"/>
    <w:rsid w:val="004B11E3"/>
    <w:rsid w:val="004B2D66"/>
    <w:rsid w:val="004B4D6F"/>
    <w:rsid w:val="004B707C"/>
    <w:rsid w:val="004B7A63"/>
    <w:rsid w:val="004C0D3F"/>
    <w:rsid w:val="004C2E8A"/>
    <w:rsid w:val="004C3469"/>
    <w:rsid w:val="004C4991"/>
    <w:rsid w:val="004C5F9E"/>
    <w:rsid w:val="004C62FE"/>
    <w:rsid w:val="004D1D3F"/>
    <w:rsid w:val="004D3B3C"/>
    <w:rsid w:val="004D3FF6"/>
    <w:rsid w:val="004D4FEA"/>
    <w:rsid w:val="004D53E1"/>
    <w:rsid w:val="004D73D4"/>
    <w:rsid w:val="004E172C"/>
    <w:rsid w:val="004E1846"/>
    <w:rsid w:val="004E4E2C"/>
    <w:rsid w:val="004E5BBD"/>
    <w:rsid w:val="004F1407"/>
    <w:rsid w:val="004F1C22"/>
    <w:rsid w:val="004F1DE1"/>
    <w:rsid w:val="004F2C44"/>
    <w:rsid w:val="004F3056"/>
    <w:rsid w:val="004F3B52"/>
    <w:rsid w:val="004F42D2"/>
    <w:rsid w:val="004F56EB"/>
    <w:rsid w:val="004F635A"/>
    <w:rsid w:val="004F64DB"/>
    <w:rsid w:val="00500261"/>
    <w:rsid w:val="005011BF"/>
    <w:rsid w:val="0050206D"/>
    <w:rsid w:val="00502990"/>
    <w:rsid w:val="005029E7"/>
    <w:rsid w:val="00502FE6"/>
    <w:rsid w:val="00503B7F"/>
    <w:rsid w:val="005055CD"/>
    <w:rsid w:val="00506469"/>
    <w:rsid w:val="00506EDD"/>
    <w:rsid w:val="00507C6F"/>
    <w:rsid w:val="00507FE2"/>
    <w:rsid w:val="00510A46"/>
    <w:rsid w:val="00512C46"/>
    <w:rsid w:val="005147AD"/>
    <w:rsid w:val="00521301"/>
    <w:rsid w:val="005214AE"/>
    <w:rsid w:val="005225BF"/>
    <w:rsid w:val="00522FE8"/>
    <w:rsid w:val="0052611A"/>
    <w:rsid w:val="005276B8"/>
    <w:rsid w:val="00530E66"/>
    <w:rsid w:val="005320B4"/>
    <w:rsid w:val="005334C0"/>
    <w:rsid w:val="00533DF2"/>
    <w:rsid w:val="00534B59"/>
    <w:rsid w:val="005354B8"/>
    <w:rsid w:val="00535A14"/>
    <w:rsid w:val="0053730F"/>
    <w:rsid w:val="00541682"/>
    <w:rsid w:val="00541FC9"/>
    <w:rsid w:val="00546AE1"/>
    <w:rsid w:val="0054748E"/>
    <w:rsid w:val="00551CBE"/>
    <w:rsid w:val="0055401E"/>
    <w:rsid w:val="00554106"/>
    <w:rsid w:val="005549FA"/>
    <w:rsid w:val="00555DFB"/>
    <w:rsid w:val="00560585"/>
    <w:rsid w:val="00560B2D"/>
    <w:rsid w:val="00561C39"/>
    <w:rsid w:val="0056232B"/>
    <w:rsid w:val="00564DA1"/>
    <w:rsid w:val="005651EA"/>
    <w:rsid w:val="0056534C"/>
    <w:rsid w:val="005655B2"/>
    <w:rsid w:val="00565F39"/>
    <w:rsid w:val="00566BD2"/>
    <w:rsid w:val="005671C8"/>
    <w:rsid w:val="005678C8"/>
    <w:rsid w:val="005719D6"/>
    <w:rsid w:val="00573129"/>
    <w:rsid w:val="005747F9"/>
    <w:rsid w:val="00576AA5"/>
    <w:rsid w:val="00580EA5"/>
    <w:rsid w:val="005813B1"/>
    <w:rsid w:val="00582077"/>
    <w:rsid w:val="00583D8A"/>
    <w:rsid w:val="00583EA9"/>
    <w:rsid w:val="005849AA"/>
    <w:rsid w:val="00585C18"/>
    <w:rsid w:val="00587B38"/>
    <w:rsid w:val="00590AB2"/>
    <w:rsid w:val="00591265"/>
    <w:rsid w:val="005913AD"/>
    <w:rsid w:val="005929D5"/>
    <w:rsid w:val="00593256"/>
    <w:rsid w:val="005936F0"/>
    <w:rsid w:val="00593C90"/>
    <w:rsid w:val="00594D2B"/>
    <w:rsid w:val="005968C2"/>
    <w:rsid w:val="00597E45"/>
    <w:rsid w:val="005A2BFF"/>
    <w:rsid w:val="005A3DC0"/>
    <w:rsid w:val="005A4D1E"/>
    <w:rsid w:val="005A5ECE"/>
    <w:rsid w:val="005A6157"/>
    <w:rsid w:val="005A638F"/>
    <w:rsid w:val="005A7282"/>
    <w:rsid w:val="005A75DC"/>
    <w:rsid w:val="005A763B"/>
    <w:rsid w:val="005A79E5"/>
    <w:rsid w:val="005A7CE8"/>
    <w:rsid w:val="005A7DEE"/>
    <w:rsid w:val="005B249E"/>
    <w:rsid w:val="005B2EF8"/>
    <w:rsid w:val="005B3F65"/>
    <w:rsid w:val="005B5019"/>
    <w:rsid w:val="005B56E9"/>
    <w:rsid w:val="005B7092"/>
    <w:rsid w:val="005B724A"/>
    <w:rsid w:val="005C0335"/>
    <w:rsid w:val="005C129B"/>
    <w:rsid w:val="005C2A94"/>
    <w:rsid w:val="005C2E86"/>
    <w:rsid w:val="005C4E1E"/>
    <w:rsid w:val="005C620A"/>
    <w:rsid w:val="005C647A"/>
    <w:rsid w:val="005C66A6"/>
    <w:rsid w:val="005C670E"/>
    <w:rsid w:val="005C6A4B"/>
    <w:rsid w:val="005D1064"/>
    <w:rsid w:val="005D11D3"/>
    <w:rsid w:val="005D1235"/>
    <w:rsid w:val="005D13AA"/>
    <w:rsid w:val="005D4CD0"/>
    <w:rsid w:val="005D5381"/>
    <w:rsid w:val="005D542A"/>
    <w:rsid w:val="005D5C21"/>
    <w:rsid w:val="005D5E2B"/>
    <w:rsid w:val="005D6606"/>
    <w:rsid w:val="005D796C"/>
    <w:rsid w:val="005E02A5"/>
    <w:rsid w:val="005E1A53"/>
    <w:rsid w:val="005E2747"/>
    <w:rsid w:val="005E3474"/>
    <w:rsid w:val="005E3947"/>
    <w:rsid w:val="005E6169"/>
    <w:rsid w:val="005F1769"/>
    <w:rsid w:val="005F1C6E"/>
    <w:rsid w:val="005F1E9C"/>
    <w:rsid w:val="005F4439"/>
    <w:rsid w:val="005F44AF"/>
    <w:rsid w:val="005F4C07"/>
    <w:rsid w:val="005F572A"/>
    <w:rsid w:val="005F58ED"/>
    <w:rsid w:val="005F599B"/>
    <w:rsid w:val="005F6AD4"/>
    <w:rsid w:val="005F78E7"/>
    <w:rsid w:val="006003B7"/>
    <w:rsid w:val="006019BB"/>
    <w:rsid w:val="00601ABB"/>
    <w:rsid w:val="00601BFD"/>
    <w:rsid w:val="00603AFD"/>
    <w:rsid w:val="00604F46"/>
    <w:rsid w:val="006055EB"/>
    <w:rsid w:val="00605D56"/>
    <w:rsid w:val="00606F8B"/>
    <w:rsid w:val="00616989"/>
    <w:rsid w:val="00616A25"/>
    <w:rsid w:val="00617422"/>
    <w:rsid w:val="00621194"/>
    <w:rsid w:val="00621E3F"/>
    <w:rsid w:val="0062413F"/>
    <w:rsid w:val="00624199"/>
    <w:rsid w:val="00624610"/>
    <w:rsid w:val="006251BA"/>
    <w:rsid w:val="00625396"/>
    <w:rsid w:val="006260BA"/>
    <w:rsid w:val="00626CF3"/>
    <w:rsid w:val="006303DB"/>
    <w:rsid w:val="00630918"/>
    <w:rsid w:val="00630ADF"/>
    <w:rsid w:val="00631115"/>
    <w:rsid w:val="00631DBF"/>
    <w:rsid w:val="00635BB8"/>
    <w:rsid w:val="0063740D"/>
    <w:rsid w:val="006404A4"/>
    <w:rsid w:val="006416D5"/>
    <w:rsid w:val="0064213F"/>
    <w:rsid w:val="0064439C"/>
    <w:rsid w:val="00644FD0"/>
    <w:rsid w:val="00645E5C"/>
    <w:rsid w:val="00646136"/>
    <w:rsid w:val="00647D01"/>
    <w:rsid w:val="00650DA8"/>
    <w:rsid w:val="006516EA"/>
    <w:rsid w:val="00656B8E"/>
    <w:rsid w:val="00657F98"/>
    <w:rsid w:val="00657FF3"/>
    <w:rsid w:val="00661B27"/>
    <w:rsid w:val="00664128"/>
    <w:rsid w:val="00664FB4"/>
    <w:rsid w:val="00665126"/>
    <w:rsid w:val="006662D6"/>
    <w:rsid w:val="006669E9"/>
    <w:rsid w:val="00670F6E"/>
    <w:rsid w:val="00673F76"/>
    <w:rsid w:val="006809F0"/>
    <w:rsid w:val="0068516A"/>
    <w:rsid w:val="006866E0"/>
    <w:rsid w:val="00687154"/>
    <w:rsid w:val="0068795F"/>
    <w:rsid w:val="00687BB0"/>
    <w:rsid w:val="00690AD5"/>
    <w:rsid w:val="00691BBC"/>
    <w:rsid w:val="00692623"/>
    <w:rsid w:val="00694990"/>
    <w:rsid w:val="00694CDF"/>
    <w:rsid w:val="0069573E"/>
    <w:rsid w:val="00695E67"/>
    <w:rsid w:val="00695F48"/>
    <w:rsid w:val="00696D30"/>
    <w:rsid w:val="00697A0B"/>
    <w:rsid w:val="006A0C0A"/>
    <w:rsid w:val="006A1970"/>
    <w:rsid w:val="006A25EE"/>
    <w:rsid w:val="006A5F9B"/>
    <w:rsid w:val="006A60AD"/>
    <w:rsid w:val="006A61DF"/>
    <w:rsid w:val="006A637A"/>
    <w:rsid w:val="006B0A1A"/>
    <w:rsid w:val="006B0CB4"/>
    <w:rsid w:val="006B0E75"/>
    <w:rsid w:val="006B11A6"/>
    <w:rsid w:val="006B2140"/>
    <w:rsid w:val="006B6075"/>
    <w:rsid w:val="006B6D67"/>
    <w:rsid w:val="006C0F8F"/>
    <w:rsid w:val="006C2C5B"/>
    <w:rsid w:val="006C37D7"/>
    <w:rsid w:val="006C392C"/>
    <w:rsid w:val="006C554B"/>
    <w:rsid w:val="006C5BFD"/>
    <w:rsid w:val="006C5CD8"/>
    <w:rsid w:val="006C696B"/>
    <w:rsid w:val="006C6DC0"/>
    <w:rsid w:val="006D2F67"/>
    <w:rsid w:val="006D4E4A"/>
    <w:rsid w:val="006D5729"/>
    <w:rsid w:val="006D57C7"/>
    <w:rsid w:val="006D5879"/>
    <w:rsid w:val="006D74B8"/>
    <w:rsid w:val="006D790F"/>
    <w:rsid w:val="006E209F"/>
    <w:rsid w:val="006E3E9E"/>
    <w:rsid w:val="006E48B9"/>
    <w:rsid w:val="006E7B02"/>
    <w:rsid w:val="006E7D53"/>
    <w:rsid w:val="006F05BE"/>
    <w:rsid w:val="006F0DA4"/>
    <w:rsid w:val="006F22B4"/>
    <w:rsid w:val="006F308A"/>
    <w:rsid w:val="006F4906"/>
    <w:rsid w:val="006F6579"/>
    <w:rsid w:val="006F66B9"/>
    <w:rsid w:val="006F7A0F"/>
    <w:rsid w:val="00700492"/>
    <w:rsid w:val="007012B5"/>
    <w:rsid w:val="00701BD6"/>
    <w:rsid w:val="00701EE7"/>
    <w:rsid w:val="0070380B"/>
    <w:rsid w:val="00704086"/>
    <w:rsid w:val="00704768"/>
    <w:rsid w:val="007068FF"/>
    <w:rsid w:val="00706A6D"/>
    <w:rsid w:val="00706C61"/>
    <w:rsid w:val="007071DC"/>
    <w:rsid w:val="00712520"/>
    <w:rsid w:val="007133F7"/>
    <w:rsid w:val="007142D3"/>
    <w:rsid w:val="0071583A"/>
    <w:rsid w:val="00715A6A"/>
    <w:rsid w:val="00716C14"/>
    <w:rsid w:val="00716D49"/>
    <w:rsid w:val="00716E45"/>
    <w:rsid w:val="00717431"/>
    <w:rsid w:val="00717437"/>
    <w:rsid w:val="007212AF"/>
    <w:rsid w:val="0072181F"/>
    <w:rsid w:val="00722601"/>
    <w:rsid w:val="007232B0"/>
    <w:rsid w:val="00724AAA"/>
    <w:rsid w:val="00724E50"/>
    <w:rsid w:val="007256F4"/>
    <w:rsid w:val="0072691F"/>
    <w:rsid w:val="0073046F"/>
    <w:rsid w:val="0073266E"/>
    <w:rsid w:val="00733412"/>
    <w:rsid w:val="007340B5"/>
    <w:rsid w:val="00735682"/>
    <w:rsid w:val="00735AC0"/>
    <w:rsid w:val="007378A2"/>
    <w:rsid w:val="00740316"/>
    <w:rsid w:val="007406A1"/>
    <w:rsid w:val="0074134F"/>
    <w:rsid w:val="00741362"/>
    <w:rsid w:val="00742282"/>
    <w:rsid w:val="007455CD"/>
    <w:rsid w:val="007457B1"/>
    <w:rsid w:val="00745E7A"/>
    <w:rsid w:val="00745F90"/>
    <w:rsid w:val="00747CFB"/>
    <w:rsid w:val="00750C53"/>
    <w:rsid w:val="00750CD3"/>
    <w:rsid w:val="00751065"/>
    <w:rsid w:val="007510C7"/>
    <w:rsid w:val="00751480"/>
    <w:rsid w:val="00751DEC"/>
    <w:rsid w:val="00755FD8"/>
    <w:rsid w:val="00761546"/>
    <w:rsid w:val="00761E79"/>
    <w:rsid w:val="00762647"/>
    <w:rsid w:val="00762B14"/>
    <w:rsid w:val="00764BBA"/>
    <w:rsid w:val="00765C2F"/>
    <w:rsid w:val="00767962"/>
    <w:rsid w:val="007709B9"/>
    <w:rsid w:val="0077314D"/>
    <w:rsid w:val="00780140"/>
    <w:rsid w:val="00781442"/>
    <w:rsid w:val="007847C9"/>
    <w:rsid w:val="0079055B"/>
    <w:rsid w:val="0079274A"/>
    <w:rsid w:val="00792845"/>
    <w:rsid w:val="00792BA8"/>
    <w:rsid w:val="00794E3A"/>
    <w:rsid w:val="00794FF8"/>
    <w:rsid w:val="00796483"/>
    <w:rsid w:val="007966F5"/>
    <w:rsid w:val="0079692A"/>
    <w:rsid w:val="00797868"/>
    <w:rsid w:val="007A0552"/>
    <w:rsid w:val="007A0D48"/>
    <w:rsid w:val="007A1799"/>
    <w:rsid w:val="007A1FD3"/>
    <w:rsid w:val="007A26E0"/>
    <w:rsid w:val="007A2B97"/>
    <w:rsid w:val="007A2EA2"/>
    <w:rsid w:val="007A3550"/>
    <w:rsid w:val="007A3D7C"/>
    <w:rsid w:val="007A448E"/>
    <w:rsid w:val="007A56EE"/>
    <w:rsid w:val="007A62DF"/>
    <w:rsid w:val="007A6428"/>
    <w:rsid w:val="007A65FE"/>
    <w:rsid w:val="007A6D84"/>
    <w:rsid w:val="007A70EC"/>
    <w:rsid w:val="007A736A"/>
    <w:rsid w:val="007B0B08"/>
    <w:rsid w:val="007B1CE4"/>
    <w:rsid w:val="007B28EA"/>
    <w:rsid w:val="007B339D"/>
    <w:rsid w:val="007B33A2"/>
    <w:rsid w:val="007B36A5"/>
    <w:rsid w:val="007B5F4E"/>
    <w:rsid w:val="007C0A3B"/>
    <w:rsid w:val="007C12D7"/>
    <w:rsid w:val="007C1D95"/>
    <w:rsid w:val="007C4837"/>
    <w:rsid w:val="007C4A51"/>
    <w:rsid w:val="007C4D88"/>
    <w:rsid w:val="007D0A9F"/>
    <w:rsid w:val="007D0F1A"/>
    <w:rsid w:val="007D1E56"/>
    <w:rsid w:val="007D237C"/>
    <w:rsid w:val="007D2EF2"/>
    <w:rsid w:val="007D335A"/>
    <w:rsid w:val="007D54BF"/>
    <w:rsid w:val="007D5822"/>
    <w:rsid w:val="007E065D"/>
    <w:rsid w:val="007E26B6"/>
    <w:rsid w:val="007E3E08"/>
    <w:rsid w:val="007E4C67"/>
    <w:rsid w:val="007E5995"/>
    <w:rsid w:val="007E5E4F"/>
    <w:rsid w:val="007E6393"/>
    <w:rsid w:val="007E6F10"/>
    <w:rsid w:val="007F0236"/>
    <w:rsid w:val="007F0271"/>
    <w:rsid w:val="007F0978"/>
    <w:rsid w:val="007F149D"/>
    <w:rsid w:val="007F2096"/>
    <w:rsid w:val="007F4B90"/>
    <w:rsid w:val="007F506D"/>
    <w:rsid w:val="007F555F"/>
    <w:rsid w:val="007F7916"/>
    <w:rsid w:val="008000C1"/>
    <w:rsid w:val="008027FB"/>
    <w:rsid w:val="00802D58"/>
    <w:rsid w:val="00804B74"/>
    <w:rsid w:val="00804C80"/>
    <w:rsid w:val="008056F3"/>
    <w:rsid w:val="008059C6"/>
    <w:rsid w:val="008065C2"/>
    <w:rsid w:val="008069D9"/>
    <w:rsid w:val="008072A2"/>
    <w:rsid w:val="008073BD"/>
    <w:rsid w:val="00807E26"/>
    <w:rsid w:val="00807F28"/>
    <w:rsid w:val="0081229C"/>
    <w:rsid w:val="00812A03"/>
    <w:rsid w:val="00812C4E"/>
    <w:rsid w:val="00813019"/>
    <w:rsid w:val="00813B33"/>
    <w:rsid w:val="008150A3"/>
    <w:rsid w:val="008156D0"/>
    <w:rsid w:val="00815E4E"/>
    <w:rsid w:val="008202C9"/>
    <w:rsid w:val="008206C3"/>
    <w:rsid w:val="00820E2F"/>
    <w:rsid w:val="00821D38"/>
    <w:rsid w:val="008266C9"/>
    <w:rsid w:val="00826D03"/>
    <w:rsid w:val="00827068"/>
    <w:rsid w:val="00832465"/>
    <w:rsid w:val="00832CEC"/>
    <w:rsid w:val="00833023"/>
    <w:rsid w:val="00836427"/>
    <w:rsid w:val="00836527"/>
    <w:rsid w:val="00837C9A"/>
    <w:rsid w:val="00842457"/>
    <w:rsid w:val="008430FD"/>
    <w:rsid w:val="00845293"/>
    <w:rsid w:val="00850024"/>
    <w:rsid w:val="008507D9"/>
    <w:rsid w:val="008513C6"/>
    <w:rsid w:val="00851D89"/>
    <w:rsid w:val="00854F91"/>
    <w:rsid w:val="0085530E"/>
    <w:rsid w:val="00855517"/>
    <w:rsid w:val="00855E82"/>
    <w:rsid w:val="00856245"/>
    <w:rsid w:val="00860464"/>
    <w:rsid w:val="008609EA"/>
    <w:rsid w:val="00861283"/>
    <w:rsid w:val="008615DD"/>
    <w:rsid w:val="00861F35"/>
    <w:rsid w:val="008624AD"/>
    <w:rsid w:val="00863507"/>
    <w:rsid w:val="008635E8"/>
    <w:rsid w:val="00865223"/>
    <w:rsid w:val="00865C7F"/>
    <w:rsid w:val="00866395"/>
    <w:rsid w:val="00866525"/>
    <w:rsid w:val="00866F31"/>
    <w:rsid w:val="008673B0"/>
    <w:rsid w:val="00870340"/>
    <w:rsid w:val="008704E7"/>
    <w:rsid w:val="00870DA2"/>
    <w:rsid w:val="00870DE5"/>
    <w:rsid w:val="00872A2E"/>
    <w:rsid w:val="0087328A"/>
    <w:rsid w:val="0087387A"/>
    <w:rsid w:val="0087428D"/>
    <w:rsid w:val="00874EA1"/>
    <w:rsid w:val="008753E4"/>
    <w:rsid w:val="00876366"/>
    <w:rsid w:val="0087643F"/>
    <w:rsid w:val="00876BDB"/>
    <w:rsid w:val="00877414"/>
    <w:rsid w:val="00877CC9"/>
    <w:rsid w:val="00880570"/>
    <w:rsid w:val="0088145D"/>
    <w:rsid w:val="0088183A"/>
    <w:rsid w:val="00883D4A"/>
    <w:rsid w:val="00886C13"/>
    <w:rsid w:val="00886FE6"/>
    <w:rsid w:val="00887CBB"/>
    <w:rsid w:val="00887F3F"/>
    <w:rsid w:val="008911F4"/>
    <w:rsid w:val="008912B2"/>
    <w:rsid w:val="00894A15"/>
    <w:rsid w:val="00894D30"/>
    <w:rsid w:val="00894D69"/>
    <w:rsid w:val="00895073"/>
    <w:rsid w:val="0089539F"/>
    <w:rsid w:val="008977DE"/>
    <w:rsid w:val="008979BC"/>
    <w:rsid w:val="00897B20"/>
    <w:rsid w:val="00897B83"/>
    <w:rsid w:val="008A018A"/>
    <w:rsid w:val="008A17BA"/>
    <w:rsid w:val="008A2CCD"/>
    <w:rsid w:val="008A2DF8"/>
    <w:rsid w:val="008A3989"/>
    <w:rsid w:val="008A458C"/>
    <w:rsid w:val="008A525A"/>
    <w:rsid w:val="008A7531"/>
    <w:rsid w:val="008B050E"/>
    <w:rsid w:val="008B2BC0"/>
    <w:rsid w:val="008B4413"/>
    <w:rsid w:val="008B5B06"/>
    <w:rsid w:val="008B6A63"/>
    <w:rsid w:val="008B7DE0"/>
    <w:rsid w:val="008C02EE"/>
    <w:rsid w:val="008C556F"/>
    <w:rsid w:val="008C569F"/>
    <w:rsid w:val="008C791C"/>
    <w:rsid w:val="008D03B7"/>
    <w:rsid w:val="008D0E35"/>
    <w:rsid w:val="008D11C7"/>
    <w:rsid w:val="008D1223"/>
    <w:rsid w:val="008D1BEE"/>
    <w:rsid w:val="008D36C2"/>
    <w:rsid w:val="008D4C8A"/>
    <w:rsid w:val="008D4DCC"/>
    <w:rsid w:val="008D5C8B"/>
    <w:rsid w:val="008D5E00"/>
    <w:rsid w:val="008D659A"/>
    <w:rsid w:val="008D77AB"/>
    <w:rsid w:val="008E0E0D"/>
    <w:rsid w:val="008E0E3D"/>
    <w:rsid w:val="008E18D7"/>
    <w:rsid w:val="008E1B1D"/>
    <w:rsid w:val="008E35B8"/>
    <w:rsid w:val="008E3E55"/>
    <w:rsid w:val="008E40D5"/>
    <w:rsid w:val="008E5278"/>
    <w:rsid w:val="008E53C8"/>
    <w:rsid w:val="008E66EA"/>
    <w:rsid w:val="008E7862"/>
    <w:rsid w:val="008F15BD"/>
    <w:rsid w:val="008F3F2C"/>
    <w:rsid w:val="008F56DA"/>
    <w:rsid w:val="008F7488"/>
    <w:rsid w:val="009046CF"/>
    <w:rsid w:val="00904A2A"/>
    <w:rsid w:val="00905A9B"/>
    <w:rsid w:val="009060C9"/>
    <w:rsid w:val="00906221"/>
    <w:rsid w:val="009066E5"/>
    <w:rsid w:val="009077EC"/>
    <w:rsid w:val="00912D7F"/>
    <w:rsid w:val="009132DA"/>
    <w:rsid w:val="00916AC1"/>
    <w:rsid w:val="00916B0A"/>
    <w:rsid w:val="00916FA3"/>
    <w:rsid w:val="009173D1"/>
    <w:rsid w:val="0092010E"/>
    <w:rsid w:val="009208D7"/>
    <w:rsid w:val="00921149"/>
    <w:rsid w:val="009227E2"/>
    <w:rsid w:val="00922AAA"/>
    <w:rsid w:val="00924890"/>
    <w:rsid w:val="0092578B"/>
    <w:rsid w:val="00926478"/>
    <w:rsid w:val="00926835"/>
    <w:rsid w:val="009321CA"/>
    <w:rsid w:val="009322CE"/>
    <w:rsid w:val="00933539"/>
    <w:rsid w:val="009365F5"/>
    <w:rsid w:val="00936B52"/>
    <w:rsid w:val="00942CC9"/>
    <w:rsid w:val="00943443"/>
    <w:rsid w:val="0094345C"/>
    <w:rsid w:val="009461D8"/>
    <w:rsid w:val="00947CEE"/>
    <w:rsid w:val="00947F3A"/>
    <w:rsid w:val="00950288"/>
    <w:rsid w:val="00953D17"/>
    <w:rsid w:val="0095477C"/>
    <w:rsid w:val="00956000"/>
    <w:rsid w:val="009560A6"/>
    <w:rsid w:val="009565BA"/>
    <w:rsid w:val="00956A35"/>
    <w:rsid w:val="00957586"/>
    <w:rsid w:val="00960102"/>
    <w:rsid w:val="00960B32"/>
    <w:rsid w:val="009637F2"/>
    <w:rsid w:val="009642DE"/>
    <w:rsid w:val="00965915"/>
    <w:rsid w:val="00966E96"/>
    <w:rsid w:val="0096738A"/>
    <w:rsid w:val="0096771F"/>
    <w:rsid w:val="00970C04"/>
    <w:rsid w:val="00973CE1"/>
    <w:rsid w:val="00974798"/>
    <w:rsid w:val="009754A0"/>
    <w:rsid w:val="00975CE6"/>
    <w:rsid w:val="0097761D"/>
    <w:rsid w:val="00981567"/>
    <w:rsid w:val="00982CA6"/>
    <w:rsid w:val="009839E6"/>
    <w:rsid w:val="009842F9"/>
    <w:rsid w:val="009844DF"/>
    <w:rsid w:val="00984A0A"/>
    <w:rsid w:val="00984BC2"/>
    <w:rsid w:val="00985DA9"/>
    <w:rsid w:val="00987623"/>
    <w:rsid w:val="00990D6A"/>
    <w:rsid w:val="0099297B"/>
    <w:rsid w:val="00992C46"/>
    <w:rsid w:val="009936AD"/>
    <w:rsid w:val="00993804"/>
    <w:rsid w:val="00993C57"/>
    <w:rsid w:val="00997A3D"/>
    <w:rsid w:val="00997BF6"/>
    <w:rsid w:val="009A13AC"/>
    <w:rsid w:val="009A207C"/>
    <w:rsid w:val="009A2F19"/>
    <w:rsid w:val="009A4544"/>
    <w:rsid w:val="009A56D1"/>
    <w:rsid w:val="009A7068"/>
    <w:rsid w:val="009A7626"/>
    <w:rsid w:val="009B0977"/>
    <w:rsid w:val="009B21A7"/>
    <w:rsid w:val="009B36DC"/>
    <w:rsid w:val="009B5C9D"/>
    <w:rsid w:val="009C20E7"/>
    <w:rsid w:val="009C2C92"/>
    <w:rsid w:val="009C3027"/>
    <w:rsid w:val="009C322C"/>
    <w:rsid w:val="009C3965"/>
    <w:rsid w:val="009D03C6"/>
    <w:rsid w:val="009D0D06"/>
    <w:rsid w:val="009D2DE9"/>
    <w:rsid w:val="009D3245"/>
    <w:rsid w:val="009D5FBF"/>
    <w:rsid w:val="009D66B4"/>
    <w:rsid w:val="009E15EE"/>
    <w:rsid w:val="009E3333"/>
    <w:rsid w:val="009E35FA"/>
    <w:rsid w:val="009E3602"/>
    <w:rsid w:val="009E3812"/>
    <w:rsid w:val="009E3B5C"/>
    <w:rsid w:val="009E5D4D"/>
    <w:rsid w:val="009E7EB6"/>
    <w:rsid w:val="009F1738"/>
    <w:rsid w:val="009F272A"/>
    <w:rsid w:val="009F2745"/>
    <w:rsid w:val="009F3122"/>
    <w:rsid w:val="009F47DA"/>
    <w:rsid w:val="009F49A9"/>
    <w:rsid w:val="00A00862"/>
    <w:rsid w:val="00A01056"/>
    <w:rsid w:val="00A02AC3"/>
    <w:rsid w:val="00A036EA"/>
    <w:rsid w:val="00A043F3"/>
    <w:rsid w:val="00A04D75"/>
    <w:rsid w:val="00A0567C"/>
    <w:rsid w:val="00A06DF4"/>
    <w:rsid w:val="00A10A1B"/>
    <w:rsid w:val="00A1290A"/>
    <w:rsid w:val="00A12F5C"/>
    <w:rsid w:val="00A14627"/>
    <w:rsid w:val="00A2124E"/>
    <w:rsid w:val="00A219FF"/>
    <w:rsid w:val="00A21F58"/>
    <w:rsid w:val="00A231CC"/>
    <w:rsid w:val="00A26296"/>
    <w:rsid w:val="00A267EC"/>
    <w:rsid w:val="00A275B5"/>
    <w:rsid w:val="00A27847"/>
    <w:rsid w:val="00A31F64"/>
    <w:rsid w:val="00A329B2"/>
    <w:rsid w:val="00A32BE4"/>
    <w:rsid w:val="00A3427D"/>
    <w:rsid w:val="00A35130"/>
    <w:rsid w:val="00A3652B"/>
    <w:rsid w:val="00A37042"/>
    <w:rsid w:val="00A40059"/>
    <w:rsid w:val="00A40948"/>
    <w:rsid w:val="00A4136A"/>
    <w:rsid w:val="00A42D94"/>
    <w:rsid w:val="00A430AB"/>
    <w:rsid w:val="00A4390E"/>
    <w:rsid w:val="00A442CD"/>
    <w:rsid w:val="00A44778"/>
    <w:rsid w:val="00A44EAF"/>
    <w:rsid w:val="00A4500E"/>
    <w:rsid w:val="00A452AF"/>
    <w:rsid w:val="00A4764D"/>
    <w:rsid w:val="00A50D82"/>
    <w:rsid w:val="00A5288B"/>
    <w:rsid w:val="00A52C9F"/>
    <w:rsid w:val="00A53B9C"/>
    <w:rsid w:val="00A553BF"/>
    <w:rsid w:val="00A566E4"/>
    <w:rsid w:val="00A56C3A"/>
    <w:rsid w:val="00A6017D"/>
    <w:rsid w:val="00A61CA0"/>
    <w:rsid w:val="00A6213F"/>
    <w:rsid w:val="00A6622E"/>
    <w:rsid w:val="00A665D5"/>
    <w:rsid w:val="00A66999"/>
    <w:rsid w:val="00A66BD4"/>
    <w:rsid w:val="00A66DAD"/>
    <w:rsid w:val="00A72994"/>
    <w:rsid w:val="00A74478"/>
    <w:rsid w:val="00A74D7A"/>
    <w:rsid w:val="00A75975"/>
    <w:rsid w:val="00A75C8A"/>
    <w:rsid w:val="00A77FC9"/>
    <w:rsid w:val="00A81BF2"/>
    <w:rsid w:val="00A81FF7"/>
    <w:rsid w:val="00A849B8"/>
    <w:rsid w:val="00A85C51"/>
    <w:rsid w:val="00A86B8E"/>
    <w:rsid w:val="00A907B1"/>
    <w:rsid w:val="00A912DC"/>
    <w:rsid w:val="00A92A1C"/>
    <w:rsid w:val="00A94FCF"/>
    <w:rsid w:val="00A952BD"/>
    <w:rsid w:val="00A966D7"/>
    <w:rsid w:val="00A96E95"/>
    <w:rsid w:val="00AA143A"/>
    <w:rsid w:val="00AA1574"/>
    <w:rsid w:val="00AA1ABF"/>
    <w:rsid w:val="00AA254E"/>
    <w:rsid w:val="00AA2893"/>
    <w:rsid w:val="00AA301B"/>
    <w:rsid w:val="00AA34A7"/>
    <w:rsid w:val="00AA3B76"/>
    <w:rsid w:val="00AA542B"/>
    <w:rsid w:val="00AA7386"/>
    <w:rsid w:val="00AA7BB9"/>
    <w:rsid w:val="00AB00C6"/>
    <w:rsid w:val="00AB063C"/>
    <w:rsid w:val="00AB3536"/>
    <w:rsid w:val="00AB38DB"/>
    <w:rsid w:val="00AB3AC2"/>
    <w:rsid w:val="00AB69FE"/>
    <w:rsid w:val="00AB7A42"/>
    <w:rsid w:val="00AC2C6F"/>
    <w:rsid w:val="00AC3974"/>
    <w:rsid w:val="00AC6352"/>
    <w:rsid w:val="00AC6B5A"/>
    <w:rsid w:val="00AC7958"/>
    <w:rsid w:val="00AD04C4"/>
    <w:rsid w:val="00AD17C4"/>
    <w:rsid w:val="00AD2113"/>
    <w:rsid w:val="00AD28A3"/>
    <w:rsid w:val="00AD39BF"/>
    <w:rsid w:val="00AD3BF2"/>
    <w:rsid w:val="00AD4842"/>
    <w:rsid w:val="00AD63DA"/>
    <w:rsid w:val="00AD65AD"/>
    <w:rsid w:val="00AE017D"/>
    <w:rsid w:val="00AE0AC3"/>
    <w:rsid w:val="00AE3E2B"/>
    <w:rsid w:val="00AE3F8D"/>
    <w:rsid w:val="00AE456A"/>
    <w:rsid w:val="00AE47DC"/>
    <w:rsid w:val="00AE4935"/>
    <w:rsid w:val="00AF160E"/>
    <w:rsid w:val="00AF19BB"/>
    <w:rsid w:val="00AF2BF3"/>
    <w:rsid w:val="00AF2CDA"/>
    <w:rsid w:val="00AF2E96"/>
    <w:rsid w:val="00AF3434"/>
    <w:rsid w:val="00AF3B49"/>
    <w:rsid w:val="00AF5EA2"/>
    <w:rsid w:val="00AF611F"/>
    <w:rsid w:val="00AF6730"/>
    <w:rsid w:val="00AF695A"/>
    <w:rsid w:val="00AF6EA0"/>
    <w:rsid w:val="00B0109E"/>
    <w:rsid w:val="00B01298"/>
    <w:rsid w:val="00B038C1"/>
    <w:rsid w:val="00B04E2B"/>
    <w:rsid w:val="00B109E9"/>
    <w:rsid w:val="00B10C6F"/>
    <w:rsid w:val="00B12C3A"/>
    <w:rsid w:val="00B1404E"/>
    <w:rsid w:val="00B14E71"/>
    <w:rsid w:val="00B15296"/>
    <w:rsid w:val="00B156B6"/>
    <w:rsid w:val="00B15ADF"/>
    <w:rsid w:val="00B15DDC"/>
    <w:rsid w:val="00B15FFA"/>
    <w:rsid w:val="00B16E00"/>
    <w:rsid w:val="00B20E3B"/>
    <w:rsid w:val="00B2130B"/>
    <w:rsid w:val="00B23A3D"/>
    <w:rsid w:val="00B248AD"/>
    <w:rsid w:val="00B24CCB"/>
    <w:rsid w:val="00B25902"/>
    <w:rsid w:val="00B26CD1"/>
    <w:rsid w:val="00B2723D"/>
    <w:rsid w:val="00B278D3"/>
    <w:rsid w:val="00B27963"/>
    <w:rsid w:val="00B30FD6"/>
    <w:rsid w:val="00B324CE"/>
    <w:rsid w:val="00B3358D"/>
    <w:rsid w:val="00B341AE"/>
    <w:rsid w:val="00B35AD5"/>
    <w:rsid w:val="00B35C5F"/>
    <w:rsid w:val="00B3721C"/>
    <w:rsid w:val="00B405E1"/>
    <w:rsid w:val="00B40B99"/>
    <w:rsid w:val="00B419C8"/>
    <w:rsid w:val="00B41D04"/>
    <w:rsid w:val="00B42B26"/>
    <w:rsid w:val="00B437B6"/>
    <w:rsid w:val="00B43AC6"/>
    <w:rsid w:val="00B44946"/>
    <w:rsid w:val="00B44ECF"/>
    <w:rsid w:val="00B44F4F"/>
    <w:rsid w:val="00B45B5B"/>
    <w:rsid w:val="00B46233"/>
    <w:rsid w:val="00B468FF"/>
    <w:rsid w:val="00B4738B"/>
    <w:rsid w:val="00B50274"/>
    <w:rsid w:val="00B5142D"/>
    <w:rsid w:val="00B51AE3"/>
    <w:rsid w:val="00B5376F"/>
    <w:rsid w:val="00B54674"/>
    <w:rsid w:val="00B55405"/>
    <w:rsid w:val="00B555E3"/>
    <w:rsid w:val="00B57D7F"/>
    <w:rsid w:val="00B6522D"/>
    <w:rsid w:val="00B6557D"/>
    <w:rsid w:val="00B67164"/>
    <w:rsid w:val="00B6748E"/>
    <w:rsid w:val="00B72143"/>
    <w:rsid w:val="00B72E57"/>
    <w:rsid w:val="00B74F1C"/>
    <w:rsid w:val="00B75B47"/>
    <w:rsid w:val="00B767C4"/>
    <w:rsid w:val="00B77455"/>
    <w:rsid w:val="00B77F6E"/>
    <w:rsid w:val="00B81C4D"/>
    <w:rsid w:val="00B82374"/>
    <w:rsid w:val="00B827F9"/>
    <w:rsid w:val="00B83363"/>
    <w:rsid w:val="00B838DA"/>
    <w:rsid w:val="00B83BA9"/>
    <w:rsid w:val="00B8462D"/>
    <w:rsid w:val="00B854B0"/>
    <w:rsid w:val="00B870F7"/>
    <w:rsid w:val="00B87363"/>
    <w:rsid w:val="00B9108C"/>
    <w:rsid w:val="00B9117F"/>
    <w:rsid w:val="00B9128C"/>
    <w:rsid w:val="00B928E0"/>
    <w:rsid w:val="00B92A34"/>
    <w:rsid w:val="00B92F42"/>
    <w:rsid w:val="00B938E5"/>
    <w:rsid w:val="00B94062"/>
    <w:rsid w:val="00B94CF4"/>
    <w:rsid w:val="00B958DC"/>
    <w:rsid w:val="00B97DF7"/>
    <w:rsid w:val="00BA1313"/>
    <w:rsid w:val="00BA219C"/>
    <w:rsid w:val="00BA2781"/>
    <w:rsid w:val="00BA2BA9"/>
    <w:rsid w:val="00BB0835"/>
    <w:rsid w:val="00BB27FD"/>
    <w:rsid w:val="00BB2A03"/>
    <w:rsid w:val="00BB2ADB"/>
    <w:rsid w:val="00BB2C67"/>
    <w:rsid w:val="00BB3920"/>
    <w:rsid w:val="00BB3FAB"/>
    <w:rsid w:val="00BB3FD2"/>
    <w:rsid w:val="00BB458A"/>
    <w:rsid w:val="00BB4F69"/>
    <w:rsid w:val="00BB704B"/>
    <w:rsid w:val="00BB7530"/>
    <w:rsid w:val="00BC1D11"/>
    <w:rsid w:val="00BC1DD7"/>
    <w:rsid w:val="00BC1EF4"/>
    <w:rsid w:val="00BC3158"/>
    <w:rsid w:val="00BC349C"/>
    <w:rsid w:val="00BC5023"/>
    <w:rsid w:val="00BC5C16"/>
    <w:rsid w:val="00BC600A"/>
    <w:rsid w:val="00BC6302"/>
    <w:rsid w:val="00BC72D2"/>
    <w:rsid w:val="00BC77EC"/>
    <w:rsid w:val="00BC79CE"/>
    <w:rsid w:val="00BD0F24"/>
    <w:rsid w:val="00BD11FE"/>
    <w:rsid w:val="00BD17D9"/>
    <w:rsid w:val="00BD1982"/>
    <w:rsid w:val="00BD31E4"/>
    <w:rsid w:val="00BD3342"/>
    <w:rsid w:val="00BD4732"/>
    <w:rsid w:val="00BD4C05"/>
    <w:rsid w:val="00BD54A4"/>
    <w:rsid w:val="00BD5F7B"/>
    <w:rsid w:val="00BD65B3"/>
    <w:rsid w:val="00BD7E77"/>
    <w:rsid w:val="00BE057C"/>
    <w:rsid w:val="00BE15BD"/>
    <w:rsid w:val="00BE1A30"/>
    <w:rsid w:val="00BE3069"/>
    <w:rsid w:val="00BE3959"/>
    <w:rsid w:val="00BE3B61"/>
    <w:rsid w:val="00BE3BDC"/>
    <w:rsid w:val="00BE3C6B"/>
    <w:rsid w:val="00BE4CC5"/>
    <w:rsid w:val="00BE53C5"/>
    <w:rsid w:val="00BE567D"/>
    <w:rsid w:val="00BE7309"/>
    <w:rsid w:val="00BE783D"/>
    <w:rsid w:val="00BF00E1"/>
    <w:rsid w:val="00BF029A"/>
    <w:rsid w:val="00BF0411"/>
    <w:rsid w:val="00BF06D0"/>
    <w:rsid w:val="00BF0A79"/>
    <w:rsid w:val="00BF0BF1"/>
    <w:rsid w:val="00BF0FE3"/>
    <w:rsid w:val="00BF1986"/>
    <w:rsid w:val="00BF19F1"/>
    <w:rsid w:val="00BF4DC7"/>
    <w:rsid w:val="00BF54D0"/>
    <w:rsid w:val="00BF5715"/>
    <w:rsid w:val="00BF607B"/>
    <w:rsid w:val="00C00B64"/>
    <w:rsid w:val="00C0499E"/>
    <w:rsid w:val="00C05C8C"/>
    <w:rsid w:val="00C07EDF"/>
    <w:rsid w:val="00C101C0"/>
    <w:rsid w:val="00C12EB9"/>
    <w:rsid w:val="00C1301B"/>
    <w:rsid w:val="00C132E8"/>
    <w:rsid w:val="00C13EAC"/>
    <w:rsid w:val="00C14916"/>
    <w:rsid w:val="00C153D5"/>
    <w:rsid w:val="00C17341"/>
    <w:rsid w:val="00C17EA5"/>
    <w:rsid w:val="00C20637"/>
    <w:rsid w:val="00C20A1F"/>
    <w:rsid w:val="00C212E9"/>
    <w:rsid w:val="00C21E33"/>
    <w:rsid w:val="00C2297F"/>
    <w:rsid w:val="00C255A9"/>
    <w:rsid w:val="00C26027"/>
    <w:rsid w:val="00C26786"/>
    <w:rsid w:val="00C2721E"/>
    <w:rsid w:val="00C30738"/>
    <w:rsid w:val="00C32115"/>
    <w:rsid w:val="00C33F1F"/>
    <w:rsid w:val="00C36EFB"/>
    <w:rsid w:val="00C37B5C"/>
    <w:rsid w:val="00C401B4"/>
    <w:rsid w:val="00C415D5"/>
    <w:rsid w:val="00C42336"/>
    <w:rsid w:val="00C4392A"/>
    <w:rsid w:val="00C43CD8"/>
    <w:rsid w:val="00C43D4C"/>
    <w:rsid w:val="00C44003"/>
    <w:rsid w:val="00C458E9"/>
    <w:rsid w:val="00C46006"/>
    <w:rsid w:val="00C47D03"/>
    <w:rsid w:val="00C50E54"/>
    <w:rsid w:val="00C51579"/>
    <w:rsid w:val="00C54778"/>
    <w:rsid w:val="00C55E20"/>
    <w:rsid w:val="00C5650D"/>
    <w:rsid w:val="00C57A84"/>
    <w:rsid w:val="00C605B6"/>
    <w:rsid w:val="00C63EEB"/>
    <w:rsid w:val="00C64BFB"/>
    <w:rsid w:val="00C64C1A"/>
    <w:rsid w:val="00C64CA7"/>
    <w:rsid w:val="00C70A11"/>
    <w:rsid w:val="00C70F93"/>
    <w:rsid w:val="00C724E6"/>
    <w:rsid w:val="00C73444"/>
    <w:rsid w:val="00C74950"/>
    <w:rsid w:val="00C74BBE"/>
    <w:rsid w:val="00C74E15"/>
    <w:rsid w:val="00C75108"/>
    <w:rsid w:val="00C80F77"/>
    <w:rsid w:val="00C82E38"/>
    <w:rsid w:val="00C83B5B"/>
    <w:rsid w:val="00C83B62"/>
    <w:rsid w:val="00C83F5A"/>
    <w:rsid w:val="00C84C3D"/>
    <w:rsid w:val="00C90CB0"/>
    <w:rsid w:val="00C921E8"/>
    <w:rsid w:val="00C925F4"/>
    <w:rsid w:val="00C92EB1"/>
    <w:rsid w:val="00C93190"/>
    <w:rsid w:val="00C936A5"/>
    <w:rsid w:val="00C93D63"/>
    <w:rsid w:val="00C9417A"/>
    <w:rsid w:val="00C94486"/>
    <w:rsid w:val="00C944F1"/>
    <w:rsid w:val="00C95783"/>
    <w:rsid w:val="00CA3160"/>
    <w:rsid w:val="00CA4657"/>
    <w:rsid w:val="00CA4F92"/>
    <w:rsid w:val="00CA7353"/>
    <w:rsid w:val="00CB033C"/>
    <w:rsid w:val="00CB42CF"/>
    <w:rsid w:val="00CB4E4A"/>
    <w:rsid w:val="00CB6330"/>
    <w:rsid w:val="00CB6871"/>
    <w:rsid w:val="00CB73F6"/>
    <w:rsid w:val="00CB75E7"/>
    <w:rsid w:val="00CC3624"/>
    <w:rsid w:val="00CC3AB4"/>
    <w:rsid w:val="00CC5871"/>
    <w:rsid w:val="00CC7529"/>
    <w:rsid w:val="00CD0DE8"/>
    <w:rsid w:val="00CD182C"/>
    <w:rsid w:val="00CD22A8"/>
    <w:rsid w:val="00CD3B0E"/>
    <w:rsid w:val="00CE4ED7"/>
    <w:rsid w:val="00CE5B2A"/>
    <w:rsid w:val="00CE6EC9"/>
    <w:rsid w:val="00D0039B"/>
    <w:rsid w:val="00D00D3F"/>
    <w:rsid w:val="00D01569"/>
    <w:rsid w:val="00D01C09"/>
    <w:rsid w:val="00D02895"/>
    <w:rsid w:val="00D0388D"/>
    <w:rsid w:val="00D03B0F"/>
    <w:rsid w:val="00D057A0"/>
    <w:rsid w:val="00D0661C"/>
    <w:rsid w:val="00D06F46"/>
    <w:rsid w:val="00D125F3"/>
    <w:rsid w:val="00D130D5"/>
    <w:rsid w:val="00D13C82"/>
    <w:rsid w:val="00D14B3E"/>
    <w:rsid w:val="00D16BD2"/>
    <w:rsid w:val="00D17672"/>
    <w:rsid w:val="00D213A4"/>
    <w:rsid w:val="00D252EE"/>
    <w:rsid w:val="00D25D2D"/>
    <w:rsid w:val="00D26E9B"/>
    <w:rsid w:val="00D30748"/>
    <w:rsid w:val="00D311E1"/>
    <w:rsid w:val="00D322C1"/>
    <w:rsid w:val="00D34293"/>
    <w:rsid w:val="00D344B4"/>
    <w:rsid w:val="00D35274"/>
    <w:rsid w:val="00D369FD"/>
    <w:rsid w:val="00D36CE3"/>
    <w:rsid w:val="00D377EC"/>
    <w:rsid w:val="00D37D3B"/>
    <w:rsid w:val="00D42C3C"/>
    <w:rsid w:val="00D43626"/>
    <w:rsid w:val="00D458B2"/>
    <w:rsid w:val="00D459A6"/>
    <w:rsid w:val="00D46A90"/>
    <w:rsid w:val="00D46AA9"/>
    <w:rsid w:val="00D50E89"/>
    <w:rsid w:val="00D5206E"/>
    <w:rsid w:val="00D5306F"/>
    <w:rsid w:val="00D53F64"/>
    <w:rsid w:val="00D53FDE"/>
    <w:rsid w:val="00D567B2"/>
    <w:rsid w:val="00D56B1B"/>
    <w:rsid w:val="00D6159B"/>
    <w:rsid w:val="00D62922"/>
    <w:rsid w:val="00D62AFB"/>
    <w:rsid w:val="00D630A8"/>
    <w:rsid w:val="00D67E39"/>
    <w:rsid w:val="00D716E1"/>
    <w:rsid w:val="00D72A64"/>
    <w:rsid w:val="00D73DB1"/>
    <w:rsid w:val="00D75214"/>
    <w:rsid w:val="00D7573B"/>
    <w:rsid w:val="00D75E28"/>
    <w:rsid w:val="00D767AB"/>
    <w:rsid w:val="00D77249"/>
    <w:rsid w:val="00D806B5"/>
    <w:rsid w:val="00D80B46"/>
    <w:rsid w:val="00D82A34"/>
    <w:rsid w:val="00D83232"/>
    <w:rsid w:val="00D84FAD"/>
    <w:rsid w:val="00D86FF2"/>
    <w:rsid w:val="00D87094"/>
    <w:rsid w:val="00D8741C"/>
    <w:rsid w:val="00D874E4"/>
    <w:rsid w:val="00D875D8"/>
    <w:rsid w:val="00D87B82"/>
    <w:rsid w:val="00D87F90"/>
    <w:rsid w:val="00D91105"/>
    <w:rsid w:val="00D92571"/>
    <w:rsid w:val="00D93E58"/>
    <w:rsid w:val="00D95F7D"/>
    <w:rsid w:val="00D96B5B"/>
    <w:rsid w:val="00D97740"/>
    <w:rsid w:val="00D97A84"/>
    <w:rsid w:val="00DA14EB"/>
    <w:rsid w:val="00DA2798"/>
    <w:rsid w:val="00DA2C9B"/>
    <w:rsid w:val="00DA3C82"/>
    <w:rsid w:val="00DA4224"/>
    <w:rsid w:val="00DA683D"/>
    <w:rsid w:val="00DA77FB"/>
    <w:rsid w:val="00DB296A"/>
    <w:rsid w:val="00DB3659"/>
    <w:rsid w:val="00DB4138"/>
    <w:rsid w:val="00DB646B"/>
    <w:rsid w:val="00DB64F0"/>
    <w:rsid w:val="00DB6CED"/>
    <w:rsid w:val="00DB7379"/>
    <w:rsid w:val="00DC0F7F"/>
    <w:rsid w:val="00DC13AB"/>
    <w:rsid w:val="00DC2C2F"/>
    <w:rsid w:val="00DC35F7"/>
    <w:rsid w:val="00DC3B33"/>
    <w:rsid w:val="00DC4D8B"/>
    <w:rsid w:val="00DD0F1B"/>
    <w:rsid w:val="00DD1471"/>
    <w:rsid w:val="00DD1BED"/>
    <w:rsid w:val="00DD333B"/>
    <w:rsid w:val="00DD4A18"/>
    <w:rsid w:val="00DD4D6D"/>
    <w:rsid w:val="00DD6D20"/>
    <w:rsid w:val="00DE10F8"/>
    <w:rsid w:val="00DE14CA"/>
    <w:rsid w:val="00DE1E2A"/>
    <w:rsid w:val="00DE2F00"/>
    <w:rsid w:val="00DE321D"/>
    <w:rsid w:val="00DE3B82"/>
    <w:rsid w:val="00DE4DF2"/>
    <w:rsid w:val="00DE4DFB"/>
    <w:rsid w:val="00DE4E2F"/>
    <w:rsid w:val="00DE71FF"/>
    <w:rsid w:val="00DE7BF3"/>
    <w:rsid w:val="00DF027E"/>
    <w:rsid w:val="00DF23DA"/>
    <w:rsid w:val="00DF2745"/>
    <w:rsid w:val="00DF3041"/>
    <w:rsid w:val="00DF3485"/>
    <w:rsid w:val="00DF34C9"/>
    <w:rsid w:val="00DF5E9F"/>
    <w:rsid w:val="00DF67F9"/>
    <w:rsid w:val="00DF6A99"/>
    <w:rsid w:val="00DF74EE"/>
    <w:rsid w:val="00DF777C"/>
    <w:rsid w:val="00DF77AD"/>
    <w:rsid w:val="00DF796E"/>
    <w:rsid w:val="00DF7A46"/>
    <w:rsid w:val="00E0044E"/>
    <w:rsid w:val="00E01ED1"/>
    <w:rsid w:val="00E02E12"/>
    <w:rsid w:val="00E06F39"/>
    <w:rsid w:val="00E06F81"/>
    <w:rsid w:val="00E07010"/>
    <w:rsid w:val="00E07B12"/>
    <w:rsid w:val="00E114D4"/>
    <w:rsid w:val="00E1357A"/>
    <w:rsid w:val="00E139ED"/>
    <w:rsid w:val="00E1476C"/>
    <w:rsid w:val="00E1483C"/>
    <w:rsid w:val="00E15518"/>
    <w:rsid w:val="00E16E7B"/>
    <w:rsid w:val="00E16F58"/>
    <w:rsid w:val="00E21CB7"/>
    <w:rsid w:val="00E22025"/>
    <w:rsid w:val="00E252BE"/>
    <w:rsid w:val="00E26E84"/>
    <w:rsid w:val="00E3171E"/>
    <w:rsid w:val="00E3256A"/>
    <w:rsid w:val="00E3460A"/>
    <w:rsid w:val="00E3576A"/>
    <w:rsid w:val="00E36862"/>
    <w:rsid w:val="00E36A7F"/>
    <w:rsid w:val="00E37761"/>
    <w:rsid w:val="00E40EBB"/>
    <w:rsid w:val="00E42942"/>
    <w:rsid w:val="00E42DF9"/>
    <w:rsid w:val="00E44253"/>
    <w:rsid w:val="00E4486D"/>
    <w:rsid w:val="00E463D9"/>
    <w:rsid w:val="00E46446"/>
    <w:rsid w:val="00E4653F"/>
    <w:rsid w:val="00E46D20"/>
    <w:rsid w:val="00E5381C"/>
    <w:rsid w:val="00E54F88"/>
    <w:rsid w:val="00E55A58"/>
    <w:rsid w:val="00E55F69"/>
    <w:rsid w:val="00E56CED"/>
    <w:rsid w:val="00E6028A"/>
    <w:rsid w:val="00E6436C"/>
    <w:rsid w:val="00E66EDB"/>
    <w:rsid w:val="00E711DE"/>
    <w:rsid w:val="00E72742"/>
    <w:rsid w:val="00E728AC"/>
    <w:rsid w:val="00E72B45"/>
    <w:rsid w:val="00E7334E"/>
    <w:rsid w:val="00E73488"/>
    <w:rsid w:val="00E73A37"/>
    <w:rsid w:val="00E7493C"/>
    <w:rsid w:val="00E75513"/>
    <w:rsid w:val="00E76108"/>
    <w:rsid w:val="00E77F5D"/>
    <w:rsid w:val="00E802A3"/>
    <w:rsid w:val="00E80C00"/>
    <w:rsid w:val="00E814FC"/>
    <w:rsid w:val="00E81F69"/>
    <w:rsid w:val="00E83BD1"/>
    <w:rsid w:val="00E83E0F"/>
    <w:rsid w:val="00E840DB"/>
    <w:rsid w:val="00E86082"/>
    <w:rsid w:val="00E8639D"/>
    <w:rsid w:val="00E863BF"/>
    <w:rsid w:val="00E92035"/>
    <w:rsid w:val="00E9249F"/>
    <w:rsid w:val="00E9585D"/>
    <w:rsid w:val="00EA016C"/>
    <w:rsid w:val="00EA03EE"/>
    <w:rsid w:val="00EA216F"/>
    <w:rsid w:val="00EA533D"/>
    <w:rsid w:val="00EA687E"/>
    <w:rsid w:val="00EA713A"/>
    <w:rsid w:val="00EA7285"/>
    <w:rsid w:val="00EB151F"/>
    <w:rsid w:val="00EB6DA6"/>
    <w:rsid w:val="00EC24EE"/>
    <w:rsid w:val="00EC66B4"/>
    <w:rsid w:val="00EC75C8"/>
    <w:rsid w:val="00EC775D"/>
    <w:rsid w:val="00EC7A93"/>
    <w:rsid w:val="00ED03AB"/>
    <w:rsid w:val="00ED1381"/>
    <w:rsid w:val="00ED160E"/>
    <w:rsid w:val="00ED2082"/>
    <w:rsid w:val="00ED2479"/>
    <w:rsid w:val="00ED2E25"/>
    <w:rsid w:val="00ED586F"/>
    <w:rsid w:val="00EE05F3"/>
    <w:rsid w:val="00EE1514"/>
    <w:rsid w:val="00EE2CD2"/>
    <w:rsid w:val="00EE3A2F"/>
    <w:rsid w:val="00EE56DA"/>
    <w:rsid w:val="00EE7092"/>
    <w:rsid w:val="00EE71E2"/>
    <w:rsid w:val="00EF289D"/>
    <w:rsid w:val="00EF6214"/>
    <w:rsid w:val="00EF65D2"/>
    <w:rsid w:val="00F01484"/>
    <w:rsid w:val="00F01CE2"/>
    <w:rsid w:val="00F0492A"/>
    <w:rsid w:val="00F07292"/>
    <w:rsid w:val="00F10B8E"/>
    <w:rsid w:val="00F11AB2"/>
    <w:rsid w:val="00F11EA7"/>
    <w:rsid w:val="00F12A3B"/>
    <w:rsid w:val="00F15527"/>
    <w:rsid w:val="00F25CDD"/>
    <w:rsid w:val="00F26ABF"/>
    <w:rsid w:val="00F276C4"/>
    <w:rsid w:val="00F2772F"/>
    <w:rsid w:val="00F31424"/>
    <w:rsid w:val="00F31707"/>
    <w:rsid w:val="00F317AC"/>
    <w:rsid w:val="00F31FAE"/>
    <w:rsid w:val="00F32728"/>
    <w:rsid w:val="00F333DC"/>
    <w:rsid w:val="00F34F94"/>
    <w:rsid w:val="00F40208"/>
    <w:rsid w:val="00F4058E"/>
    <w:rsid w:val="00F4270E"/>
    <w:rsid w:val="00F44B1D"/>
    <w:rsid w:val="00F451CE"/>
    <w:rsid w:val="00F4630C"/>
    <w:rsid w:val="00F52246"/>
    <w:rsid w:val="00F52E14"/>
    <w:rsid w:val="00F53301"/>
    <w:rsid w:val="00F5360F"/>
    <w:rsid w:val="00F55507"/>
    <w:rsid w:val="00F61A1F"/>
    <w:rsid w:val="00F61CD2"/>
    <w:rsid w:val="00F627FA"/>
    <w:rsid w:val="00F63225"/>
    <w:rsid w:val="00F6439E"/>
    <w:rsid w:val="00F649A4"/>
    <w:rsid w:val="00F64BA5"/>
    <w:rsid w:val="00F67B67"/>
    <w:rsid w:val="00F707E5"/>
    <w:rsid w:val="00F71514"/>
    <w:rsid w:val="00F739E3"/>
    <w:rsid w:val="00F74066"/>
    <w:rsid w:val="00F77337"/>
    <w:rsid w:val="00F82464"/>
    <w:rsid w:val="00F83E3F"/>
    <w:rsid w:val="00F8582B"/>
    <w:rsid w:val="00F85E83"/>
    <w:rsid w:val="00F90239"/>
    <w:rsid w:val="00F909E0"/>
    <w:rsid w:val="00F90EE1"/>
    <w:rsid w:val="00F9147E"/>
    <w:rsid w:val="00F91DAB"/>
    <w:rsid w:val="00F9577C"/>
    <w:rsid w:val="00F958CD"/>
    <w:rsid w:val="00F95D55"/>
    <w:rsid w:val="00F976C2"/>
    <w:rsid w:val="00FA24F4"/>
    <w:rsid w:val="00FA49E0"/>
    <w:rsid w:val="00FA5C47"/>
    <w:rsid w:val="00FA775F"/>
    <w:rsid w:val="00FB15B4"/>
    <w:rsid w:val="00FB19B9"/>
    <w:rsid w:val="00FB1D2A"/>
    <w:rsid w:val="00FB1FC8"/>
    <w:rsid w:val="00FB40B9"/>
    <w:rsid w:val="00FB5BD6"/>
    <w:rsid w:val="00FB6CD7"/>
    <w:rsid w:val="00FB7DBF"/>
    <w:rsid w:val="00FC0538"/>
    <w:rsid w:val="00FC3E00"/>
    <w:rsid w:val="00FC55A3"/>
    <w:rsid w:val="00FC5868"/>
    <w:rsid w:val="00FC6304"/>
    <w:rsid w:val="00FD00F7"/>
    <w:rsid w:val="00FD1576"/>
    <w:rsid w:val="00FD3AEF"/>
    <w:rsid w:val="00FD3F2D"/>
    <w:rsid w:val="00FD45A4"/>
    <w:rsid w:val="00FD4E15"/>
    <w:rsid w:val="00FD5686"/>
    <w:rsid w:val="00FD76C1"/>
    <w:rsid w:val="00FE07D8"/>
    <w:rsid w:val="00FE19AF"/>
    <w:rsid w:val="00FE1B19"/>
    <w:rsid w:val="00FE4AC9"/>
    <w:rsid w:val="00FE56AB"/>
    <w:rsid w:val="00FE7D3B"/>
    <w:rsid w:val="00FF3132"/>
    <w:rsid w:val="00FF4A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0E3C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aliases w:val="Section"/>
    <w:basedOn w:val="Normal"/>
    <w:next w:val="Normal"/>
    <w:link w:val="Overskrift1Tegn"/>
    <w:qFormat/>
    <w:rsid w:val="00D42C3C"/>
    <w:pPr>
      <w:suppressAutoHyphens/>
      <w:spacing w:before="240" w:after="120" w:line="260" w:lineRule="exact"/>
      <w:ind w:right="288"/>
      <w:jc w:val="both"/>
      <w:outlineLvl w:val="0"/>
    </w:pPr>
    <w:rPr>
      <w:rFonts w:ascii="Times New Roman" w:eastAsia="Times New Roman" w:hAnsi="Times New Roman" w:cs="Times New Roman"/>
      <w:b/>
      <w:kern w:val="28"/>
      <w:sz w:val="20"/>
      <w:szCs w:val="24"/>
      <w:lang w:val="en-US"/>
    </w:rPr>
  </w:style>
  <w:style w:type="paragraph" w:styleId="Overskrift2">
    <w:name w:val="heading 2"/>
    <w:basedOn w:val="Normal"/>
    <w:next w:val="Normal"/>
    <w:link w:val="Overskrift2Tegn"/>
    <w:uiPriority w:val="9"/>
    <w:semiHidden/>
    <w:unhideWhenUsed/>
    <w:qFormat/>
    <w:rsid w:val="000000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AB">
    <w:name w:val="RAB"/>
    <w:qFormat/>
    <w:rsid w:val="00751DEC"/>
    <w:pPr>
      <w:spacing w:before="480" w:line="260" w:lineRule="exact"/>
      <w:ind w:right="1009"/>
      <w:contextualSpacing/>
      <w:jc w:val="both"/>
    </w:pPr>
    <w:rPr>
      <w:rFonts w:ascii="Times New Roman" w:eastAsia="Calibri" w:hAnsi="Times New Roman" w:cs="Times New Roman"/>
      <w:bCs/>
      <w:iCs/>
      <w:color w:val="000000"/>
      <w:sz w:val="20"/>
      <w:lang w:val="en-US"/>
    </w:rPr>
  </w:style>
  <w:style w:type="paragraph" w:customStyle="1" w:styleId="RAK">
    <w:name w:val="RAK"/>
    <w:qFormat/>
    <w:rsid w:val="00751DEC"/>
    <w:pPr>
      <w:spacing w:after="240" w:line="260" w:lineRule="exact"/>
      <w:ind w:right="1009"/>
      <w:contextualSpacing/>
      <w:jc w:val="both"/>
    </w:pPr>
    <w:rPr>
      <w:rFonts w:ascii="Times New Roman" w:eastAsia="Calibri" w:hAnsi="Times New Roman" w:cs="Times New Roman"/>
      <w:color w:val="000000"/>
      <w:sz w:val="20"/>
      <w:szCs w:val="28"/>
      <w:lang w:val="en-US"/>
    </w:rPr>
  </w:style>
  <w:style w:type="paragraph" w:customStyle="1" w:styleId="RCA">
    <w:name w:val="RCA"/>
    <w:qFormat/>
    <w:rsid w:val="00751DEC"/>
    <w:pPr>
      <w:spacing w:after="240" w:line="260" w:lineRule="exact"/>
      <w:ind w:right="431"/>
    </w:pPr>
    <w:rPr>
      <w:rFonts w:ascii="Times New Roman" w:eastAsia="Calibri" w:hAnsi="Times New Roman" w:cs="Times New Roman"/>
      <w:b/>
      <w:bCs/>
      <w:iCs/>
      <w:color w:val="000000"/>
      <w:lang w:val="en-US"/>
    </w:rPr>
  </w:style>
  <w:style w:type="paragraph" w:customStyle="1" w:styleId="RCAF">
    <w:name w:val="RCAF"/>
    <w:qFormat/>
    <w:rsid w:val="00751DEC"/>
    <w:pPr>
      <w:spacing w:after="240" w:line="240" w:lineRule="auto"/>
      <w:ind w:right="431"/>
    </w:pPr>
    <w:rPr>
      <w:rFonts w:ascii="Times New Roman" w:eastAsia="Calibri" w:hAnsi="Times New Roman" w:cs="Times New Roman"/>
      <w:bCs/>
      <w:i/>
      <w:iCs/>
      <w:color w:val="000000"/>
      <w:lang w:val="en-US"/>
    </w:rPr>
  </w:style>
  <w:style w:type="paragraph" w:customStyle="1" w:styleId="RCT">
    <w:name w:val="RCT"/>
    <w:basedOn w:val="Normal"/>
    <w:qFormat/>
    <w:rsid w:val="00751DEC"/>
    <w:pPr>
      <w:spacing w:before="1080" w:after="720" w:line="320" w:lineRule="exact"/>
      <w:contextualSpacing/>
    </w:pPr>
    <w:rPr>
      <w:rFonts w:ascii="Times New Roman" w:eastAsia="Calibri" w:hAnsi="Times New Roman" w:cs="Times New Roman"/>
      <w:b/>
      <w:bCs/>
      <w:iCs/>
      <w:caps/>
      <w:color w:val="000000"/>
      <w:sz w:val="28"/>
      <w:lang w:val="en-US"/>
    </w:rPr>
  </w:style>
  <w:style w:type="paragraph" w:customStyle="1" w:styleId="RFC">
    <w:name w:val="RFC"/>
    <w:qFormat/>
    <w:rsid w:val="00751DEC"/>
    <w:pPr>
      <w:spacing w:before="120" w:after="480" w:line="240" w:lineRule="exact"/>
      <w:contextualSpacing/>
      <w:jc w:val="center"/>
      <w:outlineLvl w:val="0"/>
    </w:pPr>
    <w:rPr>
      <w:rFonts w:ascii="Times New Roman" w:eastAsia="Calibri" w:hAnsi="Times New Roman" w:cs="Calibri"/>
      <w:color w:val="000000"/>
      <w:sz w:val="20"/>
      <w:szCs w:val="24"/>
      <w:lang w:val="en-US"/>
    </w:rPr>
  </w:style>
  <w:style w:type="paragraph" w:customStyle="1" w:styleId="RFI">
    <w:name w:val="RFI"/>
    <w:qFormat/>
    <w:rsid w:val="00751DEC"/>
    <w:pPr>
      <w:spacing w:before="480" w:after="0" w:line="240" w:lineRule="auto"/>
      <w:contextualSpacing/>
      <w:jc w:val="center"/>
      <w:outlineLvl w:val="0"/>
    </w:pPr>
    <w:rPr>
      <w:rFonts w:ascii="Times New Roman" w:eastAsia="Calibri" w:hAnsi="Times New Roman" w:cs="Calibri"/>
      <w:color w:val="000000"/>
      <w:sz w:val="20"/>
      <w:szCs w:val="24"/>
      <w:lang w:val="en-US"/>
    </w:rPr>
  </w:style>
  <w:style w:type="paragraph" w:customStyle="1" w:styleId="RH1">
    <w:name w:val="RH1"/>
    <w:qFormat/>
    <w:rsid w:val="00751DEC"/>
    <w:pPr>
      <w:spacing w:before="480" w:after="240" w:line="260" w:lineRule="exact"/>
      <w:contextualSpacing/>
      <w:outlineLvl w:val="0"/>
    </w:pPr>
    <w:rPr>
      <w:rFonts w:ascii="Times New Roman" w:eastAsia="Calibri" w:hAnsi="Times New Roman" w:cs="Times New Roman"/>
      <w:b/>
      <w:bCs/>
      <w:iCs/>
      <w:color w:val="000000"/>
      <w:szCs w:val="24"/>
      <w:lang w:val="en-US"/>
    </w:rPr>
  </w:style>
  <w:style w:type="paragraph" w:customStyle="1" w:styleId="RH2">
    <w:name w:val="RH2"/>
    <w:qFormat/>
    <w:rsid w:val="00751DEC"/>
    <w:pPr>
      <w:spacing w:before="360" w:after="240" w:line="240" w:lineRule="auto"/>
      <w:contextualSpacing/>
      <w:outlineLvl w:val="1"/>
    </w:pPr>
    <w:rPr>
      <w:rFonts w:ascii="Times New Roman" w:eastAsia="Calibri" w:hAnsi="Times New Roman" w:cs="Times New Roman"/>
      <w:b/>
      <w:bCs/>
      <w:iCs/>
      <w:color w:val="000000"/>
      <w:szCs w:val="24"/>
      <w:lang w:val="en-US"/>
    </w:rPr>
  </w:style>
  <w:style w:type="paragraph" w:customStyle="1" w:styleId="RPI">
    <w:name w:val="RPI"/>
    <w:basedOn w:val="Normal"/>
    <w:qFormat/>
    <w:rsid w:val="00751DEC"/>
    <w:pPr>
      <w:autoSpaceDE w:val="0"/>
      <w:autoSpaceDN w:val="0"/>
      <w:adjustRightInd w:val="0"/>
      <w:spacing w:after="0" w:line="260" w:lineRule="exact"/>
      <w:ind w:firstLine="431"/>
      <w:contextualSpacing/>
      <w:jc w:val="both"/>
    </w:pPr>
    <w:rPr>
      <w:rFonts w:ascii="Times New Roman" w:eastAsia="Calibri" w:hAnsi="Times New Roman" w:cs="Calibri"/>
      <w:color w:val="000000"/>
      <w:szCs w:val="24"/>
      <w:lang w:val="en-US"/>
    </w:rPr>
  </w:style>
  <w:style w:type="paragraph" w:customStyle="1" w:styleId="RPN">
    <w:name w:val="RPN"/>
    <w:qFormat/>
    <w:rsid w:val="00751DEC"/>
    <w:pPr>
      <w:spacing w:after="0" w:line="260" w:lineRule="exact"/>
      <w:contextualSpacing/>
      <w:jc w:val="both"/>
    </w:pPr>
    <w:rPr>
      <w:rFonts w:ascii="Times New Roman" w:eastAsia="Calibri" w:hAnsi="Times New Roman" w:cs="Times New Roman"/>
      <w:bCs/>
      <w:iCs/>
      <w:lang w:val="en-US"/>
    </w:rPr>
  </w:style>
  <w:style w:type="paragraph" w:customStyle="1" w:styleId="RTC">
    <w:name w:val="RTC"/>
    <w:basedOn w:val="RPI"/>
    <w:qFormat/>
    <w:rsid w:val="00751DEC"/>
    <w:pPr>
      <w:spacing w:before="480" w:after="120" w:line="240" w:lineRule="exact"/>
      <w:ind w:firstLine="0"/>
      <w:jc w:val="center"/>
      <w:outlineLvl w:val="0"/>
    </w:pPr>
    <w:rPr>
      <w:sz w:val="20"/>
    </w:rPr>
  </w:style>
  <w:style w:type="paragraph" w:styleId="Topptekst">
    <w:name w:val="header"/>
    <w:basedOn w:val="Normal"/>
    <w:link w:val="TopptekstTegn"/>
    <w:uiPriority w:val="99"/>
    <w:unhideWhenUsed/>
    <w:rsid w:val="000626DF"/>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626DF"/>
  </w:style>
  <w:style w:type="paragraph" w:styleId="Bunntekst">
    <w:name w:val="footer"/>
    <w:basedOn w:val="Normal"/>
    <w:link w:val="BunntekstTegn"/>
    <w:uiPriority w:val="99"/>
    <w:unhideWhenUsed/>
    <w:rsid w:val="000626DF"/>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626DF"/>
  </w:style>
  <w:style w:type="paragraph" w:styleId="Listeavsnitt">
    <w:name w:val="List Paragraph"/>
    <w:basedOn w:val="Normal"/>
    <w:uiPriority w:val="34"/>
    <w:qFormat/>
    <w:rsid w:val="000626DF"/>
    <w:pPr>
      <w:ind w:left="720"/>
      <w:contextualSpacing/>
    </w:pPr>
  </w:style>
  <w:style w:type="paragraph" w:styleId="Bobletekst">
    <w:name w:val="Balloon Text"/>
    <w:basedOn w:val="Normal"/>
    <w:link w:val="BobletekstTegn"/>
    <w:uiPriority w:val="99"/>
    <w:semiHidden/>
    <w:unhideWhenUsed/>
    <w:rsid w:val="00DE10F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E10F8"/>
    <w:rPr>
      <w:rFonts w:ascii="Tahoma" w:hAnsi="Tahoma" w:cs="Tahoma"/>
      <w:sz w:val="16"/>
      <w:szCs w:val="16"/>
    </w:rPr>
  </w:style>
  <w:style w:type="table" w:styleId="Tabellrutenett">
    <w:name w:val="Table Grid"/>
    <w:basedOn w:val="Vanligtabell"/>
    <w:uiPriority w:val="39"/>
    <w:rsid w:val="00B91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265FE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65FEC"/>
    <w:rPr>
      <w:sz w:val="20"/>
      <w:szCs w:val="20"/>
    </w:rPr>
  </w:style>
  <w:style w:type="character" w:styleId="Fotnotereferanse">
    <w:name w:val="footnote reference"/>
    <w:basedOn w:val="Standardskriftforavsnitt"/>
    <w:uiPriority w:val="99"/>
    <w:semiHidden/>
    <w:unhideWhenUsed/>
    <w:rsid w:val="00265FEC"/>
    <w:rPr>
      <w:vertAlign w:val="superscript"/>
    </w:rPr>
  </w:style>
  <w:style w:type="character" w:styleId="Hyperkobling">
    <w:name w:val="Hyperlink"/>
    <w:basedOn w:val="Standardskriftforavsnitt"/>
    <w:uiPriority w:val="99"/>
    <w:unhideWhenUsed/>
    <w:rsid w:val="000E7BDF"/>
    <w:rPr>
      <w:color w:val="0000FF" w:themeColor="hyperlink"/>
      <w:u w:val="single"/>
    </w:rPr>
  </w:style>
  <w:style w:type="character" w:styleId="Plassholdertekst">
    <w:name w:val="Placeholder Text"/>
    <w:basedOn w:val="Standardskriftforavsnitt"/>
    <w:uiPriority w:val="99"/>
    <w:semiHidden/>
    <w:rsid w:val="00DA4224"/>
    <w:rPr>
      <w:color w:val="808080"/>
    </w:rPr>
  </w:style>
  <w:style w:type="character" w:customStyle="1" w:styleId="Overskrift1Tegn">
    <w:name w:val="Overskrift 1 Tegn"/>
    <w:aliases w:val="Section Tegn"/>
    <w:basedOn w:val="Standardskriftforavsnitt"/>
    <w:link w:val="Overskrift1"/>
    <w:rsid w:val="00D42C3C"/>
    <w:rPr>
      <w:rFonts w:ascii="Times New Roman" w:eastAsia="Times New Roman" w:hAnsi="Times New Roman" w:cs="Times New Roman"/>
      <w:b/>
      <w:kern w:val="28"/>
      <w:sz w:val="20"/>
      <w:szCs w:val="24"/>
      <w:lang w:val="en-US"/>
    </w:rPr>
  </w:style>
  <w:style w:type="paragraph" w:customStyle="1" w:styleId="TextIndent">
    <w:name w:val="Text Indent"/>
    <w:rsid w:val="00D42C3C"/>
    <w:pPr>
      <w:spacing w:before="240" w:after="120" w:line="260" w:lineRule="exact"/>
      <w:ind w:right="288" w:firstLine="302"/>
      <w:jc w:val="both"/>
    </w:pPr>
    <w:rPr>
      <w:rFonts w:ascii="Times New Roman" w:eastAsia="Times New Roman" w:hAnsi="Times New Roman" w:cs="Times New Roman"/>
      <w:sz w:val="20"/>
      <w:szCs w:val="20"/>
      <w:lang w:val="en-US"/>
    </w:rPr>
  </w:style>
  <w:style w:type="paragraph" w:customStyle="1" w:styleId="avsnitt1">
    <w:name w:val="avsnitt1"/>
    <w:basedOn w:val="Normal"/>
    <w:next w:val="Normal"/>
    <w:rsid w:val="00D42C3C"/>
    <w:pPr>
      <w:spacing w:after="0" w:line="240" w:lineRule="auto"/>
      <w:jc w:val="both"/>
    </w:pPr>
    <w:rPr>
      <w:rFonts w:ascii="Times" w:eastAsia="Times New Roman" w:hAnsi="Times" w:cs="Times New Roman"/>
      <w:sz w:val="20"/>
      <w:szCs w:val="20"/>
      <w:lang w:val="en-GB" w:eastAsia="nb-NO"/>
    </w:rPr>
  </w:style>
  <w:style w:type="paragraph" w:customStyle="1" w:styleId="avsnitt">
    <w:name w:val="avsnitt"/>
    <w:basedOn w:val="Normal"/>
    <w:link w:val="avsnittTegn"/>
    <w:rsid w:val="00F34F94"/>
    <w:pPr>
      <w:spacing w:after="0" w:line="240" w:lineRule="auto"/>
      <w:ind w:firstLine="284"/>
      <w:jc w:val="both"/>
    </w:pPr>
    <w:rPr>
      <w:rFonts w:ascii="Times" w:eastAsia="Times New Roman" w:hAnsi="Times" w:cs="Times New Roman"/>
      <w:sz w:val="20"/>
      <w:szCs w:val="20"/>
      <w:lang w:val="en-GB" w:eastAsia="nb-NO"/>
    </w:rPr>
  </w:style>
  <w:style w:type="character" w:customStyle="1" w:styleId="avsnittTegn">
    <w:name w:val="avsnitt Tegn"/>
    <w:basedOn w:val="Standardskriftforavsnitt"/>
    <w:link w:val="avsnitt"/>
    <w:rsid w:val="00F34F94"/>
    <w:rPr>
      <w:rFonts w:ascii="Times" w:eastAsia="Times New Roman" w:hAnsi="Times" w:cs="Times New Roman"/>
      <w:sz w:val="20"/>
      <w:szCs w:val="20"/>
      <w:lang w:val="en-GB" w:eastAsia="nb-NO"/>
    </w:rPr>
  </w:style>
  <w:style w:type="paragraph" w:styleId="Bildetekst">
    <w:name w:val="caption"/>
    <w:aliases w:val="DNV-cap"/>
    <w:basedOn w:val="Normal"/>
    <w:next w:val="Normal"/>
    <w:uiPriority w:val="99"/>
    <w:qFormat/>
    <w:rsid w:val="00F34F94"/>
    <w:pPr>
      <w:spacing w:before="120" w:after="120" w:line="240" w:lineRule="auto"/>
      <w:jc w:val="both"/>
    </w:pPr>
    <w:rPr>
      <w:rFonts w:ascii="Times" w:eastAsia="Times New Roman" w:hAnsi="Times" w:cs="Times New Roman"/>
      <w:b/>
      <w:sz w:val="18"/>
      <w:szCs w:val="20"/>
      <w:lang w:val="en-GB" w:eastAsia="nb-NO"/>
    </w:rPr>
  </w:style>
  <w:style w:type="character" w:customStyle="1" w:styleId="Overskrift2Tegn">
    <w:name w:val="Overskrift 2 Tegn"/>
    <w:basedOn w:val="Standardskriftforavsnitt"/>
    <w:link w:val="Overskrift2"/>
    <w:uiPriority w:val="9"/>
    <w:semiHidden/>
    <w:rsid w:val="000000C4"/>
    <w:rPr>
      <w:rFonts w:asciiTheme="majorHAnsi" w:eastAsiaTheme="majorEastAsia" w:hAnsiTheme="majorHAnsi" w:cstheme="majorBidi"/>
      <w:color w:val="365F91" w:themeColor="accent1" w:themeShade="BF"/>
      <w:sz w:val="26"/>
      <w:szCs w:val="26"/>
    </w:rPr>
  </w:style>
  <w:style w:type="paragraph" w:customStyle="1" w:styleId="Text">
    <w:name w:val="Text"/>
    <w:basedOn w:val="Normal"/>
    <w:link w:val="TextChar"/>
    <w:rsid w:val="00D06F46"/>
    <w:pPr>
      <w:tabs>
        <w:tab w:val="right" w:pos="7200"/>
      </w:tabs>
      <w:spacing w:before="240" w:after="120" w:line="260" w:lineRule="exact"/>
      <w:ind w:right="288"/>
      <w:jc w:val="both"/>
    </w:pPr>
    <w:rPr>
      <w:rFonts w:ascii="Times New Roman" w:eastAsia="Times New Roman" w:hAnsi="Times New Roman" w:cs="Times New Roman"/>
      <w:sz w:val="20"/>
      <w:szCs w:val="24"/>
      <w:lang w:val="en-US"/>
    </w:rPr>
  </w:style>
  <w:style w:type="character" w:customStyle="1" w:styleId="TextChar">
    <w:name w:val="Text Char"/>
    <w:basedOn w:val="Standardskriftforavsnitt"/>
    <w:link w:val="Text"/>
    <w:rsid w:val="00D06F46"/>
    <w:rPr>
      <w:rFonts w:ascii="Times New Roman" w:eastAsia="Times New Roman" w:hAnsi="Times New Roman" w:cs="Times New Roman"/>
      <w:sz w:val="20"/>
      <w:szCs w:val="24"/>
      <w:lang w:val="en-US"/>
    </w:rPr>
  </w:style>
  <w:style w:type="paragraph" w:customStyle="1" w:styleId="Referencetext">
    <w:name w:val="Reference text"/>
    <w:basedOn w:val="Normal"/>
    <w:rsid w:val="00032987"/>
    <w:pPr>
      <w:overflowPunct w:val="0"/>
      <w:autoSpaceDE w:val="0"/>
      <w:autoSpaceDN w:val="0"/>
      <w:adjustRightInd w:val="0"/>
      <w:spacing w:after="0" w:line="220" w:lineRule="exact"/>
      <w:ind w:left="284" w:hanging="284"/>
      <w:jc w:val="both"/>
      <w:textAlignment w:val="baseline"/>
    </w:pPr>
    <w:rPr>
      <w:rFonts w:ascii="Times New Roman" w:eastAsia="Times New Roman" w:hAnsi="Times New Roman" w:cs="Times New Roman"/>
      <w:sz w:val="20"/>
      <w:szCs w:val="20"/>
      <w:lang w:val="en-US"/>
    </w:rPr>
  </w:style>
  <w:style w:type="character" w:customStyle="1" w:styleId="Ulstomtale1">
    <w:name w:val="Uløst omtale1"/>
    <w:basedOn w:val="Standardskriftforavsnitt"/>
    <w:uiPriority w:val="99"/>
    <w:semiHidden/>
    <w:unhideWhenUsed/>
    <w:rsid w:val="006416D5"/>
    <w:rPr>
      <w:color w:val="605E5C"/>
      <w:shd w:val="clear" w:color="auto" w:fill="E1DFDD"/>
    </w:rPr>
  </w:style>
  <w:style w:type="character" w:styleId="Merknadsreferanse">
    <w:name w:val="annotation reference"/>
    <w:basedOn w:val="Standardskriftforavsnitt"/>
    <w:uiPriority w:val="99"/>
    <w:semiHidden/>
    <w:unhideWhenUsed/>
    <w:rsid w:val="00B87363"/>
    <w:rPr>
      <w:sz w:val="16"/>
      <w:szCs w:val="16"/>
    </w:rPr>
  </w:style>
  <w:style w:type="paragraph" w:styleId="Merknadstekst">
    <w:name w:val="annotation text"/>
    <w:basedOn w:val="Normal"/>
    <w:link w:val="MerknadstekstTegn"/>
    <w:uiPriority w:val="99"/>
    <w:semiHidden/>
    <w:unhideWhenUsed/>
    <w:rsid w:val="00B8736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87363"/>
    <w:rPr>
      <w:sz w:val="20"/>
      <w:szCs w:val="20"/>
    </w:rPr>
  </w:style>
  <w:style w:type="paragraph" w:styleId="Kommentaremne">
    <w:name w:val="annotation subject"/>
    <w:basedOn w:val="Merknadstekst"/>
    <w:next w:val="Merknadstekst"/>
    <w:link w:val="KommentaremneTegn"/>
    <w:uiPriority w:val="99"/>
    <w:semiHidden/>
    <w:unhideWhenUsed/>
    <w:rsid w:val="00B87363"/>
    <w:rPr>
      <w:b/>
      <w:bCs/>
    </w:rPr>
  </w:style>
  <w:style w:type="character" w:customStyle="1" w:styleId="KommentaremneTegn">
    <w:name w:val="Kommentaremne Tegn"/>
    <w:basedOn w:val="MerknadstekstTegn"/>
    <w:link w:val="Kommentaremne"/>
    <w:uiPriority w:val="99"/>
    <w:semiHidden/>
    <w:rsid w:val="00B873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e.gov.uk/risk/theory/alarp1.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kerbp.com/wp-content/uploads/2020/02/Aker-BP-CMU-2020-web.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se.gov.uk/offshore/circulars/enf3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se.gov.uk/risk/theory/alarp3.htm" TargetMode="Externa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se.gov.uk/risk/theory/alarp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54CD-E333-4E98-80F9-5DED442F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7504</Words>
  <Characters>39776</Characters>
  <Application>Microsoft Office Word</Application>
  <DocSecurity>0</DocSecurity>
  <Lines>331</Lines>
  <Paragraphs>94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47186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2020-08-03T05:01:00Z</dcterms:created>
  <dcterms:modified xsi:type="dcterms:W3CDTF">2020-08-03T11:27:00Z</dcterms:modified>
</cp:coreProperties>
</file>