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D5A70" w14:textId="7069532E" w:rsidR="00806827" w:rsidRPr="00806827" w:rsidRDefault="00806827" w:rsidP="000A6BD0">
      <w:pPr>
        <w:pStyle w:val="Subtitle1"/>
      </w:pPr>
      <w:bookmarkStart w:id="0" w:name="_Toc507764821"/>
      <w:r w:rsidRPr="00806827">
        <w:t>Supplementary Material</w:t>
      </w:r>
    </w:p>
    <w:p w14:paraId="13A8F60A" w14:textId="77777777" w:rsidR="00806827" w:rsidRPr="00806827" w:rsidRDefault="00806827" w:rsidP="00806827">
      <w:pPr>
        <w:pStyle w:val="Subtitle1"/>
      </w:pPr>
      <w:bookmarkStart w:id="1" w:name="_Toc512429824"/>
      <w:r w:rsidRPr="00806827">
        <w:t>References</w:t>
      </w:r>
      <w:bookmarkEnd w:id="1"/>
      <w:r w:rsidRPr="00806827">
        <w:t xml:space="preserve"> – ONLINE ONLY</w:t>
      </w:r>
      <w:bookmarkStart w:id="2" w:name="_GoBack"/>
      <w:bookmarkEnd w:id="2"/>
    </w:p>
    <w:p w14:paraId="53F38784" w14:textId="77777777" w:rsidR="00806827" w:rsidRPr="00806827" w:rsidRDefault="00806827" w:rsidP="00806827">
      <w:pPr>
        <w:pStyle w:val="Bibliography"/>
      </w:pPr>
      <w:r w:rsidRPr="00806827">
        <w:fldChar w:fldCharType="begin"/>
      </w:r>
      <w:r w:rsidRPr="00806827">
        <w:instrText xml:space="preserve"> ADDIN ZOTERO_BIBL {"uncited":[],"omitted":[],"custom":[]} CSL_BIBLIOGRAPHY </w:instrText>
      </w:r>
      <w:r w:rsidRPr="00806827">
        <w:fldChar w:fldCharType="separate"/>
      </w:r>
      <w:r w:rsidRPr="00806827">
        <w:t xml:space="preserve">1. </w:t>
      </w:r>
      <w:r w:rsidRPr="00806827">
        <w:tab/>
        <w:t>World Health Organization. Women’s Health. http://www.who.int/mediacentre/factsheets/fs334/en/ (21 October 2016)</w:t>
      </w:r>
    </w:p>
    <w:p w14:paraId="40A2C166" w14:textId="77777777" w:rsidR="00806827" w:rsidRPr="00806827" w:rsidRDefault="00806827" w:rsidP="00806827">
      <w:pPr>
        <w:pStyle w:val="Bibliography"/>
      </w:pPr>
      <w:r w:rsidRPr="00806827">
        <w:t xml:space="preserve">2. </w:t>
      </w:r>
      <w:r w:rsidRPr="00806827">
        <w:tab/>
        <w:t xml:space="preserve">Mosca L, Benjamin EJ, Berra K, Bezanson JL, Dolor RJ, Lloyd-Jones DM, Newby LK, Piña IL, Roger VL, Shaw LJ, Zhao D, Beckie TM, Bushnell C, D’Armiento J, Kris-Etherton PM, Fang J, Ganiats TG, Gomes AS, Gracia CR, Haan CK, Jackson EA, Judelson DR, Kelepouris E, Lavie CJ, Moore A, Nussmeier NA, Ofili E, Oparil S, Ouyang P, Pinn VW, Sherif K, Smith S, Sopko G, Chandra-Strobos N, Urbina E., Vaccarino V, Wenger N. Effectiveness-based guidelines for the prevention of cardiovascular disease in women--2011 update: a guideline from the american heart association. </w:t>
      </w:r>
      <w:r w:rsidRPr="00806827">
        <w:rPr>
          <w:i/>
          <w:iCs/>
        </w:rPr>
        <w:t>Circulation</w:t>
      </w:r>
      <w:r w:rsidRPr="00806827">
        <w:t xml:space="preserve"> 2011;</w:t>
      </w:r>
      <w:r w:rsidRPr="00806827">
        <w:rPr>
          <w:b/>
          <w:bCs/>
        </w:rPr>
        <w:t>123</w:t>
      </w:r>
      <w:r w:rsidRPr="00806827">
        <w:t xml:space="preserve">:1243–1262. </w:t>
      </w:r>
    </w:p>
    <w:p w14:paraId="3EE235DB" w14:textId="77777777" w:rsidR="00806827" w:rsidRPr="00806827" w:rsidRDefault="00806827" w:rsidP="00806827">
      <w:pPr>
        <w:pStyle w:val="Bibliography"/>
      </w:pPr>
      <w:r w:rsidRPr="00806827">
        <w:t xml:space="preserve">3. </w:t>
      </w:r>
      <w:r w:rsidRPr="00806827">
        <w:tab/>
        <w:t xml:space="preserve">Shaw LJ, Bairey Merz CN, Pepine CJ, Reis SE, Bittner V, Kelsey SF, Olson M, Johnson BD, Mankad S, Sharaf BL, Rogers WJ, Wessel TR, Arant CB, Pohost GM, Lerman A, Quyyumi AA, Sopko G, WISE Investigators. Insights from the NHLBI-Sponsored Women’s Ischemia Syndrome Evaluation (WISE) Study: Part I: gender differences in traditional and novel risk factors, symptom evaluation, and gender-optimized diagnostic strategies. </w:t>
      </w:r>
      <w:r w:rsidRPr="00806827">
        <w:rPr>
          <w:i/>
          <w:iCs/>
        </w:rPr>
        <w:t>J Am Coll Cardiol</w:t>
      </w:r>
      <w:r w:rsidRPr="00806827">
        <w:t xml:space="preserve"> 2006;</w:t>
      </w:r>
      <w:r w:rsidRPr="00806827">
        <w:rPr>
          <w:b/>
          <w:bCs/>
        </w:rPr>
        <w:t>47</w:t>
      </w:r>
      <w:r w:rsidRPr="00806827">
        <w:t xml:space="preserve">:S4–S20. </w:t>
      </w:r>
    </w:p>
    <w:p w14:paraId="0738D732" w14:textId="77777777" w:rsidR="00806827" w:rsidRPr="00806827" w:rsidRDefault="00806827" w:rsidP="00806827">
      <w:pPr>
        <w:pStyle w:val="Bibliography"/>
      </w:pPr>
      <w:r w:rsidRPr="00806827">
        <w:t xml:space="preserve">4. </w:t>
      </w:r>
      <w:r w:rsidRPr="00806827">
        <w:tab/>
        <w:t xml:space="preserve">Goff DC, Lloyd-Jones DM, Bennett G, Coady S, D’Agostino RB, Gibbons R, Greenland P, Lackland DT, Levy D, O’Donnell CJ, Robinson JG, Schwartz JS, Shero ST, Smith SC, Sorlie P, Stone NJ, Wilson PWF, American College of Cardiology/American Heart Association Task Force on Practice Guidelines. 2013 ACC/AHA guideline on the assessment of cardiovascular risk: a report of the American College of Cardiology/American Heart Association Task Force on Practice Guidelines. </w:t>
      </w:r>
      <w:r w:rsidRPr="00806827">
        <w:rPr>
          <w:i/>
          <w:iCs/>
        </w:rPr>
        <w:t>J Am Coll Cardiol</w:t>
      </w:r>
      <w:r w:rsidRPr="00806827">
        <w:t xml:space="preserve"> 2014;</w:t>
      </w:r>
      <w:r w:rsidRPr="00806827">
        <w:rPr>
          <w:b/>
          <w:bCs/>
        </w:rPr>
        <w:t>63</w:t>
      </w:r>
      <w:r w:rsidRPr="00806827">
        <w:t xml:space="preserve">:2935–2959. </w:t>
      </w:r>
    </w:p>
    <w:p w14:paraId="2AA45B54" w14:textId="77777777" w:rsidR="00806827" w:rsidRPr="00806827" w:rsidRDefault="00806827" w:rsidP="00806827">
      <w:pPr>
        <w:pStyle w:val="Bibliography"/>
      </w:pPr>
      <w:r w:rsidRPr="00806827">
        <w:t xml:space="preserve">5. </w:t>
      </w:r>
      <w:r w:rsidRPr="00806827">
        <w:tab/>
        <w:t xml:space="preserve">Greenland P, Alpert JS, Beller GA, Benjamin EJ, Budoff MJ, Fayad ZA, Foster E, Hlatky MA, Hodgson JM, Kushner FG, Lauer MS, Shaw LJ, Smith SC, Taylor AJ, Weintraub WS, Wenger NK, 2010 ACCF/AHA guideline for assessment of cardiovascular risk in asymptomatic adults: a report of the American College of Cardiology Foundation/American Heart Association Task Force on Practice Guidelines. </w:t>
      </w:r>
      <w:r w:rsidRPr="00806827">
        <w:rPr>
          <w:i/>
          <w:iCs/>
        </w:rPr>
        <w:t>J Am Coll Cardiol</w:t>
      </w:r>
      <w:r w:rsidRPr="00806827">
        <w:t xml:space="preserve"> 2010;</w:t>
      </w:r>
      <w:r w:rsidRPr="00806827">
        <w:rPr>
          <w:b/>
          <w:bCs/>
        </w:rPr>
        <w:t>56</w:t>
      </w:r>
      <w:r w:rsidRPr="00806827">
        <w:t xml:space="preserve">:e50-103. </w:t>
      </w:r>
    </w:p>
    <w:p w14:paraId="7E5067E6" w14:textId="77777777" w:rsidR="00806827" w:rsidRPr="00806827" w:rsidRDefault="00806827" w:rsidP="00806827">
      <w:pPr>
        <w:pStyle w:val="Bibliography"/>
      </w:pPr>
      <w:r w:rsidRPr="00806827">
        <w:t xml:space="preserve">6. </w:t>
      </w:r>
      <w:r w:rsidRPr="00806827">
        <w:tab/>
        <w:t xml:space="preserve">Rich-Edwards JW, Fraser A, Lawlor DA, Catov JM. Pregnancy characteristics and women’s future cardiovascular health: an underused opportunity to improve women’s health? </w:t>
      </w:r>
      <w:r w:rsidRPr="00806827">
        <w:rPr>
          <w:i/>
          <w:iCs/>
        </w:rPr>
        <w:t>Epidemiol Rev</w:t>
      </w:r>
      <w:r w:rsidRPr="00806827">
        <w:t xml:space="preserve"> 2014;</w:t>
      </w:r>
      <w:r w:rsidRPr="00806827">
        <w:rPr>
          <w:b/>
          <w:bCs/>
        </w:rPr>
        <w:t>36</w:t>
      </w:r>
      <w:r w:rsidRPr="00806827">
        <w:t xml:space="preserve">:57–70. </w:t>
      </w:r>
    </w:p>
    <w:p w14:paraId="6DAEE035" w14:textId="77777777" w:rsidR="00806827" w:rsidRPr="00806827" w:rsidRDefault="00806827" w:rsidP="00806827">
      <w:pPr>
        <w:pStyle w:val="Bibliography"/>
      </w:pPr>
      <w:r w:rsidRPr="00806827">
        <w:t xml:space="preserve">7. </w:t>
      </w:r>
      <w:r w:rsidRPr="00806827">
        <w:tab/>
        <w:t xml:space="preserve">Sattar N. Do pregnancy complications and CVD share common antecedents? </w:t>
      </w:r>
      <w:r w:rsidRPr="00806827">
        <w:rPr>
          <w:i/>
          <w:iCs/>
        </w:rPr>
        <w:t>Atheroscler Suppl</w:t>
      </w:r>
      <w:r w:rsidRPr="00806827">
        <w:t xml:space="preserve"> 2004;</w:t>
      </w:r>
      <w:r w:rsidRPr="00806827">
        <w:rPr>
          <w:b/>
          <w:bCs/>
        </w:rPr>
        <w:t>5</w:t>
      </w:r>
      <w:r w:rsidRPr="00806827">
        <w:t xml:space="preserve">:3–7. </w:t>
      </w:r>
    </w:p>
    <w:p w14:paraId="68DC429E" w14:textId="77777777" w:rsidR="00806827" w:rsidRPr="00806827" w:rsidRDefault="00806827" w:rsidP="00806827">
      <w:pPr>
        <w:pStyle w:val="Bibliography"/>
      </w:pPr>
      <w:r w:rsidRPr="00806827">
        <w:lastRenderedPageBreak/>
        <w:t xml:space="preserve">8. </w:t>
      </w:r>
      <w:r w:rsidRPr="00806827">
        <w:tab/>
        <w:t xml:space="preserve">Bellamy L, Casas J-P, Hingorani AD, Williams DJ. Pre-eclampsia and risk of cardiovascular disease and cancer in later life: systematic review and meta-analysis. </w:t>
      </w:r>
      <w:r w:rsidRPr="00806827">
        <w:rPr>
          <w:i/>
          <w:iCs/>
        </w:rPr>
        <w:t>BMJ</w:t>
      </w:r>
      <w:r w:rsidRPr="00806827">
        <w:t xml:space="preserve"> 2007;</w:t>
      </w:r>
      <w:r w:rsidRPr="00806827">
        <w:rPr>
          <w:b/>
          <w:bCs/>
        </w:rPr>
        <w:t>335</w:t>
      </w:r>
      <w:r w:rsidRPr="00806827">
        <w:t xml:space="preserve">:974. </w:t>
      </w:r>
    </w:p>
    <w:p w14:paraId="64F4A0DB" w14:textId="77777777" w:rsidR="00806827" w:rsidRPr="00806827" w:rsidRDefault="00806827" w:rsidP="00806827">
      <w:pPr>
        <w:pStyle w:val="Bibliography"/>
      </w:pPr>
      <w:r w:rsidRPr="00806827">
        <w:t xml:space="preserve">9. </w:t>
      </w:r>
      <w:r w:rsidRPr="00806827">
        <w:tab/>
        <w:t xml:space="preserve">McDonald SD, Malinowski A, Zhou Q, Yusuf S, Devereaux PJ. Cardiovascular sequelae of preeclampsia/eclampsia: a systematic review and meta-analyses. </w:t>
      </w:r>
      <w:r w:rsidRPr="00806827">
        <w:rPr>
          <w:i/>
          <w:iCs/>
        </w:rPr>
        <w:t>Am Heart J</w:t>
      </w:r>
      <w:r w:rsidRPr="00806827">
        <w:t xml:space="preserve"> 2008;</w:t>
      </w:r>
      <w:r w:rsidRPr="00806827">
        <w:rPr>
          <w:b/>
          <w:bCs/>
        </w:rPr>
        <w:t>156</w:t>
      </w:r>
      <w:r w:rsidRPr="00806827">
        <w:t xml:space="preserve">:918–930. </w:t>
      </w:r>
    </w:p>
    <w:p w14:paraId="17CBDC42" w14:textId="77777777" w:rsidR="00806827" w:rsidRPr="00806827" w:rsidRDefault="00806827" w:rsidP="00806827">
      <w:pPr>
        <w:pStyle w:val="Bibliography"/>
      </w:pPr>
      <w:r w:rsidRPr="00806827">
        <w:t xml:space="preserve">10. </w:t>
      </w:r>
      <w:r w:rsidRPr="00806827">
        <w:tab/>
        <w:t xml:space="preserve">Tooher J, Thornton C, Makris A, Ogle R, Korda A, Hennessy A. All Hypertensive Disorders of Pregnancy Increase the Risk of Future Cardiovascular Disease. </w:t>
      </w:r>
      <w:r w:rsidRPr="00806827">
        <w:rPr>
          <w:i/>
          <w:iCs/>
        </w:rPr>
        <w:t>Hypertension</w:t>
      </w:r>
      <w:r w:rsidRPr="00806827">
        <w:t xml:space="preserve"> 2017;HYPERTENSIONAHA.117.09246. </w:t>
      </w:r>
    </w:p>
    <w:p w14:paraId="02CD9CA2" w14:textId="77777777" w:rsidR="00806827" w:rsidRPr="00806827" w:rsidRDefault="00806827" w:rsidP="00806827">
      <w:pPr>
        <w:pStyle w:val="Bibliography"/>
      </w:pPr>
      <w:r w:rsidRPr="00806827">
        <w:t xml:space="preserve">11. </w:t>
      </w:r>
      <w:r w:rsidRPr="00806827">
        <w:tab/>
        <w:t xml:space="preserve">Robbins CL, Hutchings Y, Dietz PM, Kuklina EV, Callaghan WM. History of preterm birth and subsequent cardiovascular disease: a systematic review. </w:t>
      </w:r>
      <w:r w:rsidRPr="00806827">
        <w:rPr>
          <w:i/>
          <w:iCs/>
        </w:rPr>
        <w:t>Am J Obstet Gynecol</w:t>
      </w:r>
      <w:r w:rsidRPr="00806827">
        <w:t xml:space="preserve"> 2014;</w:t>
      </w:r>
      <w:r w:rsidRPr="00806827">
        <w:rPr>
          <w:b/>
          <w:bCs/>
        </w:rPr>
        <w:t>210</w:t>
      </w:r>
      <w:r w:rsidRPr="00806827">
        <w:t xml:space="preserve">:285–297. </w:t>
      </w:r>
    </w:p>
    <w:p w14:paraId="24FE9F5C" w14:textId="77777777" w:rsidR="00806827" w:rsidRPr="00806827" w:rsidRDefault="00806827" w:rsidP="00806827">
      <w:pPr>
        <w:pStyle w:val="Bibliography"/>
      </w:pPr>
      <w:r w:rsidRPr="00806827">
        <w:t xml:space="preserve">12. </w:t>
      </w:r>
      <w:r w:rsidRPr="00806827">
        <w:tab/>
        <w:t xml:space="preserve">Wu P, Gulati M, Kwok CS, Wong CW, Narain A, O’Brien S, Chew‐Graham CA, Verma G, Kadam UT, Mamas MA. Preterm Delivery and Future Risk of Maternal Cardiovascular Disease: A Systematic Review and Meta‐Analysis. </w:t>
      </w:r>
      <w:r w:rsidRPr="00806827">
        <w:rPr>
          <w:i/>
          <w:iCs/>
        </w:rPr>
        <w:t>Journal of the American Heart Association</w:t>
      </w:r>
      <w:r w:rsidRPr="00806827">
        <w:t xml:space="preserve"> 2018;</w:t>
      </w:r>
      <w:r w:rsidRPr="00806827">
        <w:rPr>
          <w:b/>
          <w:bCs/>
        </w:rPr>
        <w:t>7</w:t>
      </w:r>
      <w:r w:rsidRPr="00806827">
        <w:t xml:space="preserve">:e007809. </w:t>
      </w:r>
    </w:p>
    <w:p w14:paraId="57346237" w14:textId="77777777" w:rsidR="00806827" w:rsidRPr="00806827" w:rsidRDefault="00806827" w:rsidP="00806827">
      <w:pPr>
        <w:pStyle w:val="Bibliography"/>
      </w:pPr>
      <w:r w:rsidRPr="00806827">
        <w:t xml:space="preserve">13. </w:t>
      </w:r>
      <w:r w:rsidRPr="00806827">
        <w:tab/>
        <w:t xml:space="preserve">Morken N-H, Halland F, DeRoo L, Wilcox A, Skjærven R. Offspring birthweight by gestational age and parental cardiovascular mortality: a population-based cohort study. </w:t>
      </w:r>
      <w:r w:rsidRPr="00806827">
        <w:rPr>
          <w:i/>
          <w:iCs/>
        </w:rPr>
        <w:t>BJOG: Int J Obstet Gy</w:t>
      </w:r>
      <w:r w:rsidRPr="00806827">
        <w:t xml:space="preserve"> 2017;n/a-n/a. </w:t>
      </w:r>
    </w:p>
    <w:p w14:paraId="0FA8C800" w14:textId="77777777" w:rsidR="00806827" w:rsidRPr="00806827" w:rsidRDefault="00806827" w:rsidP="00806827">
      <w:pPr>
        <w:pStyle w:val="Bibliography"/>
      </w:pPr>
      <w:r w:rsidRPr="00806827">
        <w:t xml:space="preserve">14. </w:t>
      </w:r>
      <w:r w:rsidRPr="00806827">
        <w:tab/>
        <w:t xml:space="preserve">Lykke JA, Paidas MJ, Triche EW, Langhoff-Roos J. Fetal growth and later maternal death, cardiovascular disease and diabetes. </w:t>
      </w:r>
      <w:r w:rsidRPr="00806827">
        <w:rPr>
          <w:i/>
          <w:iCs/>
        </w:rPr>
        <w:t>Acta Obstet Gynecol Scand</w:t>
      </w:r>
      <w:r w:rsidRPr="00806827">
        <w:t xml:space="preserve"> 2012;</w:t>
      </w:r>
      <w:r w:rsidRPr="00806827">
        <w:rPr>
          <w:b/>
          <w:bCs/>
        </w:rPr>
        <w:t>91</w:t>
      </w:r>
      <w:r w:rsidRPr="00806827">
        <w:t xml:space="preserve">:503–510. </w:t>
      </w:r>
    </w:p>
    <w:p w14:paraId="590D70AE" w14:textId="77777777" w:rsidR="00806827" w:rsidRPr="00806827" w:rsidRDefault="00806827" w:rsidP="00806827">
      <w:pPr>
        <w:pStyle w:val="Bibliography"/>
      </w:pPr>
      <w:r w:rsidRPr="00806827">
        <w:t xml:space="preserve">15. </w:t>
      </w:r>
      <w:r w:rsidRPr="00806827">
        <w:tab/>
        <w:t xml:space="preserve">Li C-Y, Chen H-F, Sung F-C, Chen C-C, Lu T-H, Yang C-H, Ko M-C. Offspring birth weight and parental cardiovascular mortality. </w:t>
      </w:r>
      <w:r w:rsidRPr="00806827">
        <w:rPr>
          <w:i/>
          <w:iCs/>
        </w:rPr>
        <w:t>Int J Epidemiol</w:t>
      </w:r>
      <w:r w:rsidRPr="00806827">
        <w:t xml:space="preserve"> 2010;</w:t>
      </w:r>
      <w:r w:rsidRPr="00806827">
        <w:rPr>
          <w:b/>
          <w:bCs/>
        </w:rPr>
        <w:t>39</w:t>
      </w:r>
      <w:r w:rsidRPr="00806827">
        <w:t xml:space="preserve">:1082–1090. </w:t>
      </w:r>
    </w:p>
    <w:p w14:paraId="73A8A464" w14:textId="77777777" w:rsidR="00806827" w:rsidRPr="00806827" w:rsidRDefault="00806827" w:rsidP="00806827">
      <w:pPr>
        <w:pStyle w:val="Bibliography"/>
      </w:pPr>
      <w:r w:rsidRPr="00806827">
        <w:t xml:space="preserve">16. </w:t>
      </w:r>
      <w:r w:rsidRPr="00806827">
        <w:tab/>
        <w:t xml:space="preserve">Regitz-Zagrosek V, Roos-Hesselink JW, Bauersachs J, Blomström-Lundqvist C, Cífková R, De Bonis M, Iung B, Johnson MR, Kintscher U, Kranke P, Lang IM, Morais J, Pieper PG, Presbitero P, Price S, Rosano GMC, Seeland U, Simoncini T, Swan L, Warnes CA, ESC Scientific Document Group. 2018 ESC Guidelines for the management of cardiovascular diseases during pregnancy. </w:t>
      </w:r>
      <w:r w:rsidRPr="00806827">
        <w:rPr>
          <w:i/>
          <w:iCs/>
        </w:rPr>
        <w:t>Eur Heart J</w:t>
      </w:r>
      <w:r w:rsidRPr="00806827">
        <w:t xml:space="preserve"> 2018;</w:t>
      </w:r>
      <w:r w:rsidRPr="00806827">
        <w:rPr>
          <w:b/>
          <w:bCs/>
        </w:rPr>
        <w:t>39</w:t>
      </w:r>
      <w:r w:rsidRPr="00806827">
        <w:t xml:space="preserve">:3165–3241. </w:t>
      </w:r>
    </w:p>
    <w:p w14:paraId="27B780B9" w14:textId="77777777" w:rsidR="00806827" w:rsidRPr="00806827" w:rsidRDefault="00806827" w:rsidP="00806827">
      <w:pPr>
        <w:pStyle w:val="Bibliography"/>
      </w:pPr>
      <w:r w:rsidRPr="00806827">
        <w:t xml:space="preserve">17. </w:t>
      </w:r>
      <w:r w:rsidRPr="00806827">
        <w:tab/>
        <w:t xml:space="preserve">Piepoli MF, Hoes AW, Agewall S, Albus C, Brotons C, Catapano AL, Cooney M-T, Corrà U, Cosyns B, Deaton C, Graham I, Hall MS, Hobbs FDR, Løchen M-L, Löllgen H, Marques-Vidal P, Perk J, Prescott E, Redon J, Richter DJ, Sattar N, Smulders Y, Tiberi M, Worp HB van der, Dis I van, Verschuren WMM. 2016 European Guidelines on cardiovascular disease prevention in clinical practice. </w:t>
      </w:r>
      <w:r w:rsidRPr="00806827">
        <w:rPr>
          <w:i/>
          <w:iCs/>
        </w:rPr>
        <w:t>Eur Heart J</w:t>
      </w:r>
      <w:r w:rsidRPr="00806827">
        <w:t xml:space="preserve"> 2016;</w:t>
      </w:r>
      <w:r w:rsidRPr="00806827">
        <w:rPr>
          <w:b/>
          <w:bCs/>
        </w:rPr>
        <w:t>37</w:t>
      </w:r>
      <w:r w:rsidRPr="00806827">
        <w:t xml:space="preserve">:2315–2381. </w:t>
      </w:r>
    </w:p>
    <w:p w14:paraId="45D1FE5E" w14:textId="77777777" w:rsidR="00806827" w:rsidRPr="00806827" w:rsidRDefault="00806827" w:rsidP="00806827">
      <w:pPr>
        <w:pStyle w:val="Bibliography"/>
      </w:pPr>
      <w:r w:rsidRPr="00806827">
        <w:t xml:space="preserve">18. </w:t>
      </w:r>
      <w:r w:rsidRPr="00806827">
        <w:tab/>
        <w:t xml:space="preserve">Timpka S, Fraser A, Schyman T, Stuart JJ, Åsvold BO, Mogren I, Franks PW, Rich-Edwards JW. The value of pregnancy complication history for 10-year cardiovascular disease risk prediction in middle-aged women. </w:t>
      </w:r>
      <w:r w:rsidRPr="00806827">
        <w:rPr>
          <w:i/>
          <w:iCs/>
        </w:rPr>
        <w:t>Eur J Epidemiol</w:t>
      </w:r>
      <w:r w:rsidRPr="00806827">
        <w:t xml:space="preserve"> 2018;</w:t>
      </w:r>
      <w:r w:rsidRPr="00806827">
        <w:rPr>
          <w:b/>
          <w:bCs/>
        </w:rPr>
        <w:t>33</w:t>
      </w:r>
      <w:r w:rsidRPr="00806827">
        <w:t xml:space="preserve">:1003–1010. </w:t>
      </w:r>
    </w:p>
    <w:p w14:paraId="241828BA" w14:textId="77777777" w:rsidR="00806827" w:rsidRPr="00806827" w:rsidRDefault="00806827" w:rsidP="00806827">
      <w:pPr>
        <w:pStyle w:val="Bibliography"/>
      </w:pPr>
      <w:r w:rsidRPr="00806827">
        <w:lastRenderedPageBreak/>
        <w:t xml:space="preserve">19. </w:t>
      </w:r>
      <w:r w:rsidRPr="00806827">
        <w:tab/>
        <w:t xml:space="preserve">Stuart JJ, Tanz LJ, Cook NR, Spiegelman D, Missmer SA, Rimm EB, Rexrode KM, Mukamal KJ, Rich-Edwards JW. Hypertensive Disorders of Pregnancy and 10-Year Cardiovascular Risk Prediction. </w:t>
      </w:r>
      <w:r w:rsidRPr="00806827">
        <w:rPr>
          <w:i/>
          <w:iCs/>
        </w:rPr>
        <w:t>J Am Coll Cardiol</w:t>
      </w:r>
      <w:r w:rsidRPr="00806827">
        <w:t xml:space="preserve"> 2018;</w:t>
      </w:r>
      <w:r w:rsidRPr="00806827">
        <w:rPr>
          <w:b/>
          <w:bCs/>
        </w:rPr>
        <w:t>72</w:t>
      </w:r>
      <w:r w:rsidRPr="00806827">
        <w:t xml:space="preserve">:1252–1263. </w:t>
      </w:r>
    </w:p>
    <w:p w14:paraId="4DDF3379" w14:textId="77777777" w:rsidR="00806827" w:rsidRPr="00806827" w:rsidRDefault="00806827" w:rsidP="00806827">
      <w:pPr>
        <w:pStyle w:val="Bibliography"/>
      </w:pPr>
      <w:r w:rsidRPr="00806827">
        <w:t xml:space="preserve">20. </w:t>
      </w:r>
      <w:r w:rsidRPr="00806827">
        <w:tab/>
        <w:t xml:space="preserve">Selmer R, Igland J, Ariansen I, Tverdal A, Njølstad I, Furu K, Tell GS, Klemsdal TO. NORRISK 2: A Norwegian risk model for acute cerebral stroke and myocardial infarction. </w:t>
      </w:r>
      <w:r w:rsidRPr="00806827">
        <w:rPr>
          <w:i/>
          <w:iCs/>
        </w:rPr>
        <w:t>Eur J Prev Cardiol</w:t>
      </w:r>
      <w:r w:rsidRPr="00806827">
        <w:t xml:space="preserve"> 2017;</w:t>
      </w:r>
      <w:r w:rsidRPr="00806827">
        <w:rPr>
          <w:b/>
          <w:bCs/>
        </w:rPr>
        <w:t>24</w:t>
      </w:r>
      <w:r w:rsidRPr="00806827">
        <w:t xml:space="preserve">:773–782. </w:t>
      </w:r>
    </w:p>
    <w:p w14:paraId="06C682E0" w14:textId="77777777" w:rsidR="00806827" w:rsidRPr="00806827" w:rsidRDefault="00806827" w:rsidP="00806827">
      <w:pPr>
        <w:pStyle w:val="Bibliography"/>
      </w:pPr>
      <w:r w:rsidRPr="00806827">
        <w:t xml:space="preserve">21. </w:t>
      </w:r>
      <w:r w:rsidRPr="00806827">
        <w:tab/>
        <w:t>Nasjonal faglig retningslinje for forebygging av hjerte- og karsykdom. Helsedirektoratet.no. https://helsedirektoratet.no/retningslinjer/forebygging-av-hjerte-og-karsykdom (17 May 2018)</w:t>
      </w:r>
    </w:p>
    <w:p w14:paraId="08977DA8" w14:textId="77777777" w:rsidR="00806827" w:rsidRPr="00806827" w:rsidRDefault="00806827" w:rsidP="00806827">
      <w:pPr>
        <w:pStyle w:val="Bibliography"/>
      </w:pPr>
      <w:r w:rsidRPr="00806827">
        <w:t xml:space="preserve">22. </w:t>
      </w:r>
      <w:r w:rsidRPr="00806827">
        <w:tab/>
        <w:t xml:space="preserve">Krokstad S, Langhammer A, Hveem K, Holmen TL, Midthjell K, Stene TR, Bratberg G, Heggland J, Holmen J. Cohort Profile: The HUNT Study, Norway. </w:t>
      </w:r>
      <w:r w:rsidRPr="00806827">
        <w:rPr>
          <w:i/>
          <w:iCs/>
        </w:rPr>
        <w:t>Int J Epidemiol</w:t>
      </w:r>
      <w:r w:rsidRPr="00806827">
        <w:t xml:space="preserve"> 2013;</w:t>
      </w:r>
      <w:r w:rsidRPr="00806827">
        <w:rPr>
          <w:b/>
          <w:bCs/>
        </w:rPr>
        <w:t>42</w:t>
      </w:r>
      <w:r w:rsidRPr="00806827">
        <w:t xml:space="preserve">:968–977. </w:t>
      </w:r>
    </w:p>
    <w:p w14:paraId="36BC44F0" w14:textId="77777777" w:rsidR="00806827" w:rsidRPr="00806827" w:rsidRDefault="00806827" w:rsidP="00806827">
      <w:pPr>
        <w:pStyle w:val="Bibliography"/>
      </w:pPr>
      <w:r w:rsidRPr="00806827">
        <w:t xml:space="preserve">23. </w:t>
      </w:r>
      <w:r w:rsidRPr="00806827">
        <w:tab/>
        <w:t xml:space="preserve">Holmen J, Midthjell K, Bjartveit K, Hjort PF, Lund-Larsen PG. The Nord-Trøndelag health Survey 1984-1986. Purpose, background and methods. Participation, non-participation and frequency distributions. Verdal: Senter for samfunnsmedisinsk forskning, Statens Institutt for folkehelse(SIFF). Helsetjenesteforskning; 1990 p. 1–257. Report No.: 4. </w:t>
      </w:r>
    </w:p>
    <w:p w14:paraId="6FAD79C9" w14:textId="77777777" w:rsidR="00806827" w:rsidRPr="00806827" w:rsidRDefault="00806827" w:rsidP="00806827">
      <w:pPr>
        <w:pStyle w:val="Bibliography"/>
      </w:pPr>
      <w:r w:rsidRPr="00806827">
        <w:t xml:space="preserve">24. </w:t>
      </w:r>
      <w:r w:rsidRPr="00806827">
        <w:tab/>
        <w:t xml:space="preserve">Holmen J, Midthjell K, Krüger Ø, Langhammer A, Holmen TL, Bratberg GH, Vatten L, Lund-Larsen PG. The Nord-Trøndelag Health Study 1995-97 (HUNT 2): Objectives, contents, methods and participation. </w:t>
      </w:r>
      <w:r w:rsidRPr="00806827">
        <w:rPr>
          <w:i/>
          <w:iCs/>
        </w:rPr>
        <w:t>Norsk Epidemiologi</w:t>
      </w:r>
      <w:r w:rsidRPr="00806827">
        <w:t xml:space="preserve"> 2003;</w:t>
      </w:r>
      <w:r w:rsidRPr="00806827">
        <w:rPr>
          <w:b/>
          <w:bCs/>
        </w:rPr>
        <w:t>13</w:t>
      </w:r>
      <w:r w:rsidRPr="00806827">
        <w:t xml:space="preserve">:19–32. </w:t>
      </w:r>
    </w:p>
    <w:p w14:paraId="6D26029C" w14:textId="77777777" w:rsidR="00806827" w:rsidRPr="00806827" w:rsidRDefault="00806827" w:rsidP="00806827">
      <w:pPr>
        <w:pStyle w:val="Bibliography"/>
      </w:pPr>
      <w:r w:rsidRPr="00806827">
        <w:t xml:space="preserve">25. </w:t>
      </w:r>
      <w:r w:rsidRPr="00806827">
        <w:tab/>
        <w:t xml:space="preserve">Irgens LM. The Medical Birth Registry of Norway. Epidemiological research and surveillance throughout 30 years. </w:t>
      </w:r>
      <w:r w:rsidRPr="00806827">
        <w:rPr>
          <w:i/>
          <w:iCs/>
        </w:rPr>
        <w:t>Acta Obstet Gynecol Scand</w:t>
      </w:r>
      <w:r w:rsidRPr="00806827">
        <w:t xml:space="preserve"> 2000;</w:t>
      </w:r>
      <w:r w:rsidRPr="00806827">
        <w:rPr>
          <w:b/>
          <w:bCs/>
        </w:rPr>
        <w:t>79</w:t>
      </w:r>
      <w:r w:rsidRPr="00806827">
        <w:t xml:space="preserve">:435–439. </w:t>
      </w:r>
    </w:p>
    <w:p w14:paraId="663F1EC5" w14:textId="77777777" w:rsidR="00806827" w:rsidRPr="00806827" w:rsidRDefault="00806827" w:rsidP="00806827">
      <w:pPr>
        <w:pStyle w:val="Bibliography"/>
      </w:pPr>
      <w:r w:rsidRPr="00806827">
        <w:t xml:space="preserve">26. </w:t>
      </w:r>
      <w:r w:rsidRPr="00806827">
        <w:tab/>
        <w:t xml:space="preserve">Thomsen LCV, Klungsøyr K, Roten LT, Tappert C, Araya E, Baerheim G, Tollaksen K, Fenstad MH, Macsali F, Austgulen R, Bjørge L. Validity of the diagnosis of pre-eclampsia in the Medical Birth Registry of Norway. </w:t>
      </w:r>
      <w:r w:rsidRPr="00806827">
        <w:rPr>
          <w:i/>
          <w:iCs/>
        </w:rPr>
        <w:t>Acta Obstet Gynecol Scand</w:t>
      </w:r>
      <w:r w:rsidRPr="00806827">
        <w:t xml:space="preserve"> 2013;</w:t>
      </w:r>
      <w:r w:rsidRPr="00806827">
        <w:rPr>
          <w:b/>
          <w:bCs/>
        </w:rPr>
        <w:t>92</w:t>
      </w:r>
      <w:r w:rsidRPr="00806827">
        <w:t xml:space="preserve">:943–950. </w:t>
      </w:r>
    </w:p>
    <w:p w14:paraId="1E8C4E66" w14:textId="77777777" w:rsidR="00806827" w:rsidRPr="00806827" w:rsidRDefault="00806827" w:rsidP="00806827">
      <w:pPr>
        <w:pStyle w:val="Bibliography"/>
      </w:pPr>
      <w:r w:rsidRPr="00806827">
        <w:t xml:space="preserve">27. </w:t>
      </w:r>
      <w:r w:rsidRPr="00806827">
        <w:tab/>
        <w:t xml:space="preserve">American College of Obstetricians and Gynecologists, Task Force on Hypertension in Pregnancy. Hypertension in pregnancy. Report of the American College of Obstetricians and Gynecologists’ Task Force on Hypertension in Pregnancy. </w:t>
      </w:r>
      <w:r w:rsidRPr="00806827">
        <w:rPr>
          <w:i/>
          <w:iCs/>
        </w:rPr>
        <w:t>Obstet Gynecol</w:t>
      </w:r>
      <w:r w:rsidRPr="00806827">
        <w:t xml:space="preserve"> 2013;</w:t>
      </w:r>
      <w:r w:rsidRPr="00806827">
        <w:rPr>
          <w:b/>
          <w:bCs/>
        </w:rPr>
        <w:t>122</w:t>
      </w:r>
      <w:r w:rsidRPr="00806827">
        <w:t xml:space="preserve">:1122–1131. </w:t>
      </w:r>
    </w:p>
    <w:p w14:paraId="07A868F0" w14:textId="77777777" w:rsidR="00806827" w:rsidRPr="00806827" w:rsidRDefault="00806827" w:rsidP="00806827">
      <w:pPr>
        <w:pStyle w:val="Bibliography"/>
      </w:pPr>
      <w:r w:rsidRPr="00806827">
        <w:t xml:space="preserve">28. </w:t>
      </w:r>
      <w:r w:rsidRPr="00806827">
        <w:tab/>
        <w:t xml:space="preserve">Skjaerven R, Gjessing HK, Bakketeig LS. Birthweight by gestational age in Norway. </w:t>
      </w:r>
      <w:r w:rsidRPr="00806827">
        <w:rPr>
          <w:i/>
          <w:iCs/>
        </w:rPr>
        <w:t>Acta Obstet Gynecol Scand</w:t>
      </w:r>
      <w:r w:rsidRPr="00806827">
        <w:t xml:space="preserve"> 2000;</w:t>
      </w:r>
      <w:r w:rsidRPr="00806827">
        <w:rPr>
          <w:b/>
          <w:bCs/>
        </w:rPr>
        <w:t>79</w:t>
      </w:r>
      <w:r w:rsidRPr="00806827">
        <w:t xml:space="preserve">:440–449. </w:t>
      </w:r>
    </w:p>
    <w:p w14:paraId="62CE7668" w14:textId="77777777" w:rsidR="00806827" w:rsidRPr="00806827" w:rsidRDefault="00806827" w:rsidP="00806827">
      <w:pPr>
        <w:pStyle w:val="Bibliography"/>
      </w:pPr>
      <w:r w:rsidRPr="00806827">
        <w:t xml:space="preserve">29. </w:t>
      </w:r>
      <w:r w:rsidRPr="00806827">
        <w:tab/>
        <w:t xml:space="preserve">Moth FN, Sebastian TR, Horn J, Rich-Edwards J, Romundstad PR, Åsvold BO. Validity of a selection of pregnancy complications in the Medical Birth Registry of Norway. </w:t>
      </w:r>
      <w:r w:rsidRPr="00806827">
        <w:rPr>
          <w:i/>
          <w:iCs/>
        </w:rPr>
        <w:t>Acta Obstet Gynecol Scand</w:t>
      </w:r>
      <w:r w:rsidRPr="00806827">
        <w:t xml:space="preserve"> 2016;</w:t>
      </w:r>
      <w:r w:rsidRPr="00806827">
        <w:rPr>
          <w:b/>
          <w:bCs/>
        </w:rPr>
        <w:t>95</w:t>
      </w:r>
      <w:r w:rsidRPr="00806827">
        <w:t xml:space="preserve">:519–527. </w:t>
      </w:r>
    </w:p>
    <w:p w14:paraId="25A16EF7" w14:textId="77777777" w:rsidR="00806827" w:rsidRPr="00806827" w:rsidRDefault="00806827" w:rsidP="00806827">
      <w:pPr>
        <w:pStyle w:val="Bibliography"/>
      </w:pPr>
      <w:r w:rsidRPr="00806827">
        <w:t xml:space="preserve">30. </w:t>
      </w:r>
      <w:r w:rsidRPr="00806827">
        <w:tab/>
        <w:t xml:space="preserve">Thygesen K, Alpert JS, Jaffe AS, Simoons ML, Chaitman BR, White HD. Third Universal Definition of Myocardial Infarction. </w:t>
      </w:r>
      <w:r w:rsidRPr="00806827">
        <w:rPr>
          <w:i/>
          <w:iCs/>
        </w:rPr>
        <w:t>Circulation</w:t>
      </w:r>
      <w:r w:rsidRPr="00806827">
        <w:t xml:space="preserve"> 2012;</w:t>
      </w:r>
      <w:r w:rsidRPr="00806827">
        <w:rPr>
          <w:b/>
          <w:bCs/>
        </w:rPr>
        <w:t>126</w:t>
      </w:r>
      <w:r w:rsidRPr="00806827">
        <w:t xml:space="preserve">:2020–2035. </w:t>
      </w:r>
    </w:p>
    <w:p w14:paraId="3D2AC4E2" w14:textId="77777777" w:rsidR="00806827" w:rsidRPr="00806827" w:rsidRDefault="00806827" w:rsidP="00806827">
      <w:pPr>
        <w:pStyle w:val="Bibliography"/>
      </w:pPr>
      <w:r w:rsidRPr="00806827">
        <w:lastRenderedPageBreak/>
        <w:t xml:space="preserve">31. </w:t>
      </w:r>
      <w:r w:rsidRPr="00806827">
        <w:tab/>
        <w:t xml:space="preserve">Fine JP, Gray RJ. A Proportional Hazards Model for the Subdistribution of a Competing Risk. </w:t>
      </w:r>
      <w:r w:rsidRPr="00806827">
        <w:rPr>
          <w:i/>
          <w:iCs/>
        </w:rPr>
        <w:t>Journal of the American Statistical Association</w:t>
      </w:r>
      <w:r w:rsidRPr="00806827">
        <w:t xml:space="preserve"> 1999;</w:t>
      </w:r>
      <w:r w:rsidRPr="00806827">
        <w:rPr>
          <w:b/>
          <w:bCs/>
        </w:rPr>
        <w:t>94</w:t>
      </w:r>
      <w:r w:rsidRPr="00806827">
        <w:t xml:space="preserve">:496–509. </w:t>
      </w:r>
    </w:p>
    <w:p w14:paraId="2CCFF30F" w14:textId="77777777" w:rsidR="00806827" w:rsidRPr="00806827" w:rsidRDefault="00806827" w:rsidP="00806827">
      <w:pPr>
        <w:pStyle w:val="Bibliography"/>
      </w:pPr>
      <w:r w:rsidRPr="00806827">
        <w:t xml:space="preserve">32. </w:t>
      </w:r>
      <w:r w:rsidRPr="00806827">
        <w:tab/>
        <w:t xml:space="preserve">Lin DY, Wei LJ. The Robust Inference for the Cox Proportional Hazards Model. </w:t>
      </w:r>
      <w:r w:rsidRPr="00806827">
        <w:rPr>
          <w:i/>
          <w:iCs/>
        </w:rPr>
        <w:t>Journal of the American Statistical Association</w:t>
      </w:r>
      <w:r w:rsidRPr="00806827">
        <w:t xml:space="preserve"> 1989;</w:t>
      </w:r>
      <w:r w:rsidRPr="00806827">
        <w:rPr>
          <w:b/>
          <w:bCs/>
        </w:rPr>
        <w:t>84</w:t>
      </w:r>
      <w:r w:rsidRPr="00806827">
        <w:t xml:space="preserve">:1074–1078. </w:t>
      </w:r>
    </w:p>
    <w:p w14:paraId="40AC61F0" w14:textId="77777777" w:rsidR="00806827" w:rsidRPr="00806827" w:rsidRDefault="00806827" w:rsidP="00806827">
      <w:pPr>
        <w:pStyle w:val="Bibliography"/>
      </w:pPr>
      <w:r w:rsidRPr="00806827">
        <w:t xml:space="preserve">33. </w:t>
      </w:r>
      <w:r w:rsidRPr="00806827">
        <w:tab/>
        <w:t xml:space="preserve">Hlatky MA, Greenland P, Arnett DK, Ballantyne CM, Criqui MH, Elkind MSV, Go AS, Harrell FE, Hong Y, Howard BV, Howard VJ, Hsue PY, Kramer CM, McConnell JP, Normand S-LT, O’Donnell CJ, Smith SC, Wilson PWF, American Heart Association Expert Panel on Subclinical Atherosclerotic Diseases and Emerging Risk Factors and the Stroke Council. Criteria for evaluation of novel markers of cardiovascular risk: a scientific statement from the American Heart Association. </w:t>
      </w:r>
      <w:r w:rsidRPr="00806827">
        <w:rPr>
          <w:i/>
          <w:iCs/>
        </w:rPr>
        <w:t>Circulation</w:t>
      </w:r>
      <w:r w:rsidRPr="00806827">
        <w:t xml:space="preserve"> 2009;</w:t>
      </w:r>
      <w:r w:rsidRPr="00806827">
        <w:rPr>
          <w:b/>
          <w:bCs/>
        </w:rPr>
        <w:t>119</w:t>
      </w:r>
      <w:r w:rsidRPr="00806827">
        <w:t xml:space="preserve">:2408–2416. </w:t>
      </w:r>
    </w:p>
    <w:p w14:paraId="303605B6" w14:textId="77777777" w:rsidR="00806827" w:rsidRPr="00806827" w:rsidRDefault="00806827" w:rsidP="00806827">
      <w:pPr>
        <w:pStyle w:val="Bibliography"/>
      </w:pPr>
      <w:r w:rsidRPr="00806827">
        <w:t xml:space="preserve">34. </w:t>
      </w:r>
      <w:r w:rsidRPr="00806827">
        <w:tab/>
        <w:t xml:space="preserve">Demler OV, Paynter NP, Cook NR. Tests of calibration and goodness-of-fit in the survival setting. </w:t>
      </w:r>
      <w:r w:rsidRPr="00806827">
        <w:rPr>
          <w:i/>
          <w:iCs/>
        </w:rPr>
        <w:t>Statist Med</w:t>
      </w:r>
      <w:r w:rsidRPr="00806827">
        <w:t xml:space="preserve"> 2015;</w:t>
      </w:r>
      <w:r w:rsidRPr="00806827">
        <w:rPr>
          <w:b/>
          <w:bCs/>
        </w:rPr>
        <w:t>34</w:t>
      </w:r>
      <w:r w:rsidRPr="00806827">
        <w:t xml:space="preserve">:1659–1680. </w:t>
      </w:r>
    </w:p>
    <w:p w14:paraId="2385E292" w14:textId="77777777" w:rsidR="00806827" w:rsidRPr="00806827" w:rsidRDefault="00806827" w:rsidP="00806827">
      <w:pPr>
        <w:pStyle w:val="Bibliography"/>
      </w:pPr>
      <w:r w:rsidRPr="00806827">
        <w:t xml:space="preserve">35. </w:t>
      </w:r>
      <w:r w:rsidRPr="00806827">
        <w:tab/>
        <w:t xml:space="preserve">Pencina MJ, D’Agostino RB. Overall C as a measure of discrimination in survival analysis: model specific population value and confidence interval estimation. </w:t>
      </w:r>
      <w:r w:rsidRPr="00806827">
        <w:rPr>
          <w:i/>
          <w:iCs/>
        </w:rPr>
        <w:t>Stat Med</w:t>
      </w:r>
      <w:r w:rsidRPr="00806827">
        <w:t xml:space="preserve"> 2004;</w:t>
      </w:r>
      <w:r w:rsidRPr="00806827">
        <w:rPr>
          <w:b/>
          <w:bCs/>
        </w:rPr>
        <w:t>23</w:t>
      </w:r>
      <w:r w:rsidRPr="00806827">
        <w:t xml:space="preserve">:2109–2123. </w:t>
      </w:r>
    </w:p>
    <w:p w14:paraId="6251D181" w14:textId="77777777" w:rsidR="00806827" w:rsidRPr="00806827" w:rsidRDefault="00806827" w:rsidP="00806827">
      <w:pPr>
        <w:pStyle w:val="Bibliography"/>
      </w:pPr>
      <w:r w:rsidRPr="00806827">
        <w:t xml:space="preserve">36. </w:t>
      </w:r>
      <w:r w:rsidRPr="00806827">
        <w:tab/>
        <w:t xml:space="preserve">Pencina MJ, D’Agostino RB, D’Agostino RB, Vasan RS. Evaluating the added predictive ability of a new marker: from area under the ROC curve to reclassification and beyond. </w:t>
      </w:r>
      <w:r w:rsidRPr="00806827">
        <w:rPr>
          <w:i/>
          <w:iCs/>
        </w:rPr>
        <w:t>Stat Med</w:t>
      </w:r>
      <w:r w:rsidRPr="00806827">
        <w:t xml:space="preserve"> 2008;</w:t>
      </w:r>
      <w:r w:rsidRPr="00806827">
        <w:rPr>
          <w:b/>
          <w:bCs/>
        </w:rPr>
        <w:t>27</w:t>
      </w:r>
      <w:r w:rsidRPr="00806827">
        <w:t xml:space="preserve">:157–172; discussion 207-212. </w:t>
      </w:r>
    </w:p>
    <w:p w14:paraId="77DF333A" w14:textId="77777777" w:rsidR="00806827" w:rsidRPr="00806827" w:rsidRDefault="00806827" w:rsidP="00806827">
      <w:pPr>
        <w:pStyle w:val="Bibliography"/>
      </w:pPr>
      <w:r w:rsidRPr="00806827">
        <w:t xml:space="preserve">37. </w:t>
      </w:r>
      <w:r w:rsidRPr="00806827">
        <w:tab/>
        <w:t xml:space="preserve">Pencina MJ, D’Agostino RB, Steyerberg EW. Extensions of net reclassification improvement calculations to measure usefulness of new biomarkers. </w:t>
      </w:r>
      <w:r w:rsidRPr="00806827">
        <w:rPr>
          <w:i/>
          <w:iCs/>
        </w:rPr>
        <w:t>Stat Med</w:t>
      </w:r>
      <w:r w:rsidRPr="00806827">
        <w:t xml:space="preserve"> 2011;</w:t>
      </w:r>
      <w:r w:rsidRPr="00806827">
        <w:rPr>
          <w:b/>
          <w:bCs/>
        </w:rPr>
        <w:t>30</w:t>
      </w:r>
      <w:r w:rsidRPr="00806827">
        <w:t xml:space="preserve">:11–21. </w:t>
      </w:r>
    </w:p>
    <w:p w14:paraId="48BD3174" w14:textId="77777777" w:rsidR="00806827" w:rsidRPr="00806827" w:rsidRDefault="00806827" w:rsidP="00806827">
      <w:pPr>
        <w:pStyle w:val="Bibliography"/>
      </w:pPr>
      <w:r w:rsidRPr="00806827">
        <w:t xml:space="preserve">38. </w:t>
      </w:r>
      <w:r w:rsidRPr="00806827">
        <w:tab/>
        <w:t>SAS Macros. http://ncook.bwh.harvard.edu/sas-macros.html (19 May 2018)</w:t>
      </w:r>
    </w:p>
    <w:p w14:paraId="1D1F12DF" w14:textId="77777777" w:rsidR="00806827" w:rsidRPr="00806827" w:rsidRDefault="00806827" w:rsidP="00806827">
      <w:pPr>
        <w:pStyle w:val="Bibliography"/>
      </w:pPr>
      <w:r w:rsidRPr="00806827">
        <w:t xml:space="preserve">39. </w:t>
      </w:r>
      <w:r w:rsidRPr="00806827">
        <w:tab/>
        <w:t xml:space="preserve">Harrell FE. Regression Modeling Strategies: With Applications to Linear Models, Logistic Regression, and Survival Analysis. New York: Springer; 2010. </w:t>
      </w:r>
    </w:p>
    <w:p w14:paraId="4C23C5C9" w14:textId="77777777" w:rsidR="00806827" w:rsidRPr="00806827" w:rsidRDefault="00806827" w:rsidP="00806827">
      <w:pPr>
        <w:pStyle w:val="Bibliography"/>
      </w:pPr>
      <w:r w:rsidRPr="00806827">
        <w:t xml:space="preserve">40. </w:t>
      </w:r>
      <w:r w:rsidRPr="00806827">
        <w:tab/>
        <w:t xml:space="preserve">Pepe MS, Janes H, Longton G, Leisenring W, Newcomb P. Limitations of the Odds Ratio in Gauging the Performance of a Diagnostic, Prognostic, or Screening Marker. </w:t>
      </w:r>
      <w:r w:rsidRPr="00806827">
        <w:rPr>
          <w:i/>
          <w:iCs/>
        </w:rPr>
        <w:t>Am J Epidemiol</w:t>
      </w:r>
      <w:r w:rsidRPr="00806827">
        <w:t xml:space="preserve"> 2004;</w:t>
      </w:r>
      <w:r w:rsidRPr="00806827">
        <w:rPr>
          <w:b/>
          <w:bCs/>
        </w:rPr>
        <w:t>159</w:t>
      </w:r>
      <w:r w:rsidRPr="00806827">
        <w:t xml:space="preserve">:882–890. </w:t>
      </w:r>
    </w:p>
    <w:p w14:paraId="13678285" w14:textId="77777777" w:rsidR="00806827" w:rsidRPr="00806827" w:rsidRDefault="00806827" w:rsidP="00806827">
      <w:pPr>
        <w:pStyle w:val="Bibliography"/>
      </w:pPr>
      <w:r w:rsidRPr="00806827">
        <w:t xml:space="preserve">41. </w:t>
      </w:r>
      <w:r w:rsidRPr="00806827">
        <w:tab/>
        <w:t xml:space="preserve">Rich-Edwards JW, Klungsoyr K, Wilcox AJ, Skjaerven R. Duration of pregnancy, even at term, predicts long-term risk of coronary heart disease and stroke mortality in women: a population-based study. </w:t>
      </w:r>
      <w:r w:rsidRPr="00806827">
        <w:rPr>
          <w:i/>
          <w:iCs/>
        </w:rPr>
        <w:t>Am J Obstet Gynecol</w:t>
      </w:r>
      <w:r w:rsidRPr="00806827">
        <w:t xml:space="preserve"> 2015;</w:t>
      </w:r>
      <w:r w:rsidRPr="00806827">
        <w:rPr>
          <w:b/>
          <w:bCs/>
        </w:rPr>
        <w:t>213</w:t>
      </w:r>
      <w:r w:rsidRPr="00806827">
        <w:t xml:space="preserve">:518.e1-8. </w:t>
      </w:r>
    </w:p>
    <w:p w14:paraId="0506DB46" w14:textId="77777777" w:rsidR="00806827" w:rsidRPr="00806827" w:rsidRDefault="00806827" w:rsidP="00806827">
      <w:pPr>
        <w:pStyle w:val="Bibliography"/>
      </w:pPr>
      <w:r w:rsidRPr="00806827">
        <w:t xml:space="preserve">42. </w:t>
      </w:r>
      <w:r w:rsidRPr="00806827">
        <w:tab/>
        <w:t xml:space="preserve">Skjaerven R, Wilcox AJ, Klungsøyr K, Irgens LM, Vikse BE, Vatten LJ, Lie RT. Cardiovascular mortality after pre-eclampsia in one child mothers: prospective, population based cohort study. </w:t>
      </w:r>
      <w:r w:rsidRPr="00806827">
        <w:rPr>
          <w:i/>
          <w:iCs/>
        </w:rPr>
        <w:t>BMJ</w:t>
      </w:r>
      <w:r w:rsidRPr="00806827">
        <w:t xml:space="preserve"> 2012;</w:t>
      </w:r>
      <w:r w:rsidRPr="00806827">
        <w:rPr>
          <w:b/>
          <w:bCs/>
        </w:rPr>
        <w:t>345</w:t>
      </w:r>
      <w:r w:rsidRPr="00806827">
        <w:t xml:space="preserve">:e7677. </w:t>
      </w:r>
    </w:p>
    <w:p w14:paraId="7316AD52" w14:textId="77777777" w:rsidR="00806827" w:rsidRPr="00806827" w:rsidRDefault="00806827" w:rsidP="00806827">
      <w:pPr>
        <w:pStyle w:val="Bibliography"/>
      </w:pPr>
      <w:r w:rsidRPr="00806827">
        <w:t xml:space="preserve">43. </w:t>
      </w:r>
      <w:r w:rsidRPr="00806827">
        <w:tab/>
        <w:t xml:space="preserve">Riise HKR, Sulo G, Tell GS, Igland J, Nygård O, Vollset SE, Iversen A-C, Austgulen R, Daltveit AK. Incident Coronary Heart Disease After Preeclampsia: Role of Reduced Fetal Growth, Preterm Delivery, and Parity. </w:t>
      </w:r>
      <w:r w:rsidRPr="00806827">
        <w:rPr>
          <w:i/>
          <w:iCs/>
        </w:rPr>
        <w:t>J Am Heart Assoc</w:t>
      </w:r>
      <w:r w:rsidRPr="00806827">
        <w:t xml:space="preserve"> 2017;</w:t>
      </w:r>
      <w:r w:rsidRPr="00806827">
        <w:rPr>
          <w:b/>
          <w:bCs/>
        </w:rPr>
        <w:t>6</w:t>
      </w:r>
      <w:r w:rsidRPr="00806827">
        <w:t xml:space="preserve">. </w:t>
      </w:r>
    </w:p>
    <w:p w14:paraId="48041907" w14:textId="77777777" w:rsidR="00806827" w:rsidRPr="00806827" w:rsidRDefault="00806827" w:rsidP="00806827">
      <w:pPr>
        <w:pStyle w:val="Bibliography"/>
      </w:pPr>
      <w:r w:rsidRPr="00806827">
        <w:lastRenderedPageBreak/>
        <w:t xml:space="preserve">44. </w:t>
      </w:r>
      <w:r w:rsidRPr="00806827">
        <w:tab/>
        <w:t xml:space="preserve">Riise HKR, Sulo G, Tell GS, Igland J, Nygård O, Iversen A-C, Daltveit AK. Association Between Gestational Hypertension and Risk of Cardiovascular Disease Among 617 589 Norwegian Women. </w:t>
      </w:r>
      <w:r w:rsidRPr="00806827">
        <w:rPr>
          <w:i/>
          <w:iCs/>
        </w:rPr>
        <w:t>J Am Heart Assoc</w:t>
      </w:r>
      <w:r w:rsidRPr="00806827">
        <w:t xml:space="preserve"> 2018;</w:t>
      </w:r>
      <w:r w:rsidRPr="00806827">
        <w:rPr>
          <w:b/>
          <w:bCs/>
        </w:rPr>
        <w:t>7</w:t>
      </w:r>
      <w:r w:rsidRPr="00806827">
        <w:t xml:space="preserve">. </w:t>
      </w:r>
    </w:p>
    <w:p w14:paraId="6040ED4B" w14:textId="77777777" w:rsidR="00806827" w:rsidRPr="00806827" w:rsidRDefault="00806827" w:rsidP="00806827">
      <w:pPr>
        <w:pStyle w:val="Bibliography"/>
      </w:pPr>
      <w:r w:rsidRPr="00806827">
        <w:t xml:space="preserve">45. </w:t>
      </w:r>
      <w:r w:rsidRPr="00806827">
        <w:tab/>
        <w:t xml:space="preserve">Cirillo PM, Cohn BA. Pregnancy Complications and Cardiovascular Disease Death: Fifty-Year Follow-Up of the Child Health and Development Studies Pregnancy Cohort. </w:t>
      </w:r>
      <w:r w:rsidRPr="00806827">
        <w:rPr>
          <w:i/>
          <w:iCs/>
        </w:rPr>
        <w:t>Circulation</w:t>
      </w:r>
      <w:r w:rsidRPr="00806827">
        <w:t xml:space="preserve"> 2015;CIRCULATIONAHA.113.003901. </w:t>
      </w:r>
    </w:p>
    <w:p w14:paraId="35DC4896" w14:textId="77777777" w:rsidR="00806827" w:rsidRPr="00806827" w:rsidRDefault="00806827" w:rsidP="00806827">
      <w:pPr>
        <w:pStyle w:val="Bibliography"/>
      </w:pPr>
      <w:r w:rsidRPr="00806827">
        <w:t xml:space="preserve">46. </w:t>
      </w:r>
      <w:r w:rsidRPr="00806827">
        <w:tab/>
        <w:t xml:space="preserve">Smith GD, Sterne J, Tynelius P, Lawlor DA, Rasmussen F. Birth weight of offspring and subsequent cardiovascular mortality of the parents. </w:t>
      </w:r>
      <w:r w:rsidRPr="00806827">
        <w:rPr>
          <w:i/>
          <w:iCs/>
        </w:rPr>
        <w:t>Epidemiology</w:t>
      </w:r>
      <w:r w:rsidRPr="00806827">
        <w:t xml:space="preserve"> 2005;</w:t>
      </w:r>
      <w:r w:rsidRPr="00806827">
        <w:rPr>
          <w:b/>
          <w:bCs/>
        </w:rPr>
        <w:t>16</w:t>
      </w:r>
      <w:r w:rsidRPr="00806827">
        <w:t xml:space="preserve">:563–569. </w:t>
      </w:r>
    </w:p>
    <w:p w14:paraId="5ED9835F" w14:textId="77777777" w:rsidR="00806827" w:rsidRPr="00806827" w:rsidRDefault="00806827" w:rsidP="00806827">
      <w:pPr>
        <w:pStyle w:val="Bibliography"/>
      </w:pPr>
      <w:r w:rsidRPr="00806827">
        <w:t xml:space="preserve">47. </w:t>
      </w:r>
      <w:r w:rsidRPr="00806827">
        <w:tab/>
        <w:t xml:space="preserve">Stuart J, Tanz L, Rimm E, Spiegleman D, Missmer S, Mukamal K, Rich-Edwards J. Hypertensive disorders in first pregnancy and maternal cardiovascular disease: mediation by postpartum cardiovascular risk factors. Seattle, Washington; 2017. </w:t>
      </w:r>
    </w:p>
    <w:p w14:paraId="5991CE65" w14:textId="77777777" w:rsidR="00806827" w:rsidRPr="00806827" w:rsidRDefault="00806827" w:rsidP="00806827">
      <w:pPr>
        <w:pStyle w:val="Bibliography"/>
      </w:pPr>
      <w:r w:rsidRPr="00806827">
        <w:t xml:space="preserve">48. </w:t>
      </w:r>
      <w:r w:rsidRPr="00806827">
        <w:tab/>
        <w:t xml:space="preserve">Conroy RM, Pyörälä K, Fitzgerald AP, Sans S, Menotti A, De Backer G, De Bacquer D, Ducimetière P, Jousilahti P, Keil U, Njølstad I, Oganov RG, Thomsen T, Tunstall-Pedoe H, Tverdal A, Wedel H, Whincup P, Wilhelmsen L, Graham IM. Estimation of ten-year risk of fatal cardiovascular disease in Europe: the SCORE project. </w:t>
      </w:r>
      <w:r w:rsidRPr="00806827">
        <w:rPr>
          <w:i/>
          <w:iCs/>
        </w:rPr>
        <w:t>Eur Heart J</w:t>
      </w:r>
      <w:r w:rsidRPr="00806827">
        <w:t xml:space="preserve"> 2003;</w:t>
      </w:r>
      <w:r w:rsidRPr="00806827">
        <w:rPr>
          <w:b/>
          <w:bCs/>
        </w:rPr>
        <w:t>24</w:t>
      </w:r>
      <w:r w:rsidRPr="00806827">
        <w:t xml:space="preserve">:987–1003. </w:t>
      </w:r>
    </w:p>
    <w:p w14:paraId="49A7CE56" w14:textId="77777777" w:rsidR="00806827" w:rsidRPr="00806827" w:rsidRDefault="00806827" w:rsidP="00806827">
      <w:pPr>
        <w:pStyle w:val="Bibliography"/>
      </w:pPr>
      <w:r w:rsidRPr="00806827">
        <w:t xml:space="preserve">49. </w:t>
      </w:r>
      <w:r w:rsidRPr="00806827">
        <w:tab/>
        <w:t xml:space="preserve">D’Agostino RB, Vasan RS, Pencina MJ, Wolf PA, Cobain M, Massaro JM, Kannel WB. General Cardiovascular Risk Profile for Use in Primary Care: The Framingham Heart Study. </w:t>
      </w:r>
      <w:r w:rsidRPr="00806827">
        <w:rPr>
          <w:i/>
          <w:iCs/>
        </w:rPr>
        <w:t>Circulation</w:t>
      </w:r>
      <w:r w:rsidRPr="00806827">
        <w:t xml:space="preserve"> 2008;</w:t>
      </w:r>
      <w:r w:rsidRPr="00806827">
        <w:rPr>
          <w:b/>
          <w:bCs/>
        </w:rPr>
        <w:t>117</w:t>
      </w:r>
      <w:r w:rsidRPr="00806827">
        <w:t xml:space="preserve">:743–753. </w:t>
      </w:r>
    </w:p>
    <w:p w14:paraId="45A38452" w14:textId="77777777" w:rsidR="00806827" w:rsidRPr="00806827" w:rsidRDefault="00806827" w:rsidP="00806827">
      <w:pPr>
        <w:pStyle w:val="Bibliography"/>
      </w:pPr>
      <w:r w:rsidRPr="00806827">
        <w:t xml:space="preserve">50. </w:t>
      </w:r>
      <w:r w:rsidRPr="00806827">
        <w:tab/>
        <w:t xml:space="preserve">Lund I, Lund KE. Lifetime smoking habits among Norwegian men and women born between 1890 and 1994: a cohort analysis using cross-sectional data. </w:t>
      </w:r>
      <w:r w:rsidRPr="00806827">
        <w:rPr>
          <w:i/>
          <w:iCs/>
        </w:rPr>
        <w:t>BMJ Open</w:t>
      </w:r>
      <w:r w:rsidRPr="00806827">
        <w:t xml:space="preserve"> 2014;</w:t>
      </w:r>
      <w:r w:rsidRPr="00806827">
        <w:rPr>
          <w:b/>
          <w:bCs/>
        </w:rPr>
        <w:t>4</w:t>
      </w:r>
      <w:r w:rsidRPr="00806827">
        <w:t xml:space="preserve">:e005539. </w:t>
      </w:r>
    </w:p>
    <w:p w14:paraId="2D1817C8" w14:textId="77777777" w:rsidR="00806827" w:rsidRPr="00806827" w:rsidRDefault="00806827" w:rsidP="00806827">
      <w:pPr>
        <w:pStyle w:val="Bibliography"/>
      </w:pPr>
      <w:r w:rsidRPr="00806827">
        <w:t xml:space="preserve">51. </w:t>
      </w:r>
      <w:r w:rsidRPr="00806827">
        <w:tab/>
        <w:t>Decline in fertility. ssb.no. http://www.ssb.no/en/befolkning/statistikker/fodte/aar/2017-03-09 (15 February 2018)</w:t>
      </w:r>
    </w:p>
    <w:p w14:paraId="10550CE8" w14:textId="77777777" w:rsidR="00806827" w:rsidRPr="00806827" w:rsidRDefault="00806827" w:rsidP="00806827">
      <w:pPr>
        <w:pStyle w:val="Bibliography"/>
      </w:pPr>
      <w:r w:rsidRPr="00806827">
        <w:t xml:space="preserve">52. </w:t>
      </w:r>
      <w:r w:rsidRPr="00806827">
        <w:tab/>
        <w:t xml:space="preserve">Parikh NI, Jeppson RP, Berger JS, Eaton CB, Kroenke CH, LeBlanc ES, Lewis CE, Loucks EB, Parker DR, Rillamas-Sun E, Ryckman KK, Waring ME, Schenken RS, Johnson KC, Edstedt-Bonamy A-K, Allison MA, Howard BV. Reproductive Risk Factors and Coronary Heart Disease in the Women’s Health Initiative Observational Study. </w:t>
      </w:r>
      <w:r w:rsidRPr="00806827">
        <w:rPr>
          <w:i/>
          <w:iCs/>
        </w:rPr>
        <w:t>Circulation</w:t>
      </w:r>
      <w:r w:rsidRPr="00806827">
        <w:t xml:space="preserve"> 2016;</w:t>
      </w:r>
      <w:r w:rsidRPr="00806827">
        <w:rPr>
          <w:b/>
          <w:bCs/>
        </w:rPr>
        <w:t>133</w:t>
      </w:r>
      <w:r w:rsidRPr="00806827">
        <w:t xml:space="preserve">:2149–2158. </w:t>
      </w:r>
    </w:p>
    <w:p w14:paraId="29DCCB11" w14:textId="77777777" w:rsidR="00806827" w:rsidRPr="00806827" w:rsidRDefault="00806827" w:rsidP="00806827">
      <w:pPr>
        <w:pStyle w:val="Bibliography"/>
      </w:pPr>
      <w:r w:rsidRPr="00806827">
        <w:t xml:space="preserve">53. </w:t>
      </w:r>
      <w:r w:rsidRPr="00806827">
        <w:tab/>
        <w:t xml:space="preserve">Lv H, Wu H, Yin J, Qian J, Ge J. Parity and Cardiovascular Disease Mortality: a Dose-Response Meta-Analysis of Cohort Studies. </w:t>
      </w:r>
      <w:r w:rsidRPr="00806827">
        <w:rPr>
          <w:i/>
          <w:iCs/>
        </w:rPr>
        <w:t>Sci Rep</w:t>
      </w:r>
      <w:r w:rsidRPr="00806827">
        <w:t xml:space="preserve"> 2015;</w:t>
      </w:r>
      <w:r w:rsidRPr="00806827">
        <w:rPr>
          <w:b/>
          <w:bCs/>
        </w:rPr>
        <w:t>5</w:t>
      </w:r>
      <w:r w:rsidRPr="00806827">
        <w:t xml:space="preserve">. </w:t>
      </w:r>
    </w:p>
    <w:p w14:paraId="16671A27" w14:textId="77777777" w:rsidR="00806827" w:rsidRPr="00806827" w:rsidRDefault="00806827" w:rsidP="00806827">
      <w:pPr>
        <w:pStyle w:val="Bibliography"/>
      </w:pPr>
      <w:r w:rsidRPr="00806827">
        <w:t xml:space="preserve">54. </w:t>
      </w:r>
      <w:r w:rsidRPr="00806827">
        <w:tab/>
        <w:t xml:space="preserve">Stene LC, Eidem I, Vangen S, Joner G, Irgens LM, Moe N. The validity of the diabetes mellitus diagnosis in the Medical Birth Registry of Norway. </w:t>
      </w:r>
      <w:r w:rsidRPr="00806827">
        <w:rPr>
          <w:i/>
          <w:iCs/>
        </w:rPr>
        <w:t>Nor Epidemiol</w:t>
      </w:r>
      <w:r w:rsidRPr="00806827">
        <w:t xml:space="preserve"> 2007;</w:t>
      </w:r>
      <w:r w:rsidRPr="00806827">
        <w:rPr>
          <w:b/>
          <w:bCs/>
        </w:rPr>
        <w:t>17</w:t>
      </w:r>
      <w:r w:rsidRPr="00806827">
        <w:t xml:space="preserve">. </w:t>
      </w:r>
    </w:p>
    <w:p w14:paraId="0C630EE1" w14:textId="77777777" w:rsidR="00806827" w:rsidRPr="00806827" w:rsidRDefault="00806827" w:rsidP="00806827">
      <w:pPr>
        <w:pStyle w:val="Bibliography"/>
      </w:pPr>
      <w:r w:rsidRPr="00806827">
        <w:t xml:space="preserve">55. </w:t>
      </w:r>
      <w:r w:rsidRPr="00806827">
        <w:tab/>
        <w:t xml:space="preserve">Fraser A, Nelson SM, Macdonald-Wallis C, Cherry L, Butler E, Sattar N, Lawlor DA. Associations of Pregnancy Complications With Calculated Cardiovascular Disease Risk and Cardiovascular Risk Factors in Middle AgeClinical Perspective. </w:t>
      </w:r>
      <w:r w:rsidRPr="00806827">
        <w:rPr>
          <w:i/>
          <w:iCs/>
        </w:rPr>
        <w:t>Circulation</w:t>
      </w:r>
      <w:r w:rsidRPr="00806827">
        <w:t xml:space="preserve"> 2012;</w:t>
      </w:r>
      <w:r w:rsidRPr="00806827">
        <w:rPr>
          <w:b/>
          <w:bCs/>
        </w:rPr>
        <w:t>125</w:t>
      </w:r>
      <w:r w:rsidRPr="00806827">
        <w:t xml:space="preserve">:1367–1380. </w:t>
      </w:r>
    </w:p>
    <w:p w14:paraId="4F3E96DE" w14:textId="77777777" w:rsidR="00806827" w:rsidRPr="00806827" w:rsidRDefault="00806827" w:rsidP="00806827">
      <w:pPr>
        <w:pStyle w:val="Bibliography"/>
      </w:pPr>
      <w:r w:rsidRPr="00806827">
        <w:lastRenderedPageBreak/>
        <w:t xml:space="preserve">56. </w:t>
      </w:r>
      <w:r w:rsidRPr="00806827">
        <w:tab/>
        <w:t xml:space="preserve">Kravdal Ø. Not so Low Fertility in Norway—A Result of Affluence, Liberal Values, Gender-Equality Ideals, and the Welfare State. </w:t>
      </w:r>
      <w:r w:rsidRPr="00806827">
        <w:rPr>
          <w:i/>
          <w:iCs/>
        </w:rPr>
        <w:t>Low Fertility, Institutions, and their Policies</w:t>
      </w:r>
      <w:r w:rsidRPr="00806827">
        <w:t xml:space="preserve"> Springer, Cham; 2016. p. 13–47. </w:t>
      </w:r>
    </w:p>
    <w:p w14:paraId="6E73ED73" w14:textId="2F2EA747" w:rsidR="00806827" w:rsidRPr="00806827" w:rsidRDefault="00806827" w:rsidP="00806827">
      <w:pPr>
        <w:pStyle w:val="Subtitle1"/>
      </w:pPr>
      <w:r w:rsidRPr="00806827">
        <w:fldChar w:fldCharType="end"/>
      </w:r>
    </w:p>
    <w:p w14:paraId="768D93F0" w14:textId="23669981" w:rsidR="00167E3B" w:rsidRPr="00806827" w:rsidRDefault="00167E3B" w:rsidP="00167E3B">
      <w:pPr>
        <w:rPr>
          <w:sz w:val="20"/>
        </w:rPr>
      </w:pPr>
    </w:p>
    <w:p w14:paraId="04D44447" w14:textId="77777777" w:rsidR="00806827" w:rsidRPr="00806827" w:rsidRDefault="00806827">
      <w:pPr>
        <w:rPr>
          <w:b/>
        </w:rPr>
      </w:pPr>
      <w:r w:rsidRPr="00806827">
        <w:rPr>
          <w:b/>
        </w:rPr>
        <w:br w:type="page"/>
      </w:r>
    </w:p>
    <w:p w14:paraId="49BF7D80" w14:textId="2BD42676" w:rsidR="00167E3B" w:rsidRPr="00806827" w:rsidRDefault="00167E3B" w:rsidP="00167E3B">
      <w:r w:rsidRPr="00806827">
        <w:rPr>
          <w:b/>
        </w:rPr>
        <w:lastRenderedPageBreak/>
        <w:t xml:space="preserve">Supplemental </w:t>
      </w:r>
      <w:r w:rsidR="00871744" w:rsidRPr="00806827">
        <w:rPr>
          <w:b/>
        </w:rPr>
        <w:t xml:space="preserve">Table </w:t>
      </w:r>
      <w:r w:rsidRPr="00806827">
        <w:rPr>
          <w:b/>
        </w:rPr>
        <w:t xml:space="preserve">1. </w:t>
      </w:r>
      <w:r w:rsidRPr="00806827">
        <w:t>Description of established CVD risk factor m</w:t>
      </w:r>
      <w:r w:rsidR="009E1F7A" w:rsidRPr="00806827">
        <w:t>easurement methods by HUNT exam</w:t>
      </w:r>
    </w:p>
    <w:tbl>
      <w:tblPr>
        <w:tblW w:w="9196" w:type="dxa"/>
        <w:tblLook w:val="04A0" w:firstRow="1" w:lastRow="0" w:firstColumn="1" w:lastColumn="0" w:noHBand="0" w:noVBand="1"/>
      </w:tblPr>
      <w:tblGrid>
        <w:gridCol w:w="2024"/>
        <w:gridCol w:w="3610"/>
        <w:gridCol w:w="3562"/>
      </w:tblGrid>
      <w:tr w:rsidR="00167E3B" w:rsidRPr="00806827" w14:paraId="7D73FF4F" w14:textId="77777777" w:rsidTr="00AC0C21">
        <w:trPr>
          <w:trHeight w:val="236"/>
        </w:trPr>
        <w:tc>
          <w:tcPr>
            <w:tcW w:w="2024" w:type="dxa"/>
            <w:tcBorders>
              <w:top w:val="single" w:sz="4" w:space="0" w:color="auto"/>
              <w:left w:val="nil"/>
              <w:bottom w:val="single" w:sz="4" w:space="0" w:color="auto"/>
              <w:right w:val="nil"/>
            </w:tcBorders>
            <w:shd w:val="clear" w:color="auto" w:fill="auto"/>
            <w:noWrap/>
            <w:vAlign w:val="center"/>
            <w:hideMark/>
          </w:tcPr>
          <w:p w14:paraId="523E6174" w14:textId="77777777" w:rsidR="00167E3B" w:rsidRPr="00806827" w:rsidRDefault="00167E3B" w:rsidP="0019015C">
            <w:pPr>
              <w:spacing w:before="120" w:after="0" w:line="300" w:lineRule="auto"/>
              <w:rPr>
                <w:b/>
                <w:bCs/>
                <w:color w:val="000000"/>
              </w:rPr>
            </w:pPr>
            <w:r w:rsidRPr="00806827">
              <w:rPr>
                <w:b/>
                <w:bCs/>
                <w:color w:val="000000"/>
              </w:rPr>
              <w:t>Risk Factor</w:t>
            </w:r>
          </w:p>
        </w:tc>
        <w:tc>
          <w:tcPr>
            <w:tcW w:w="3610" w:type="dxa"/>
            <w:tcBorders>
              <w:top w:val="single" w:sz="4" w:space="0" w:color="auto"/>
              <w:left w:val="nil"/>
              <w:bottom w:val="single" w:sz="4" w:space="0" w:color="auto"/>
              <w:right w:val="nil"/>
            </w:tcBorders>
            <w:shd w:val="clear" w:color="auto" w:fill="auto"/>
            <w:vAlign w:val="center"/>
            <w:hideMark/>
          </w:tcPr>
          <w:p w14:paraId="3E2D83B2" w14:textId="77777777" w:rsidR="00167E3B" w:rsidRPr="00806827" w:rsidRDefault="00167E3B" w:rsidP="0019015C">
            <w:pPr>
              <w:spacing w:before="120" w:after="0" w:line="300" w:lineRule="auto"/>
              <w:jc w:val="center"/>
              <w:rPr>
                <w:b/>
                <w:bCs/>
                <w:color w:val="000000"/>
              </w:rPr>
            </w:pPr>
            <w:r w:rsidRPr="00806827">
              <w:rPr>
                <w:b/>
                <w:bCs/>
                <w:color w:val="000000"/>
              </w:rPr>
              <w:t>HUNT2</w:t>
            </w:r>
          </w:p>
        </w:tc>
        <w:tc>
          <w:tcPr>
            <w:tcW w:w="3562" w:type="dxa"/>
            <w:tcBorders>
              <w:top w:val="single" w:sz="4" w:space="0" w:color="auto"/>
              <w:left w:val="nil"/>
              <w:bottom w:val="single" w:sz="4" w:space="0" w:color="auto"/>
              <w:right w:val="nil"/>
            </w:tcBorders>
            <w:shd w:val="clear" w:color="auto" w:fill="auto"/>
            <w:vAlign w:val="center"/>
            <w:hideMark/>
          </w:tcPr>
          <w:p w14:paraId="7322145C" w14:textId="77777777" w:rsidR="00167E3B" w:rsidRPr="00806827" w:rsidRDefault="00167E3B" w:rsidP="0019015C">
            <w:pPr>
              <w:spacing w:before="120" w:after="0" w:line="300" w:lineRule="auto"/>
              <w:jc w:val="center"/>
              <w:rPr>
                <w:b/>
                <w:bCs/>
                <w:color w:val="000000"/>
              </w:rPr>
            </w:pPr>
            <w:r w:rsidRPr="00806827">
              <w:rPr>
                <w:b/>
                <w:bCs/>
                <w:color w:val="000000"/>
              </w:rPr>
              <w:t>HUNT3</w:t>
            </w:r>
          </w:p>
        </w:tc>
      </w:tr>
      <w:tr w:rsidR="00167E3B" w:rsidRPr="00806827" w14:paraId="3DD488BC" w14:textId="77777777" w:rsidTr="00AC0C21">
        <w:trPr>
          <w:trHeight w:val="1634"/>
        </w:trPr>
        <w:tc>
          <w:tcPr>
            <w:tcW w:w="2024" w:type="dxa"/>
            <w:tcBorders>
              <w:top w:val="nil"/>
              <w:left w:val="nil"/>
              <w:bottom w:val="single" w:sz="4" w:space="0" w:color="auto"/>
              <w:right w:val="nil"/>
            </w:tcBorders>
            <w:shd w:val="clear" w:color="auto" w:fill="auto"/>
            <w:noWrap/>
            <w:vAlign w:val="center"/>
            <w:hideMark/>
          </w:tcPr>
          <w:p w14:paraId="66167D7F" w14:textId="77777777" w:rsidR="00167E3B" w:rsidRPr="00806827" w:rsidRDefault="00167E3B" w:rsidP="0019015C">
            <w:pPr>
              <w:spacing w:after="0" w:line="300" w:lineRule="auto"/>
              <w:rPr>
                <w:color w:val="000000"/>
              </w:rPr>
            </w:pPr>
            <w:r w:rsidRPr="00806827">
              <w:rPr>
                <w:color w:val="000000"/>
              </w:rPr>
              <w:t>Blood pressure</w:t>
            </w:r>
          </w:p>
        </w:tc>
        <w:tc>
          <w:tcPr>
            <w:tcW w:w="7172" w:type="dxa"/>
            <w:gridSpan w:val="2"/>
            <w:tcBorders>
              <w:top w:val="single" w:sz="4" w:space="0" w:color="808080"/>
              <w:left w:val="nil"/>
              <w:bottom w:val="single" w:sz="4" w:space="0" w:color="auto"/>
            </w:tcBorders>
            <w:shd w:val="clear" w:color="auto" w:fill="auto"/>
            <w:hideMark/>
          </w:tcPr>
          <w:p w14:paraId="390988DE" w14:textId="35387670" w:rsidR="00167E3B" w:rsidRPr="00806827" w:rsidRDefault="00167E3B" w:rsidP="009E1F7A">
            <w:pPr>
              <w:spacing w:before="120" w:after="0" w:line="300" w:lineRule="auto"/>
              <w:rPr>
                <w:color w:val="000000"/>
              </w:rPr>
            </w:pPr>
            <w:r w:rsidRPr="00806827">
              <w:rPr>
                <w:color w:val="000000"/>
              </w:rPr>
              <w:t xml:space="preserve">Staff measured blood pressure three times at 1-minute intervals after the person had come to rest using an automatic oscillometric method (Dinamap, Critikon, Florida), with cuff size adjusted to arm circumference. We defined systolic blood pressure as the mean of the second and third measurements. </w:t>
            </w:r>
            <w:r w:rsidRPr="00806827">
              <w:t xml:space="preserve">In HUNT3, </w:t>
            </w:r>
            <w:r w:rsidR="00102454" w:rsidRPr="00806827">
              <w:t>1,914</w:t>
            </w:r>
            <w:r w:rsidRPr="00806827">
              <w:t xml:space="preserve"> women were missing a third measurement due to staff shortages. Since the first measurement tends to be too low using Dinamap</w:t>
            </w:r>
            <w:r w:rsidRPr="00806827">
              <w:rPr>
                <w:vertAlign w:val="superscript"/>
              </w:rPr>
              <w:t>1</w:t>
            </w:r>
            <w:r w:rsidRPr="00806827">
              <w:t>, the second measurement was used in these cases.</w:t>
            </w:r>
          </w:p>
        </w:tc>
      </w:tr>
      <w:tr w:rsidR="00167E3B" w:rsidRPr="00806827" w14:paraId="29EBA2F8" w14:textId="77777777" w:rsidTr="00AC0C21">
        <w:trPr>
          <w:trHeight w:val="3306"/>
        </w:trPr>
        <w:tc>
          <w:tcPr>
            <w:tcW w:w="2024" w:type="dxa"/>
            <w:tcBorders>
              <w:top w:val="single" w:sz="4" w:space="0" w:color="auto"/>
              <w:left w:val="nil"/>
              <w:bottom w:val="single" w:sz="4" w:space="0" w:color="auto"/>
              <w:right w:val="nil"/>
            </w:tcBorders>
            <w:shd w:val="clear" w:color="auto" w:fill="auto"/>
            <w:noWrap/>
            <w:vAlign w:val="center"/>
            <w:hideMark/>
          </w:tcPr>
          <w:p w14:paraId="1D8E7734" w14:textId="77777777" w:rsidR="00167E3B" w:rsidRPr="00806827" w:rsidRDefault="00167E3B" w:rsidP="0019015C">
            <w:pPr>
              <w:spacing w:after="0" w:line="300" w:lineRule="auto"/>
              <w:rPr>
                <w:color w:val="000000"/>
              </w:rPr>
            </w:pPr>
            <w:r w:rsidRPr="00806827">
              <w:rPr>
                <w:color w:val="000000"/>
              </w:rPr>
              <w:t>Cholesterol</w:t>
            </w:r>
          </w:p>
        </w:tc>
        <w:tc>
          <w:tcPr>
            <w:tcW w:w="3610" w:type="dxa"/>
            <w:tcBorders>
              <w:top w:val="single" w:sz="4" w:space="0" w:color="auto"/>
              <w:left w:val="nil"/>
              <w:bottom w:val="single" w:sz="4" w:space="0" w:color="auto"/>
              <w:right w:val="single" w:sz="4" w:space="0" w:color="808080"/>
            </w:tcBorders>
            <w:shd w:val="clear" w:color="auto" w:fill="auto"/>
            <w:hideMark/>
          </w:tcPr>
          <w:p w14:paraId="7D7FD6BC" w14:textId="77777777" w:rsidR="00167E3B" w:rsidRPr="00806827" w:rsidRDefault="00167E3B" w:rsidP="0019015C">
            <w:pPr>
              <w:spacing w:before="120" w:after="0" w:line="300" w:lineRule="auto"/>
              <w:rPr>
                <w:color w:val="000000"/>
              </w:rPr>
            </w:pPr>
            <w:r w:rsidRPr="00806827">
              <w:rPr>
                <w:color w:val="000000"/>
              </w:rPr>
              <w:t xml:space="preserve">Technicians at Levanger Hospital’s Central Laboratory assessed total cholesterol and high-density lipoprotein cholesterol (HDL-C), using the enzymatic colorimetric cholesterol esterase method with reagents from Boehringer Mannheim (Mannheim, Germany) using a Hitachi 911 Autoanalyzer. </w:t>
            </w:r>
          </w:p>
        </w:tc>
        <w:tc>
          <w:tcPr>
            <w:tcW w:w="3562" w:type="dxa"/>
            <w:tcBorders>
              <w:top w:val="single" w:sz="4" w:space="0" w:color="auto"/>
              <w:left w:val="nil"/>
              <w:bottom w:val="single" w:sz="4" w:space="0" w:color="auto"/>
              <w:right w:val="nil"/>
            </w:tcBorders>
            <w:shd w:val="clear" w:color="auto" w:fill="auto"/>
            <w:hideMark/>
          </w:tcPr>
          <w:p w14:paraId="2C5DEA20" w14:textId="77777777" w:rsidR="00167E3B" w:rsidRPr="00806827" w:rsidRDefault="00167E3B" w:rsidP="0019015C">
            <w:pPr>
              <w:spacing w:before="120" w:after="0" w:line="300" w:lineRule="auto"/>
              <w:rPr>
                <w:color w:val="000000"/>
              </w:rPr>
            </w:pPr>
            <w:r w:rsidRPr="00806827">
              <w:rPr>
                <w:color w:val="000000"/>
              </w:rPr>
              <w:t>Technicians at Levanger Hospital’s Central Laboratory measured total cholesterol using cholesterol esterase methodology and HDL-C using accelerator selective detergent methodology, all using reagents from Abbott (Abbott Ireland, Longford, Ireland; and Abbott Laboratories, Abbott Park, Illinois) using an Architect cSystems ci8200</w:t>
            </w:r>
          </w:p>
        </w:tc>
      </w:tr>
    </w:tbl>
    <w:p w14:paraId="26C612DF" w14:textId="77777777" w:rsidR="00167E3B" w:rsidRPr="00806827" w:rsidRDefault="00167E3B" w:rsidP="009E1F7A">
      <w:pPr>
        <w:spacing w:before="120"/>
        <w:rPr>
          <w:sz w:val="22"/>
        </w:rPr>
      </w:pPr>
      <w:r w:rsidRPr="00806827">
        <w:rPr>
          <w:sz w:val="22"/>
          <w:vertAlign w:val="superscript"/>
        </w:rPr>
        <w:t>1</w:t>
      </w:r>
      <w:r w:rsidRPr="00806827">
        <w:rPr>
          <w:rStyle w:val="LineNumber"/>
          <w:sz w:val="22"/>
        </w:rPr>
        <w:t xml:space="preserve"> </w:t>
      </w:r>
      <w:r w:rsidRPr="00806827">
        <w:rPr>
          <w:rStyle w:val="mixed-citation"/>
          <w:sz w:val="22"/>
        </w:rPr>
        <w:t xml:space="preserve">Lund-Larsen PG. Blodtrykk målt med kvikksølvmanometer og med Dinamap under feltforhold - en sammenligning [Blood pressure measured with a sphygmomanometer and with Dinamap under field conditions – a comparison] </w:t>
      </w:r>
      <w:r w:rsidRPr="00806827">
        <w:rPr>
          <w:rStyle w:val="ref-journal"/>
          <w:rFonts w:eastAsiaTheme="majorEastAsia"/>
          <w:sz w:val="22"/>
        </w:rPr>
        <w:t xml:space="preserve">Nor J Epidemiol. </w:t>
      </w:r>
      <w:r w:rsidRPr="00806827">
        <w:rPr>
          <w:rStyle w:val="mixed-citation"/>
          <w:sz w:val="22"/>
        </w:rPr>
        <w:t>1997;</w:t>
      </w:r>
      <w:r w:rsidRPr="00806827">
        <w:rPr>
          <w:rStyle w:val="ref-vol"/>
          <w:sz w:val="22"/>
        </w:rPr>
        <w:t>7</w:t>
      </w:r>
      <w:r w:rsidRPr="00806827">
        <w:rPr>
          <w:rStyle w:val="mixed-citation"/>
          <w:sz w:val="22"/>
        </w:rPr>
        <w:t>:235–241.</w:t>
      </w:r>
    </w:p>
    <w:p w14:paraId="17CEACC3" w14:textId="77777777" w:rsidR="00167E3B" w:rsidRPr="00806827" w:rsidRDefault="00167E3B" w:rsidP="00167E3B">
      <w:pPr>
        <w:rPr>
          <w:b/>
        </w:rPr>
      </w:pPr>
      <w:r w:rsidRPr="00806827">
        <w:rPr>
          <w:b/>
        </w:rPr>
        <w:t xml:space="preserve"> </w:t>
      </w:r>
    </w:p>
    <w:p w14:paraId="6EC66DB5" w14:textId="77777777" w:rsidR="00167E3B" w:rsidRPr="00806827" w:rsidRDefault="00167E3B" w:rsidP="00167E3B">
      <w:pPr>
        <w:rPr>
          <w:b/>
        </w:rPr>
      </w:pPr>
    </w:p>
    <w:p w14:paraId="1385FF5A" w14:textId="77777777" w:rsidR="009F0B5A" w:rsidRPr="00806827" w:rsidRDefault="009F0B5A">
      <w:pPr>
        <w:rPr>
          <w:b/>
        </w:rPr>
      </w:pPr>
      <w:r w:rsidRPr="00806827">
        <w:rPr>
          <w:b/>
        </w:rPr>
        <w:br w:type="page"/>
      </w:r>
    </w:p>
    <w:p w14:paraId="458906CA" w14:textId="1C9EB80C" w:rsidR="00370C61" w:rsidRPr="00806827" w:rsidRDefault="00370C61" w:rsidP="00167E3B">
      <w:r w:rsidRPr="00806827">
        <w:rPr>
          <w:b/>
        </w:rPr>
        <w:lastRenderedPageBreak/>
        <w:t>Supplemental Text</w:t>
      </w:r>
      <w:r w:rsidR="002C7C53" w:rsidRPr="00806827">
        <w:rPr>
          <w:b/>
        </w:rPr>
        <w:t xml:space="preserve"> 1</w:t>
      </w:r>
      <w:r w:rsidRPr="00806827">
        <w:rPr>
          <w:b/>
        </w:rPr>
        <w:t>.</w:t>
      </w:r>
      <w:r w:rsidRPr="00806827">
        <w:t xml:space="preserve"> Description of the cardiovascular event validation </w:t>
      </w:r>
    </w:p>
    <w:p w14:paraId="64FD5543" w14:textId="77777777" w:rsidR="00370C61" w:rsidRPr="00806827" w:rsidRDefault="00370C61" w:rsidP="00370C61">
      <w:r w:rsidRPr="00806827">
        <w:t>From the electronic patient administrative system at the two primary hospitals in Nord-Trøndelag county, Levanger Hospital and Namsos Hospital (Nord-Trøndelag Hospital Trust), we obtained information on all study participants registered with at least one of the following cardiovascular diagnoses between September 1, 1987 (the first date of electronic recording) and April 24, 2015: ICD-9,402, 404, 410-414, 425, 427.5, 428, 430-438, 440-448; ICD-10, G45, I11, I13, I20-I25, I42, I46, I50, I60-I67, I71, I72, I74. For each identified patient, one of two experienced cardiologists (B.K., H.D.), who were unaware of the pregnancy history of the participants, examined the medical records to determine the first validated occurrence of a range of cardiovascular events, including myocardial infarction, cerebral infarction and intracranial hemorrhage. Myocardial infarction was diagnosed using ESC/ACCF/AHA/WHF criteria</w:t>
      </w:r>
      <w:r w:rsidRPr="00806827">
        <w:rPr>
          <w:vertAlign w:val="superscript"/>
        </w:rPr>
        <w:t>1</w:t>
      </w:r>
      <w:r w:rsidRPr="00806827">
        <w:t xml:space="preserve">. Cerebral infarction was diagnosed based on typical symptoms and signs combined with radiological evidence from CT or MRI scans. In some cases, the diagnosis of cerebral infarction was based on typical symptoms and signs in absence of radiological evidence, but only if CT or MRI scan had been performed, and no alternative explanation for the clinical presentation was found. Possible cerebrovascular events accompanying intracerebral malignancy, infection or inflammation were not included. Intracranial hemorrhage was classified based on radiological evidence as subarachnoid, intracerebral, subdural or epidural, and hemorrhage secondary to trauma or intracerebral malignancy was excluded. As stroke events in the present study, we included cerebral infarctions as well as intracerebral and subarachnoid hemorrhages.   </w:t>
      </w:r>
    </w:p>
    <w:p w14:paraId="65BCE7F2" w14:textId="77777777" w:rsidR="00370C61" w:rsidRPr="00806827" w:rsidRDefault="00370C61" w:rsidP="00370C61"/>
    <w:p w14:paraId="1B1B0B61" w14:textId="3181C3B7" w:rsidR="00370C61" w:rsidRPr="00806827" w:rsidRDefault="00E364C5" w:rsidP="00370C61">
      <w:pPr>
        <w:pStyle w:val="ListParagraph"/>
        <w:numPr>
          <w:ilvl w:val="0"/>
          <w:numId w:val="11"/>
        </w:numPr>
      </w:pPr>
      <w:r w:rsidRPr="00806827">
        <w:t xml:space="preserve">Thygesen K, Alpert JS, Jaffe AS, Simoons ML, Chaitman BR, White HD. Third Universal Definition of Myocardial Infarction. </w:t>
      </w:r>
      <w:r w:rsidRPr="00806827">
        <w:rPr>
          <w:i/>
          <w:iCs/>
        </w:rPr>
        <w:t>Circulation</w:t>
      </w:r>
      <w:r w:rsidRPr="00806827">
        <w:t xml:space="preserve"> 2012;</w:t>
      </w:r>
      <w:r w:rsidRPr="00806827">
        <w:rPr>
          <w:b/>
          <w:bCs/>
        </w:rPr>
        <w:t>126</w:t>
      </w:r>
      <w:r w:rsidRPr="00806827">
        <w:t>:2020–2035</w:t>
      </w:r>
    </w:p>
    <w:p w14:paraId="77904141" w14:textId="77777777" w:rsidR="00370C61" w:rsidRPr="00806827" w:rsidRDefault="00370C61" w:rsidP="00370C61"/>
    <w:p w14:paraId="2BDC81D6" w14:textId="6FECA6E3" w:rsidR="00BD48D5" w:rsidRPr="00806827" w:rsidRDefault="00BD48D5" w:rsidP="00167E3B">
      <w:pPr>
        <w:rPr>
          <w:b/>
        </w:rPr>
      </w:pPr>
    </w:p>
    <w:p w14:paraId="37DD09C0" w14:textId="6F244A44" w:rsidR="00167E3B" w:rsidRPr="00806827" w:rsidRDefault="00167E3B" w:rsidP="003106A2">
      <w:pPr>
        <w:pStyle w:val="Table"/>
      </w:pPr>
      <w:bookmarkStart w:id="3" w:name="_Toc511729185"/>
      <w:r w:rsidRPr="00806827">
        <w:rPr>
          <w:b/>
        </w:rPr>
        <w:t xml:space="preserve">Supplemental </w:t>
      </w:r>
      <w:r w:rsidR="00871744" w:rsidRPr="00806827">
        <w:rPr>
          <w:b/>
        </w:rPr>
        <w:t xml:space="preserve">Table </w:t>
      </w:r>
      <w:r w:rsidRPr="00806827">
        <w:rPr>
          <w:b/>
        </w:rPr>
        <w:t>2.</w:t>
      </w:r>
      <w:r w:rsidRPr="00806827">
        <w:t xml:space="preserve"> ICD diagnosis cod</w:t>
      </w:r>
      <w:r w:rsidR="00BD48D5" w:rsidRPr="00806827">
        <w:t xml:space="preserve">es for </w:t>
      </w:r>
      <w:r w:rsidR="00370C61" w:rsidRPr="00806827">
        <w:t xml:space="preserve">fatal </w:t>
      </w:r>
      <w:r w:rsidR="00BD48D5" w:rsidRPr="00806827">
        <w:t>cardiovascular endpoints</w:t>
      </w:r>
      <w:bookmarkEnd w:id="3"/>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390"/>
        <w:gridCol w:w="2422"/>
        <w:gridCol w:w="2399"/>
      </w:tblGrid>
      <w:tr w:rsidR="00167E3B" w:rsidRPr="00806827" w14:paraId="791CE366" w14:textId="77777777" w:rsidTr="00AC0C21">
        <w:tc>
          <w:tcPr>
            <w:tcW w:w="2149" w:type="dxa"/>
            <w:tcBorders>
              <w:top w:val="single" w:sz="4" w:space="0" w:color="auto"/>
              <w:bottom w:val="single" w:sz="4" w:space="0" w:color="auto"/>
            </w:tcBorders>
          </w:tcPr>
          <w:p w14:paraId="35CBDB86" w14:textId="77777777" w:rsidR="00167E3B" w:rsidRPr="00806827" w:rsidRDefault="00167E3B" w:rsidP="009E1F7A">
            <w:pPr>
              <w:spacing w:before="120" w:line="300" w:lineRule="auto"/>
              <w:rPr>
                <w:b/>
              </w:rPr>
            </w:pPr>
          </w:p>
        </w:tc>
        <w:tc>
          <w:tcPr>
            <w:tcW w:w="2390" w:type="dxa"/>
            <w:tcBorders>
              <w:top w:val="single" w:sz="4" w:space="0" w:color="auto"/>
              <w:bottom w:val="single" w:sz="4" w:space="0" w:color="auto"/>
            </w:tcBorders>
          </w:tcPr>
          <w:p w14:paraId="68B1762C" w14:textId="77777777" w:rsidR="00167E3B" w:rsidRPr="00806827" w:rsidRDefault="00167E3B" w:rsidP="009E1F7A">
            <w:pPr>
              <w:spacing w:before="120" w:line="300" w:lineRule="auto"/>
              <w:rPr>
                <w:b/>
              </w:rPr>
            </w:pPr>
            <w:r w:rsidRPr="00806827">
              <w:rPr>
                <w:b/>
              </w:rPr>
              <w:t>ICD-8 codes</w:t>
            </w:r>
          </w:p>
        </w:tc>
        <w:tc>
          <w:tcPr>
            <w:tcW w:w="2422" w:type="dxa"/>
            <w:tcBorders>
              <w:top w:val="single" w:sz="4" w:space="0" w:color="auto"/>
              <w:bottom w:val="single" w:sz="4" w:space="0" w:color="auto"/>
            </w:tcBorders>
          </w:tcPr>
          <w:p w14:paraId="7B0F75A9" w14:textId="77777777" w:rsidR="00167E3B" w:rsidRPr="00806827" w:rsidRDefault="00167E3B" w:rsidP="009E1F7A">
            <w:pPr>
              <w:spacing w:before="120" w:line="300" w:lineRule="auto"/>
              <w:rPr>
                <w:b/>
              </w:rPr>
            </w:pPr>
            <w:r w:rsidRPr="00806827">
              <w:rPr>
                <w:b/>
              </w:rPr>
              <w:t>ICD-9 codes</w:t>
            </w:r>
          </w:p>
        </w:tc>
        <w:tc>
          <w:tcPr>
            <w:tcW w:w="2399" w:type="dxa"/>
            <w:tcBorders>
              <w:top w:val="single" w:sz="4" w:space="0" w:color="auto"/>
              <w:bottom w:val="single" w:sz="4" w:space="0" w:color="auto"/>
            </w:tcBorders>
          </w:tcPr>
          <w:p w14:paraId="1B21C204" w14:textId="77777777" w:rsidR="00167E3B" w:rsidRPr="00806827" w:rsidRDefault="00167E3B" w:rsidP="009E1F7A">
            <w:pPr>
              <w:spacing w:before="120" w:line="300" w:lineRule="auto"/>
              <w:rPr>
                <w:b/>
              </w:rPr>
            </w:pPr>
            <w:r w:rsidRPr="00806827">
              <w:rPr>
                <w:b/>
              </w:rPr>
              <w:t>ICD-10 codes</w:t>
            </w:r>
          </w:p>
        </w:tc>
      </w:tr>
      <w:tr w:rsidR="0084453F" w:rsidRPr="00806827" w14:paraId="0DECC112" w14:textId="77777777" w:rsidTr="0084453F">
        <w:trPr>
          <w:trHeight w:val="539"/>
        </w:trPr>
        <w:tc>
          <w:tcPr>
            <w:tcW w:w="2149" w:type="dxa"/>
            <w:tcBorders>
              <w:top w:val="nil"/>
              <w:bottom w:val="nil"/>
            </w:tcBorders>
            <w:vAlign w:val="center"/>
          </w:tcPr>
          <w:p w14:paraId="5A7EB936" w14:textId="7FB0734C" w:rsidR="0084453F" w:rsidRPr="00806827" w:rsidRDefault="0084453F" w:rsidP="0084453F">
            <w:pPr>
              <w:spacing w:line="300" w:lineRule="auto"/>
            </w:pPr>
            <w:r w:rsidRPr="00806827">
              <w:t>Fatal CHD</w:t>
            </w:r>
          </w:p>
        </w:tc>
        <w:tc>
          <w:tcPr>
            <w:tcW w:w="2390" w:type="dxa"/>
            <w:tcBorders>
              <w:top w:val="nil"/>
              <w:bottom w:val="nil"/>
            </w:tcBorders>
            <w:vAlign w:val="center"/>
          </w:tcPr>
          <w:p w14:paraId="4A942B54" w14:textId="670B49C9" w:rsidR="0084453F" w:rsidRPr="00806827" w:rsidRDefault="0084453F" w:rsidP="0084453F">
            <w:pPr>
              <w:spacing w:line="300" w:lineRule="auto"/>
              <w:rPr>
                <w:bCs/>
              </w:rPr>
            </w:pPr>
            <w:r w:rsidRPr="00806827">
              <w:t>410-414</w:t>
            </w:r>
          </w:p>
        </w:tc>
        <w:tc>
          <w:tcPr>
            <w:tcW w:w="2422" w:type="dxa"/>
            <w:tcBorders>
              <w:top w:val="nil"/>
              <w:bottom w:val="nil"/>
            </w:tcBorders>
            <w:vAlign w:val="center"/>
          </w:tcPr>
          <w:p w14:paraId="314EFFC5" w14:textId="10B9B74F" w:rsidR="0084453F" w:rsidRPr="00806827" w:rsidRDefault="0084453F" w:rsidP="0084453F">
            <w:pPr>
              <w:spacing w:line="300" w:lineRule="auto"/>
            </w:pPr>
            <w:r w:rsidRPr="00806827">
              <w:rPr>
                <w:bCs/>
              </w:rPr>
              <w:t>410-414</w:t>
            </w:r>
          </w:p>
        </w:tc>
        <w:tc>
          <w:tcPr>
            <w:tcW w:w="2399" w:type="dxa"/>
            <w:tcBorders>
              <w:top w:val="nil"/>
              <w:bottom w:val="nil"/>
            </w:tcBorders>
            <w:vAlign w:val="center"/>
          </w:tcPr>
          <w:p w14:paraId="3EB702A1" w14:textId="603FABAE" w:rsidR="0084453F" w:rsidRPr="00806827" w:rsidRDefault="0084453F" w:rsidP="0084453F">
            <w:pPr>
              <w:spacing w:line="300" w:lineRule="auto"/>
            </w:pPr>
            <w:r w:rsidRPr="00806827">
              <w:rPr>
                <w:bCs/>
              </w:rPr>
              <w:t>I20-I25</w:t>
            </w:r>
          </w:p>
        </w:tc>
      </w:tr>
      <w:tr w:rsidR="0084453F" w:rsidRPr="00806827" w14:paraId="0EF2C49C" w14:textId="77777777" w:rsidTr="0084453F">
        <w:trPr>
          <w:trHeight w:val="1026"/>
        </w:trPr>
        <w:tc>
          <w:tcPr>
            <w:tcW w:w="2149" w:type="dxa"/>
            <w:tcBorders>
              <w:top w:val="nil"/>
              <w:bottom w:val="single" w:sz="4" w:space="0" w:color="auto"/>
            </w:tcBorders>
            <w:vAlign w:val="center"/>
          </w:tcPr>
          <w:p w14:paraId="4EB77634" w14:textId="69F2F320" w:rsidR="0084453F" w:rsidRPr="00806827" w:rsidRDefault="0084453F" w:rsidP="0084453F">
            <w:pPr>
              <w:spacing w:line="300" w:lineRule="auto"/>
            </w:pPr>
            <w:r w:rsidRPr="00806827">
              <w:t>Fatal stroke</w:t>
            </w:r>
          </w:p>
        </w:tc>
        <w:tc>
          <w:tcPr>
            <w:tcW w:w="2390" w:type="dxa"/>
            <w:tcBorders>
              <w:top w:val="nil"/>
              <w:bottom w:val="single" w:sz="4" w:space="0" w:color="auto"/>
            </w:tcBorders>
            <w:vAlign w:val="center"/>
          </w:tcPr>
          <w:p w14:paraId="6F3E783D" w14:textId="69EB1A5D" w:rsidR="0084453F" w:rsidRPr="00806827" w:rsidRDefault="0084453F" w:rsidP="0084453F">
            <w:pPr>
              <w:spacing w:line="300" w:lineRule="auto"/>
              <w:rPr>
                <w:bCs/>
              </w:rPr>
            </w:pPr>
            <w:r w:rsidRPr="00806827">
              <w:t>430-433</w:t>
            </w:r>
          </w:p>
        </w:tc>
        <w:tc>
          <w:tcPr>
            <w:tcW w:w="2422" w:type="dxa"/>
            <w:tcBorders>
              <w:top w:val="nil"/>
              <w:bottom w:val="single" w:sz="4" w:space="0" w:color="auto"/>
            </w:tcBorders>
            <w:vAlign w:val="center"/>
          </w:tcPr>
          <w:p w14:paraId="4A97A3B6" w14:textId="14A97F4F" w:rsidR="0084453F" w:rsidRPr="00806827" w:rsidRDefault="0084453F" w:rsidP="0084453F">
            <w:pPr>
              <w:spacing w:line="300" w:lineRule="auto"/>
            </w:pPr>
            <w:r w:rsidRPr="00806827">
              <w:t>430, 431, 433-434</w:t>
            </w:r>
          </w:p>
        </w:tc>
        <w:tc>
          <w:tcPr>
            <w:tcW w:w="2399" w:type="dxa"/>
            <w:tcBorders>
              <w:top w:val="nil"/>
              <w:bottom w:val="single" w:sz="4" w:space="0" w:color="auto"/>
            </w:tcBorders>
            <w:vAlign w:val="center"/>
          </w:tcPr>
          <w:p w14:paraId="36705828" w14:textId="37A442BD" w:rsidR="0084453F" w:rsidRPr="00806827" w:rsidRDefault="0084453F" w:rsidP="0084453F">
            <w:pPr>
              <w:spacing w:line="300" w:lineRule="auto"/>
              <w:rPr>
                <w:lang w:val="nb-NO"/>
              </w:rPr>
            </w:pPr>
            <w:r w:rsidRPr="00806827">
              <w:rPr>
                <w:bCs/>
                <w:lang w:val="nb-NO"/>
              </w:rPr>
              <w:t>I60, I61, I63 (excluding I63.6), I64</w:t>
            </w:r>
          </w:p>
        </w:tc>
      </w:tr>
    </w:tbl>
    <w:p w14:paraId="6823AB54" w14:textId="7E01BCD6" w:rsidR="002C7C53" w:rsidRPr="00806827" w:rsidRDefault="00871744" w:rsidP="002C7C53">
      <w:pPr>
        <w:spacing w:before="120"/>
        <w:rPr>
          <w:sz w:val="20"/>
          <w:szCs w:val="20"/>
        </w:rPr>
      </w:pPr>
      <w:r w:rsidRPr="00806827">
        <w:rPr>
          <w:sz w:val="20"/>
          <w:szCs w:val="20"/>
        </w:rPr>
        <w:t>CHD=coronary heart disease</w:t>
      </w:r>
      <w:r w:rsidR="002C7C53" w:rsidRPr="00806827">
        <w:rPr>
          <w:sz w:val="20"/>
          <w:szCs w:val="20"/>
        </w:rPr>
        <w:br w:type="page"/>
      </w:r>
    </w:p>
    <w:p w14:paraId="14712D44" w14:textId="212A6EE4" w:rsidR="002C7C53" w:rsidRPr="00806827" w:rsidRDefault="002C7C53" w:rsidP="002C7C53">
      <w:r w:rsidRPr="00806827">
        <w:rPr>
          <w:b/>
        </w:rPr>
        <w:lastRenderedPageBreak/>
        <w:t>Supplemental Text 2.</w:t>
      </w:r>
      <w:r w:rsidRPr="00806827">
        <w:t xml:space="preserve"> Additional description of statistical methods</w:t>
      </w:r>
    </w:p>
    <w:p w14:paraId="64B8D0AD" w14:textId="7A4D5144" w:rsidR="002C7C53" w:rsidRPr="00806827" w:rsidRDefault="002C7C53" w:rsidP="002C7C53">
      <w:r w:rsidRPr="00806827">
        <w:t xml:space="preserve">a) </w:t>
      </w:r>
      <w:r w:rsidR="00325817" w:rsidRPr="00806827">
        <w:t>Cluster-r</w:t>
      </w:r>
      <w:r w:rsidRPr="00806827">
        <w:t xml:space="preserve">obust </w:t>
      </w:r>
      <w:r w:rsidR="00325817" w:rsidRPr="00806827">
        <w:t>variance</w:t>
      </w:r>
      <w:r w:rsidRPr="00806827">
        <w:t xml:space="preserve"> estimates</w:t>
      </w:r>
    </w:p>
    <w:p w14:paraId="24E4D85F" w14:textId="53CCA04C" w:rsidR="00445512" w:rsidRPr="00806827" w:rsidRDefault="002C7C53" w:rsidP="00445512">
      <w:r w:rsidRPr="00806827">
        <w:tab/>
        <w:t xml:space="preserve">In the presence of clustered data, as in this </w:t>
      </w:r>
      <w:r w:rsidR="00A374C1" w:rsidRPr="00806827">
        <w:t>manuscript</w:t>
      </w:r>
      <w:r w:rsidRPr="00806827">
        <w:t xml:space="preserve"> where observations were clustered within women, naively estimated confidence intervals can be falsely narrow. To adjust for the correlation within women, we used </w:t>
      </w:r>
      <w:r w:rsidR="00325817" w:rsidRPr="00806827">
        <w:t>cluster-</w:t>
      </w:r>
      <w:r w:rsidRPr="00806827">
        <w:t xml:space="preserve">robust estimates of the variance-covariance matrix. </w:t>
      </w:r>
      <w:r w:rsidR="00325817" w:rsidRPr="00806827">
        <w:t xml:space="preserve"> Robust </w:t>
      </w:r>
      <w:r w:rsidR="00A374C1" w:rsidRPr="00806827">
        <w:t xml:space="preserve">variance </w:t>
      </w:r>
      <w:r w:rsidR="00325817" w:rsidRPr="00806827">
        <w:t>estimation</w:t>
      </w:r>
      <w:r w:rsidR="00A374C1" w:rsidRPr="00806827">
        <w:t xml:space="preserve"> </w:t>
      </w:r>
      <w:r w:rsidR="00325817" w:rsidRPr="00806827">
        <w:t xml:space="preserve">can </w:t>
      </w:r>
      <w:r w:rsidR="00A374C1" w:rsidRPr="00806827">
        <w:t>be referred to</w:t>
      </w:r>
      <w:r w:rsidR="00325817" w:rsidRPr="00806827">
        <w:t xml:space="preserve"> by many </w:t>
      </w:r>
      <w:r w:rsidR="00A374C1" w:rsidRPr="00806827">
        <w:t>different names, including sandwich or Huber-White</w:t>
      </w:r>
      <w:r w:rsidR="00A374C1" w:rsidRPr="00806827">
        <w:rPr>
          <w:vertAlign w:val="superscript"/>
        </w:rPr>
        <w:t>1,2</w:t>
      </w:r>
      <w:r w:rsidR="00A374C1" w:rsidRPr="00806827">
        <w:t xml:space="preserve"> estimation</w:t>
      </w:r>
      <w:r w:rsidR="00445512" w:rsidRPr="00806827">
        <w:t>. In brief, the robust variance estimator can be thought of as a sandwich where the “bread” is the conventional estimator of variance and, in the context of survival analysis, the “meat” is typically an empirical variance estimator calculated using score residuals. The cluster-robust variance estimator is an extension of the robust variance estimator where the score residuals used to compute the “meat” of the sandwich are aggregated over identical ID values (in this case, aggregated across observations for the same woman). We implemented this method in SAS using the COVSANDWICH(AGGREGATE) option in PROC PHREG</w:t>
      </w:r>
      <w:r w:rsidR="00445512" w:rsidRPr="00806827">
        <w:rPr>
          <w:vertAlign w:val="superscript"/>
        </w:rPr>
        <w:t>3</w:t>
      </w:r>
      <w:r w:rsidR="00445512" w:rsidRPr="00806827">
        <w:t xml:space="preserve">. </w:t>
      </w:r>
    </w:p>
    <w:p w14:paraId="6655CD69" w14:textId="77777777" w:rsidR="00A374C1" w:rsidRPr="00806827" w:rsidRDefault="00A374C1" w:rsidP="002C7C53"/>
    <w:p w14:paraId="2C3EB139" w14:textId="4D0D25F5" w:rsidR="004C64EC" w:rsidRPr="00806827" w:rsidRDefault="004C64EC" w:rsidP="007C45A2">
      <w:r w:rsidRPr="00806827">
        <w:t>b) Multiple imputation</w:t>
      </w:r>
    </w:p>
    <w:p w14:paraId="293FFEE8" w14:textId="074B6CDE" w:rsidR="007C45A2" w:rsidRPr="00806827" w:rsidRDefault="004C64EC" w:rsidP="007C45A2">
      <w:pPr>
        <w:rPr>
          <w:u w:val="single"/>
        </w:rPr>
      </w:pPr>
      <w:r w:rsidRPr="00806827">
        <w:rPr>
          <w:u w:val="single"/>
        </w:rPr>
        <w:t>Multiple i</w:t>
      </w:r>
      <w:r w:rsidR="007C45A2" w:rsidRPr="00806827">
        <w:rPr>
          <w:u w:val="single"/>
        </w:rPr>
        <w:t xml:space="preserve">mputation </w:t>
      </w:r>
      <w:r w:rsidRPr="00806827">
        <w:rPr>
          <w:u w:val="single"/>
        </w:rPr>
        <w:t>m</w:t>
      </w:r>
      <w:r w:rsidR="007C45A2" w:rsidRPr="00806827">
        <w:rPr>
          <w:u w:val="single"/>
        </w:rPr>
        <w:t xml:space="preserve">ethods </w:t>
      </w:r>
      <w:r w:rsidRPr="00806827">
        <w:rPr>
          <w:u w:val="single"/>
        </w:rPr>
        <w:t>o</w:t>
      </w:r>
      <w:r w:rsidR="007C45A2" w:rsidRPr="00806827">
        <w:rPr>
          <w:u w:val="single"/>
        </w:rPr>
        <w:t>verview</w:t>
      </w:r>
    </w:p>
    <w:p w14:paraId="01FB62D0" w14:textId="41AD628A" w:rsidR="000900CB" w:rsidRPr="00806827" w:rsidRDefault="00746E08" w:rsidP="000900CB">
      <w:pPr>
        <w:ind w:firstLine="720"/>
      </w:pPr>
      <w:r w:rsidRPr="00806827">
        <w:t>To impute pregnancy complications for pregnancies either 1) missing from the registry or 2) with incomplete information in the registry, we used multiple imputation by fully conditional specification (FCS)</w:t>
      </w:r>
      <w:r w:rsidRPr="00806827">
        <w:rPr>
          <w:vertAlign w:val="superscript"/>
        </w:rPr>
        <w:t>4</w:t>
      </w:r>
      <w:r w:rsidRPr="00806827">
        <w:t>. FCS is also sometimes refer</w:t>
      </w:r>
      <w:r w:rsidR="007542EC" w:rsidRPr="00806827">
        <w:t>red to as multiple imputation by chained equations (MICE</w:t>
      </w:r>
      <w:r w:rsidR="00146AD9" w:rsidRPr="00806827">
        <w:t xml:space="preserve"> or ICE</w:t>
      </w:r>
      <w:r w:rsidR="007542EC" w:rsidRPr="00806827">
        <w:t xml:space="preserve">) or sequential regression multiple imputation. </w:t>
      </w:r>
      <w:r w:rsidR="000900CB" w:rsidRPr="00806827">
        <w:t>In short, the FCS algorithm uses the following steps</w:t>
      </w:r>
      <w:r w:rsidR="00146AD9" w:rsidRPr="00806827">
        <w:rPr>
          <w:vertAlign w:val="superscript"/>
        </w:rPr>
        <w:t>5</w:t>
      </w:r>
      <w:r w:rsidR="000900CB" w:rsidRPr="00806827">
        <w:t>:</w:t>
      </w:r>
    </w:p>
    <w:p w14:paraId="119E56A8" w14:textId="726E2D3E" w:rsidR="003452EF" w:rsidRPr="00806827" w:rsidRDefault="000900CB" w:rsidP="000900CB">
      <w:pPr>
        <w:pStyle w:val="ListParagraph"/>
        <w:numPr>
          <w:ilvl w:val="0"/>
          <w:numId w:val="13"/>
        </w:numPr>
      </w:pPr>
      <w:r w:rsidRPr="00806827">
        <w:t>Fill in random values for missing variables by sampling with replacement from the observed values</w:t>
      </w:r>
    </w:p>
    <w:p w14:paraId="5896192A" w14:textId="22525FCA" w:rsidR="000900CB" w:rsidRPr="00806827" w:rsidRDefault="000900CB" w:rsidP="000900CB">
      <w:pPr>
        <w:pStyle w:val="ListParagraph"/>
        <w:numPr>
          <w:ilvl w:val="0"/>
          <w:numId w:val="13"/>
        </w:numPr>
      </w:pPr>
      <w:r w:rsidRPr="00806827">
        <w:t>Start</w:t>
      </w:r>
      <w:r w:rsidR="00146AD9" w:rsidRPr="00806827">
        <w:t>ing with one variable (X</w:t>
      </w:r>
      <w:r w:rsidR="00146AD9" w:rsidRPr="00806827">
        <w:rPr>
          <w:vertAlign w:val="subscript"/>
        </w:rPr>
        <w:t>1</w:t>
      </w:r>
      <w:r w:rsidR="00146AD9" w:rsidRPr="00806827">
        <w:t xml:space="preserve"> for example)</w:t>
      </w:r>
      <w:r w:rsidRPr="00806827">
        <w:t xml:space="preserve">, </w:t>
      </w:r>
      <w:r w:rsidR="00FE422D" w:rsidRPr="00806827">
        <w:t>build a prediction model for</w:t>
      </w:r>
      <w:r w:rsidRPr="00806827">
        <w:t xml:space="preserve"> the observed values of the variable</w:t>
      </w:r>
      <w:r w:rsidR="00FE422D" w:rsidRPr="00806827">
        <w:t xml:space="preserve"> based</w:t>
      </w:r>
      <w:r w:rsidRPr="00806827">
        <w:t xml:space="preserve"> on all of the other variables</w:t>
      </w:r>
    </w:p>
    <w:p w14:paraId="60AA6552" w14:textId="658A05BE" w:rsidR="000900CB" w:rsidRPr="00806827" w:rsidRDefault="000900CB" w:rsidP="000900CB">
      <w:pPr>
        <w:pStyle w:val="ListParagraph"/>
        <w:numPr>
          <w:ilvl w:val="0"/>
          <w:numId w:val="13"/>
        </w:numPr>
      </w:pPr>
      <w:r w:rsidRPr="00806827">
        <w:t xml:space="preserve">Impute missing values of </w:t>
      </w:r>
      <w:r w:rsidR="00146AD9" w:rsidRPr="00806827">
        <w:t>X</w:t>
      </w:r>
      <w:r w:rsidR="00146AD9" w:rsidRPr="00806827">
        <w:rPr>
          <w:vertAlign w:val="subscript"/>
        </w:rPr>
        <w:t>1</w:t>
      </w:r>
      <w:r w:rsidR="00146AD9" w:rsidRPr="00806827">
        <w:t xml:space="preserve"> based on this </w:t>
      </w:r>
      <w:r w:rsidR="00FE422D" w:rsidRPr="00806827">
        <w:t>prediction model</w:t>
      </w:r>
      <w:r w:rsidR="00146AD9" w:rsidRPr="00806827">
        <w:t>, filling in the randomly chosen values with these imputed values</w:t>
      </w:r>
    </w:p>
    <w:p w14:paraId="36ADCFCA" w14:textId="71978B54" w:rsidR="00146AD9" w:rsidRPr="00806827" w:rsidRDefault="00146AD9" w:rsidP="00146AD9">
      <w:pPr>
        <w:pStyle w:val="ListParagraph"/>
        <w:numPr>
          <w:ilvl w:val="0"/>
          <w:numId w:val="13"/>
        </w:numPr>
      </w:pPr>
      <w:r w:rsidRPr="00806827">
        <w:t>Repeat for all variables until all of the random values are filled in with imputed values</w:t>
      </w:r>
    </w:p>
    <w:p w14:paraId="5DC90768" w14:textId="77777777" w:rsidR="004C1A65" w:rsidRPr="00806827" w:rsidRDefault="004C1A65" w:rsidP="004C1A65">
      <w:pPr>
        <w:pStyle w:val="ListParagraph"/>
      </w:pPr>
    </w:p>
    <w:p w14:paraId="69F06B46" w14:textId="0DA1578F" w:rsidR="007C45A2" w:rsidRPr="00806827" w:rsidRDefault="00BA54BB" w:rsidP="003452EF">
      <w:pPr>
        <w:ind w:firstLine="720"/>
      </w:pPr>
      <w:r w:rsidRPr="00806827">
        <w:t xml:space="preserve">We used PROC MI in SAS to run the FCS algorithm. </w:t>
      </w:r>
      <w:r w:rsidR="007C45A2" w:rsidRPr="00806827">
        <w:t xml:space="preserve">We chose to impute 20 times which means these steps were repeated 20 times resulting in 20 datasets with different imputed values. </w:t>
      </w:r>
      <w:r w:rsidR="00B32723" w:rsidRPr="00806827">
        <w:t>At 20 imputations, the efficiency in estimating beta coefficients is similar to the efficiency we would have seen had we used an infinite number of iterations</w:t>
      </w:r>
      <w:r w:rsidR="00B32723" w:rsidRPr="00806827">
        <w:rPr>
          <w:vertAlign w:val="superscript"/>
        </w:rPr>
        <w:t>5</w:t>
      </w:r>
      <w:r w:rsidR="00B32723" w:rsidRPr="00806827">
        <w:t>. In addition, we found little change in estimates when moving from 10 imputations to 20, suggesting that the increased computing time to produce additional imputations would have little to no effect on results.</w:t>
      </w:r>
    </w:p>
    <w:p w14:paraId="42282134" w14:textId="5B9D42BE" w:rsidR="00BA54BB" w:rsidRPr="00806827" w:rsidRDefault="00BA54BB" w:rsidP="003452EF">
      <w:pPr>
        <w:ind w:firstLine="720"/>
      </w:pPr>
      <w:r w:rsidRPr="00806827">
        <w:t>In all Fine and Gray competing risk models reported in this paper that</w:t>
      </w:r>
      <w:r w:rsidR="00C66707" w:rsidRPr="00806827">
        <w:t xml:space="preserve"> included</w:t>
      </w:r>
      <w:r w:rsidRPr="00806827">
        <w:t xml:space="preserve"> pregnancy complications, we ran the model on each of the 20 datasets</w:t>
      </w:r>
      <w:r w:rsidR="00C66707" w:rsidRPr="00806827">
        <w:t>. Beta coefficients were calculated as the average across the 20 datasets</w:t>
      </w:r>
      <w:r w:rsidRPr="00806827">
        <w:t xml:space="preserve"> and standard errors</w:t>
      </w:r>
      <w:r w:rsidR="00C66707" w:rsidRPr="00806827">
        <w:t xml:space="preserve"> were corrected</w:t>
      </w:r>
      <w:r w:rsidRPr="00806827">
        <w:t xml:space="preserve"> using Rubin’s </w:t>
      </w:r>
      <w:r w:rsidRPr="00806827">
        <w:lastRenderedPageBreak/>
        <w:t>rules</w:t>
      </w:r>
      <w:r w:rsidRPr="00806827">
        <w:rPr>
          <w:vertAlign w:val="superscript"/>
        </w:rPr>
        <w:t>6</w:t>
      </w:r>
      <w:r w:rsidRPr="00806827">
        <w:t xml:space="preserve">. </w:t>
      </w:r>
      <w:r w:rsidR="00C66707" w:rsidRPr="00806827">
        <w:t xml:space="preserve">We used PROC MIANALYZE in SAS to </w:t>
      </w:r>
      <w:r w:rsidR="00407F1E" w:rsidRPr="00806827">
        <w:t xml:space="preserve">calculate </w:t>
      </w:r>
      <w:r w:rsidR="00C66707" w:rsidRPr="00806827">
        <w:t>correct</w:t>
      </w:r>
      <w:r w:rsidR="00407F1E" w:rsidRPr="00806827">
        <w:t>ed</w:t>
      </w:r>
      <w:r w:rsidR="00C66707" w:rsidRPr="00806827">
        <w:t xml:space="preserve"> standard errors</w:t>
      </w:r>
      <w:r w:rsidR="00407F1E" w:rsidRPr="00806827">
        <w:t>, confidence intervals, and p-values, including confidence intervals reported in Table 2 and the Wald test for model fit reported in the results section</w:t>
      </w:r>
      <w:r w:rsidR="00C66707" w:rsidRPr="00806827">
        <w:t xml:space="preserve">. </w:t>
      </w:r>
      <w:r w:rsidR="00407F1E" w:rsidRPr="00806827">
        <w:t>All other prediction metrics (for calibration, discrimination, and reclassification)</w:t>
      </w:r>
      <w:r w:rsidR="00C66707" w:rsidRPr="00806827">
        <w:t xml:space="preserve"> </w:t>
      </w:r>
      <w:r w:rsidR="00407F1E" w:rsidRPr="00806827">
        <w:t>are based only on point estimates and not prediction model standard errors so they did not require any corrections for multiple imputation.</w:t>
      </w:r>
    </w:p>
    <w:p w14:paraId="3FC85423" w14:textId="77777777" w:rsidR="00C66707" w:rsidRPr="00806827" w:rsidRDefault="00C66707" w:rsidP="002A1B48">
      <w:pPr>
        <w:ind w:firstLine="720"/>
      </w:pPr>
    </w:p>
    <w:p w14:paraId="22816330" w14:textId="62630451" w:rsidR="00745FF9" w:rsidRPr="00806827" w:rsidRDefault="00745FF9" w:rsidP="00745FF9">
      <w:pPr>
        <w:rPr>
          <w:u w:val="single"/>
        </w:rPr>
      </w:pPr>
      <w:r w:rsidRPr="00806827">
        <w:rPr>
          <w:u w:val="single"/>
        </w:rPr>
        <w:t xml:space="preserve">Imputation </w:t>
      </w:r>
      <w:r w:rsidR="004C64EC" w:rsidRPr="00806827">
        <w:rPr>
          <w:u w:val="single"/>
        </w:rPr>
        <w:t>o</w:t>
      </w:r>
      <w:r w:rsidR="000F58D8" w:rsidRPr="00806827">
        <w:rPr>
          <w:u w:val="single"/>
        </w:rPr>
        <w:t xml:space="preserve">utcome </w:t>
      </w:r>
      <w:r w:rsidR="004C64EC" w:rsidRPr="00806827">
        <w:rPr>
          <w:u w:val="single"/>
        </w:rPr>
        <w:t>v</w:t>
      </w:r>
      <w:r w:rsidRPr="00806827">
        <w:rPr>
          <w:u w:val="single"/>
        </w:rPr>
        <w:t xml:space="preserve">ariables: </w:t>
      </w:r>
    </w:p>
    <w:p w14:paraId="6B875F64" w14:textId="6BB7D784" w:rsidR="00D06810" w:rsidRPr="00806827" w:rsidRDefault="00745FF9" w:rsidP="00D06810">
      <w:pPr>
        <w:ind w:firstLine="720"/>
      </w:pPr>
      <w:r w:rsidRPr="00806827">
        <w:t>We imputed pregnancy complications separately by birth order given the</w:t>
      </w:r>
      <w:r w:rsidR="00D00E09" w:rsidRPr="00806827">
        <w:t xml:space="preserve"> known</w:t>
      </w:r>
      <w:r w:rsidRPr="00806827">
        <w:t xml:space="preserve"> differences in prevalence of pregnancy complications, particularly preeclampsia, by birth order. We imputed complications only for the first three </w:t>
      </w:r>
      <w:r w:rsidR="00D06810" w:rsidRPr="00806827">
        <w:t>pregnancies</w:t>
      </w:r>
      <w:r w:rsidRPr="00806827">
        <w:t xml:space="preserve"> </w:t>
      </w:r>
      <w:r w:rsidR="00362602" w:rsidRPr="00806827">
        <w:t xml:space="preserve">because information about later </w:t>
      </w:r>
      <w:r w:rsidR="00D06810" w:rsidRPr="00806827">
        <w:t xml:space="preserve">pregnancies </w:t>
      </w:r>
      <w:r w:rsidR="00362602" w:rsidRPr="00806827">
        <w:t xml:space="preserve">was more complete. In addition, there were few observed pregnancy complications in fourth or later </w:t>
      </w:r>
      <w:r w:rsidR="00D06810" w:rsidRPr="00806827">
        <w:t xml:space="preserve">pregnancy </w:t>
      </w:r>
      <w:r w:rsidR="00362602" w:rsidRPr="00806827">
        <w:t>(for example, onl</w:t>
      </w:r>
      <w:r w:rsidR="002544F8" w:rsidRPr="00806827">
        <w:t>y 56</w:t>
      </w:r>
      <w:r w:rsidR="00362602" w:rsidRPr="00806827">
        <w:t xml:space="preserve"> observed </w:t>
      </w:r>
      <w:r w:rsidR="002544F8" w:rsidRPr="00806827">
        <w:t>preterm deliveries</w:t>
      </w:r>
      <w:r w:rsidR="00362602" w:rsidRPr="00806827">
        <w:t xml:space="preserve"> in fourth or later </w:t>
      </w:r>
      <w:r w:rsidR="00D06810" w:rsidRPr="00806827">
        <w:t>pregnancies</w:t>
      </w:r>
      <w:r w:rsidR="00362602" w:rsidRPr="00806827">
        <w:t>)</w:t>
      </w:r>
      <w:r w:rsidR="000F58D8" w:rsidRPr="00806827">
        <w:t xml:space="preserve"> and imputation is less accurate with fewer observations. In total, we imputed 12 variables (</w:t>
      </w:r>
      <w:r w:rsidR="008B5949" w:rsidRPr="00806827">
        <w:t>i.e. 4 individual pregnancy complications across a woman’s first three pregnancies</w:t>
      </w:r>
      <w:r w:rsidR="000F58D8" w:rsidRPr="00806827">
        <w:t>). After imputing the pregnancy c</w:t>
      </w:r>
      <w:r w:rsidR="00D06810" w:rsidRPr="00806827">
        <w:t>omplication</w:t>
      </w:r>
      <w:r w:rsidR="000F58D8" w:rsidRPr="00806827">
        <w:t xml:space="preserve"> status for each </w:t>
      </w:r>
      <w:r w:rsidR="00D06810" w:rsidRPr="00806827">
        <w:t>pregnancy separately, we aggregated across all pregnancies</w:t>
      </w:r>
      <w:r w:rsidR="00256533" w:rsidRPr="00806827">
        <w:t xml:space="preserve"> (observed and imputed)</w:t>
      </w:r>
      <w:r w:rsidR="00D06810" w:rsidRPr="00806827">
        <w:t xml:space="preserve"> to indicate</w:t>
      </w:r>
      <w:r w:rsidR="00D06810" w:rsidRPr="00806827">
        <w:rPr>
          <w:bCs/>
        </w:rPr>
        <w:t xml:space="preserve"> whether the women had any history of the complication of interest.</w:t>
      </w:r>
    </w:p>
    <w:p w14:paraId="0F9A3116" w14:textId="77777777" w:rsidR="000F58D8" w:rsidRPr="00806827" w:rsidRDefault="000F58D8" w:rsidP="00745FF9">
      <w:pPr>
        <w:ind w:firstLine="720"/>
      </w:pPr>
    </w:p>
    <w:p w14:paraId="2CED2857" w14:textId="5F2AEB77" w:rsidR="000F58D8" w:rsidRPr="00806827" w:rsidRDefault="000F58D8" w:rsidP="000F58D8">
      <w:pPr>
        <w:rPr>
          <w:u w:val="single"/>
        </w:rPr>
      </w:pPr>
      <w:r w:rsidRPr="00806827">
        <w:rPr>
          <w:u w:val="single"/>
        </w:rPr>
        <w:t xml:space="preserve">Imputation </w:t>
      </w:r>
      <w:r w:rsidR="004C64EC" w:rsidRPr="00806827">
        <w:rPr>
          <w:u w:val="single"/>
        </w:rPr>
        <w:t>p</w:t>
      </w:r>
      <w:r w:rsidRPr="00806827">
        <w:rPr>
          <w:u w:val="single"/>
        </w:rPr>
        <w:t>redictor variables</w:t>
      </w:r>
    </w:p>
    <w:p w14:paraId="0A06A8DF" w14:textId="1AEF975B" w:rsidR="00256533" w:rsidRPr="00806827" w:rsidRDefault="00256533" w:rsidP="00256533">
      <w:pPr>
        <w:ind w:firstLine="720"/>
      </w:pPr>
      <w:r w:rsidRPr="00806827">
        <w:t>We included the following predictors in our imputation models: 1) maternal birth year, 2) whether the mother had a CVD event during follow-up, 3) whether the mother died from a non-CVD cause during follow-up, 4) all covariates included in the prediction model (age, age-squared, systolic blood pressure, serum total cholesterol, daily smoking, interaction terms for systolic blood pressure and age and daily smoking and age, antihypertensive use, low HDL-cholesterol, and family history of premature MI)</w:t>
      </w:r>
      <w:r w:rsidR="00654B20" w:rsidRPr="00806827">
        <w:t>, and 5) pregnancy complications in other births.</w:t>
      </w:r>
      <w:r w:rsidR="009A6D92" w:rsidRPr="00806827">
        <w:t xml:space="preserve"> We assumed that the data were missing at random (MAR)</w:t>
      </w:r>
      <w:r w:rsidR="009A6D92" w:rsidRPr="00806827">
        <w:rPr>
          <w:vertAlign w:val="superscript"/>
        </w:rPr>
        <w:t>6</w:t>
      </w:r>
      <w:r w:rsidR="009A6D92" w:rsidRPr="00806827">
        <w:t xml:space="preserve"> after accounting for these variables. In other words, that the probability we had complete information on pregnancy complications did not depend on whether the woman had a pregnancy complication, after </w:t>
      </w:r>
      <w:r w:rsidR="00C1388C" w:rsidRPr="00806827">
        <w:t>controlling</w:t>
      </w:r>
      <w:r w:rsidR="009A6D92" w:rsidRPr="00806827">
        <w:t xml:space="preserve"> for these variables. We think this is a reasonable assumption, particularly after controlling for birth year since the major reason for missing data was that births occurred prior to the start of the registry in 1967 which was more likely to happen for older women.</w:t>
      </w:r>
    </w:p>
    <w:p w14:paraId="4D05C2DD" w14:textId="06230F17" w:rsidR="00256533" w:rsidRPr="00806827" w:rsidRDefault="00256533" w:rsidP="00256533">
      <w:pPr>
        <w:ind w:firstLine="720"/>
      </w:pPr>
    </w:p>
    <w:p w14:paraId="54F0280A" w14:textId="79A7F300" w:rsidR="000F58D8" w:rsidRPr="00806827" w:rsidRDefault="000F58D8" w:rsidP="000F58D8">
      <w:pPr>
        <w:rPr>
          <w:u w:val="single"/>
        </w:rPr>
      </w:pPr>
      <w:r w:rsidRPr="00806827">
        <w:rPr>
          <w:u w:val="single"/>
        </w:rPr>
        <w:t xml:space="preserve">Imputation </w:t>
      </w:r>
      <w:r w:rsidR="00C128CA" w:rsidRPr="00806827">
        <w:rPr>
          <w:u w:val="single"/>
        </w:rPr>
        <w:t>prediction</w:t>
      </w:r>
      <w:r w:rsidRPr="00806827">
        <w:rPr>
          <w:u w:val="single"/>
        </w:rPr>
        <w:t xml:space="preserve"> method</w:t>
      </w:r>
    </w:p>
    <w:p w14:paraId="42C378DE" w14:textId="31CE75EA" w:rsidR="00746E08" w:rsidRPr="00806827" w:rsidRDefault="004C64EC" w:rsidP="00FE422D">
      <w:pPr>
        <w:ind w:firstLine="720"/>
      </w:pPr>
      <w:r w:rsidRPr="00806827">
        <w:t xml:space="preserve">We used </w:t>
      </w:r>
      <w:r w:rsidR="00FE422D" w:rsidRPr="00806827">
        <w:t xml:space="preserve">the </w:t>
      </w:r>
      <w:r w:rsidRPr="00806827">
        <w:t xml:space="preserve">discriminant function </w:t>
      </w:r>
      <w:r w:rsidR="00561457" w:rsidRPr="00806827">
        <w:t xml:space="preserve">method to classify </w:t>
      </w:r>
      <w:r w:rsidR="00FE422D" w:rsidRPr="00806827">
        <w:t>women as having had a pregnancy complication or not (for example, preeclampsia in first pregnancy yes or no) for each imputation. We chose the discriminant function a prior</w:t>
      </w:r>
      <w:r w:rsidR="008B5949" w:rsidRPr="00806827">
        <w:t>i</w:t>
      </w:r>
      <w:r w:rsidR="00FE422D" w:rsidRPr="00806827">
        <w:t xml:space="preserve"> since it has less issues with convergence than logistic regression</w:t>
      </w:r>
      <w:r w:rsidR="008B5949" w:rsidRPr="00806827">
        <w:t>; however,</w:t>
      </w:r>
      <w:r w:rsidR="00FE422D" w:rsidRPr="00806827">
        <w:t xml:space="preserve"> in sensitivity analyses</w:t>
      </w:r>
      <w:r w:rsidR="008B5949" w:rsidRPr="00806827">
        <w:t>,</w:t>
      </w:r>
      <w:r w:rsidR="00FE422D" w:rsidRPr="00806827">
        <w:t xml:space="preserve"> we found similar results using logistic regression. </w:t>
      </w:r>
    </w:p>
    <w:p w14:paraId="6000B330" w14:textId="77777777" w:rsidR="00746E08" w:rsidRPr="00806827" w:rsidRDefault="00746E08" w:rsidP="002C7C53"/>
    <w:p w14:paraId="2B0DA2F6" w14:textId="10C05372" w:rsidR="00721AF7" w:rsidRPr="00806827" w:rsidRDefault="004C64EC" w:rsidP="00721AF7">
      <w:r w:rsidRPr="00806827">
        <w:rPr>
          <w:u w:val="single"/>
        </w:rPr>
        <w:lastRenderedPageBreak/>
        <w:t>Comparison of women with and without missing</w:t>
      </w:r>
      <w:r w:rsidR="009A6D92" w:rsidRPr="00806827">
        <w:rPr>
          <w:u w:val="single"/>
        </w:rPr>
        <w:t xml:space="preserve"> pregnancy information</w:t>
      </w:r>
    </w:p>
    <w:p w14:paraId="76FB5FD7" w14:textId="10ABE207" w:rsidR="006A08DF" w:rsidRPr="00806827" w:rsidRDefault="006A08DF" w:rsidP="006A08DF">
      <w:pPr>
        <w:ind w:firstLine="720"/>
      </w:pPr>
      <w:r w:rsidRPr="00806827">
        <w:t>Women with incomplete pregnancy complication history (i.e. women with at least one pregnancy that was either missing from the registry or</w:t>
      </w:r>
      <w:r w:rsidR="00DD7C5B" w:rsidRPr="00806827">
        <w:t xml:space="preserve"> who</w:t>
      </w:r>
      <w:r w:rsidRPr="00806827">
        <w:t xml:space="preserve"> had incomplete information in the registry) were more likely to be born earlier and</w:t>
      </w:r>
      <w:r w:rsidR="00DD7C5B" w:rsidRPr="00806827">
        <w:t>,</w:t>
      </w:r>
      <w:r w:rsidRPr="00806827">
        <w:t xml:space="preserve"> thus</w:t>
      </w:r>
      <w:r w:rsidR="00DD7C5B" w:rsidRPr="00806827">
        <w:t>,</w:t>
      </w:r>
      <w:r w:rsidRPr="00806827">
        <w:t xml:space="preserve"> older at the time of the HUNT examinations. After age-standardizing, </w:t>
      </w:r>
      <w:r w:rsidR="00C128CA" w:rsidRPr="00806827">
        <w:t>women with incomplete history had somewhat higher levels of blood pressure, serum total cholesterol, and smoking. These variables were all included in the imputation prediction models.</w:t>
      </w:r>
    </w:p>
    <w:tbl>
      <w:tblPr>
        <w:tblW w:w="9777" w:type="dxa"/>
        <w:tblLook w:val="04A0" w:firstRow="1" w:lastRow="0" w:firstColumn="1" w:lastColumn="0" w:noHBand="0" w:noVBand="1"/>
      </w:tblPr>
      <w:tblGrid>
        <w:gridCol w:w="5150"/>
        <w:gridCol w:w="2276"/>
        <w:gridCol w:w="2351"/>
      </w:tblGrid>
      <w:tr w:rsidR="00721AF7" w:rsidRPr="00806827" w14:paraId="1B9182F9" w14:textId="77777777" w:rsidTr="006A08DF">
        <w:trPr>
          <w:trHeight w:val="906"/>
        </w:trPr>
        <w:tc>
          <w:tcPr>
            <w:tcW w:w="5150" w:type="dxa"/>
            <w:tcBorders>
              <w:top w:val="single" w:sz="4" w:space="0" w:color="auto"/>
              <w:left w:val="nil"/>
              <w:bottom w:val="single" w:sz="4" w:space="0" w:color="auto"/>
              <w:right w:val="nil"/>
            </w:tcBorders>
            <w:shd w:val="clear" w:color="auto" w:fill="auto"/>
            <w:noWrap/>
            <w:vAlign w:val="bottom"/>
            <w:hideMark/>
          </w:tcPr>
          <w:p w14:paraId="45318AEA" w14:textId="77777777" w:rsidR="00721AF7" w:rsidRPr="00806827" w:rsidRDefault="00721AF7" w:rsidP="00721AF7">
            <w:pPr>
              <w:spacing w:before="120" w:after="0" w:line="300" w:lineRule="auto"/>
              <w:rPr>
                <w:rFonts w:cs="Times New Roman"/>
                <w:sz w:val="22"/>
              </w:rPr>
            </w:pPr>
          </w:p>
        </w:tc>
        <w:tc>
          <w:tcPr>
            <w:tcW w:w="2276" w:type="dxa"/>
            <w:tcBorders>
              <w:top w:val="single" w:sz="4" w:space="0" w:color="auto"/>
              <w:left w:val="nil"/>
              <w:bottom w:val="single" w:sz="4" w:space="0" w:color="auto"/>
              <w:right w:val="nil"/>
            </w:tcBorders>
            <w:vAlign w:val="bottom"/>
          </w:tcPr>
          <w:p w14:paraId="18AAFACB" w14:textId="4664769E" w:rsidR="00721AF7" w:rsidRPr="00806827" w:rsidRDefault="00721AF7" w:rsidP="00721AF7">
            <w:pPr>
              <w:spacing w:before="120" w:after="0" w:line="300" w:lineRule="auto"/>
              <w:jc w:val="center"/>
              <w:rPr>
                <w:rFonts w:cs="Times New Roman"/>
                <w:b/>
                <w:bCs/>
                <w:color w:val="000000"/>
                <w:sz w:val="22"/>
              </w:rPr>
            </w:pPr>
            <w:r w:rsidRPr="00806827">
              <w:rPr>
                <w:rFonts w:cs="Times New Roman"/>
                <w:b/>
                <w:bCs/>
                <w:color w:val="000000"/>
                <w:sz w:val="22"/>
              </w:rPr>
              <w:t>Complete pregnancy complication history</w:t>
            </w:r>
            <w:r w:rsidRPr="00806827">
              <w:rPr>
                <w:rFonts w:cs="Times New Roman"/>
                <w:b/>
                <w:bCs/>
                <w:color w:val="000000"/>
                <w:sz w:val="22"/>
              </w:rPr>
              <w:br/>
              <w:t>(women=11,802 observations</w:t>
            </w:r>
            <w:r w:rsidRPr="00806827">
              <w:rPr>
                <w:rFonts w:cs="Times New Roman"/>
                <w:b/>
                <w:bCs/>
                <w:color w:val="000000"/>
                <w:sz w:val="22"/>
                <w:vertAlign w:val="superscript"/>
              </w:rPr>
              <w:t>a</w:t>
            </w:r>
            <w:r w:rsidRPr="00806827">
              <w:rPr>
                <w:rFonts w:cs="Times New Roman"/>
                <w:b/>
                <w:bCs/>
                <w:color w:val="000000"/>
                <w:sz w:val="22"/>
              </w:rPr>
              <w:t>=16,889)</w:t>
            </w:r>
          </w:p>
        </w:tc>
        <w:tc>
          <w:tcPr>
            <w:tcW w:w="2351" w:type="dxa"/>
            <w:tcBorders>
              <w:top w:val="single" w:sz="4" w:space="0" w:color="auto"/>
              <w:left w:val="nil"/>
              <w:bottom w:val="single" w:sz="4" w:space="0" w:color="auto"/>
              <w:right w:val="nil"/>
            </w:tcBorders>
            <w:shd w:val="clear" w:color="auto" w:fill="auto"/>
            <w:vAlign w:val="bottom"/>
            <w:hideMark/>
          </w:tcPr>
          <w:p w14:paraId="7263F1AB" w14:textId="3DCABB02" w:rsidR="00721AF7" w:rsidRPr="00806827" w:rsidRDefault="00721AF7" w:rsidP="00721AF7">
            <w:pPr>
              <w:spacing w:before="120" w:after="0" w:line="300" w:lineRule="auto"/>
              <w:jc w:val="center"/>
              <w:rPr>
                <w:rFonts w:cs="Times New Roman"/>
                <w:b/>
                <w:bCs/>
                <w:color w:val="000000"/>
                <w:sz w:val="22"/>
              </w:rPr>
            </w:pPr>
            <w:r w:rsidRPr="00806827">
              <w:rPr>
                <w:rFonts w:cs="Times New Roman"/>
                <w:b/>
                <w:bCs/>
                <w:color w:val="000000"/>
                <w:sz w:val="22"/>
              </w:rPr>
              <w:t>Incomplete pregnancy complication history</w:t>
            </w:r>
            <w:r w:rsidRPr="00806827">
              <w:rPr>
                <w:rFonts w:cs="Times New Roman"/>
                <w:b/>
                <w:bCs/>
                <w:color w:val="000000"/>
                <w:sz w:val="22"/>
              </w:rPr>
              <w:br/>
              <w:t>(women=6,429 observations</w:t>
            </w:r>
            <w:r w:rsidRPr="00806827">
              <w:rPr>
                <w:rFonts w:cs="Times New Roman"/>
                <w:b/>
                <w:bCs/>
                <w:color w:val="000000"/>
                <w:sz w:val="22"/>
                <w:vertAlign w:val="superscript"/>
              </w:rPr>
              <w:t>a</w:t>
            </w:r>
            <w:r w:rsidRPr="00806827">
              <w:rPr>
                <w:rFonts w:cs="Times New Roman"/>
                <w:b/>
                <w:bCs/>
                <w:color w:val="000000"/>
                <w:sz w:val="22"/>
              </w:rPr>
              <w:t>=9,655)</w:t>
            </w:r>
          </w:p>
        </w:tc>
      </w:tr>
      <w:tr w:rsidR="00721AF7" w:rsidRPr="00806827" w14:paraId="74F1D121" w14:textId="77777777" w:rsidTr="006A08DF">
        <w:trPr>
          <w:trHeight w:val="307"/>
        </w:trPr>
        <w:tc>
          <w:tcPr>
            <w:tcW w:w="5150" w:type="dxa"/>
            <w:tcBorders>
              <w:top w:val="single" w:sz="4" w:space="0" w:color="auto"/>
              <w:left w:val="nil"/>
              <w:right w:val="nil"/>
            </w:tcBorders>
            <w:shd w:val="clear" w:color="auto" w:fill="auto"/>
            <w:noWrap/>
            <w:vAlign w:val="bottom"/>
          </w:tcPr>
          <w:p w14:paraId="592A4954" w14:textId="467FD29D" w:rsidR="00721AF7" w:rsidRPr="00806827" w:rsidRDefault="00721AF7" w:rsidP="00721AF7">
            <w:pPr>
              <w:spacing w:before="120" w:after="0" w:line="300" w:lineRule="auto"/>
              <w:rPr>
                <w:rFonts w:cs="Times New Roman"/>
                <w:color w:val="000000"/>
                <w:sz w:val="22"/>
              </w:rPr>
            </w:pPr>
            <w:r w:rsidRPr="00806827">
              <w:rPr>
                <w:rFonts w:cs="Times New Roman"/>
                <w:color w:val="000000"/>
                <w:sz w:val="22"/>
              </w:rPr>
              <w:t>Maternal birth year, median (IQR)</w:t>
            </w:r>
          </w:p>
        </w:tc>
        <w:tc>
          <w:tcPr>
            <w:tcW w:w="2276" w:type="dxa"/>
            <w:tcBorders>
              <w:top w:val="single" w:sz="4" w:space="0" w:color="auto"/>
              <w:left w:val="nil"/>
              <w:right w:val="nil"/>
            </w:tcBorders>
          </w:tcPr>
          <w:p w14:paraId="464C095C" w14:textId="6A1579A5" w:rsidR="00721AF7" w:rsidRPr="00806827" w:rsidRDefault="00721AF7" w:rsidP="00721AF7">
            <w:pPr>
              <w:spacing w:before="120" w:after="0" w:line="300" w:lineRule="auto"/>
              <w:jc w:val="right"/>
              <w:rPr>
                <w:sz w:val="22"/>
              </w:rPr>
            </w:pPr>
            <w:r w:rsidRPr="00806827">
              <w:rPr>
                <w:sz w:val="22"/>
              </w:rPr>
              <w:t>1952 (1948-1956)</w:t>
            </w:r>
          </w:p>
        </w:tc>
        <w:tc>
          <w:tcPr>
            <w:tcW w:w="2351" w:type="dxa"/>
            <w:tcBorders>
              <w:top w:val="single" w:sz="4" w:space="0" w:color="auto"/>
              <w:left w:val="nil"/>
              <w:right w:val="nil"/>
            </w:tcBorders>
            <w:shd w:val="clear" w:color="auto" w:fill="auto"/>
            <w:noWrap/>
          </w:tcPr>
          <w:p w14:paraId="6E0FF333" w14:textId="54E8A746" w:rsidR="00721AF7" w:rsidRPr="00806827" w:rsidRDefault="00721AF7" w:rsidP="00721AF7">
            <w:pPr>
              <w:spacing w:before="120" w:after="0" w:line="300" w:lineRule="auto"/>
              <w:jc w:val="right"/>
              <w:rPr>
                <w:sz w:val="22"/>
              </w:rPr>
            </w:pPr>
            <w:r w:rsidRPr="00806827">
              <w:rPr>
                <w:sz w:val="22"/>
              </w:rPr>
              <w:t>1943 (1938-1948)</w:t>
            </w:r>
          </w:p>
        </w:tc>
      </w:tr>
      <w:tr w:rsidR="00721AF7" w:rsidRPr="00806827" w14:paraId="1A1552DD" w14:textId="77777777" w:rsidTr="006A08DF">
        <w:trPr>
          <w:trHeight w:val="317"/>
        </w:trPr>
        <w:tc>
          <w:tcPr>
            <w:tcW w:w="5150" w:type="dxa"/>
            <w:tcBorders>
              <w:left w:val="nil"/>
              <w:bottom w:val="nil"/>
              <w:right w:val="nil"/>
            </w:tcBorders>
            <w:shd w:val="clear" w:color="auto" w:fill="auto"/>
            <w:noWrap/>
            <w:vAlign w:val="bottom"/>
            <w:hideMark/>
          </w:tcPr>
          <w:p w14:paraId="385A5B01" w14:textId="77777777" w:rsidR="00721AF7" w:rsidRPr="00806827" w:rsidRDefault="00721AF7" w:rsidP="00721AF7">
            <w:pPr>
              <w:spacing w:after="0" w:line="300" w:lineRule="auto"/>
              <w:rPr>
                <w:rFonts w:cs="Times New Roman"/>
                <w:color w:val="000000"/>
                <w:sz w:val="22"/>
              </w:rPr>
            </w:pPr>
            <w:r w:rsidRPr="00806827">
              <w:rPr>
                <w:rFonts w:cs="Times New Roman"/>
                <w:color w:val="000000"/>
                <w:sz w:val="22"/>
              </w:rPr>
              <w:t>Age at HUNT exam in years, median (IQR)</w:t>
            </w:r>
          </w:p>
        </w:tc>
        <w:tc>
          <w:tcPr>
            <w:tcW w:w="2276" w:type="dxa"/>
            <w:tcBorders>
              <w:left w:val="nil"/>
              <w:bottom w:val="nil"/>
              <w:right w:val="nil"/>
            </w:tcBorders>
          </w:tcPr>
          <w:p w14:paraId="7D621950" w14:textId="748DF367" w:rsidR="00721AF7" w:rsidRPr="00806827" w:rsidRDefault="00721AF7" w:rsidP="00721AF7">
            <w:pPr>
              <w:spacing w:after="0" w:line="300" w:lineRule="auto"/>
              <w:jc w:val="right"/>
              <w:rPr>
                <w:sz w:val="22"/>
              </w:rPr>
            </w:pPr>
            <w:r w:rsidRPr="00806827">
              <w:rPr>
                <w:sz w:val="22"/>
              </w:rPr>
              <w:t>49 (45-55)</w:t>
            </w:r>
          </w:p>
        </w:tc>
        <w:tc>
          <w:tcPr>
            <w:tcW w:w="2351" w:type="dxa"/>
            <w:tcBorders>
              <w:left w:val="nil"/>
              <w:bottom w:val="nil"/>
              <w:right w:val="nil"/>
            </w:tcBorders>
            <w:shd w:val="clear" w:color="auto" w:fill="auto"/>
            <w:noWrap/>
            <w:hideMark/>
          </w:tcPr>
          <w:p w14:paraId="37721E1B" w14:textId="47EAD93C" w:rsidR="00721AF7" w:rsidRPr="00806827" w:rsidRDefault="00721AF7" w:rsidP="00721AF7">
            <w:pPr>
              <w:spacing w:after="0" w:line="300" w:lineRule="auto"/>
              <w:jc w:val="right"/>
              <w:rPr>
                <w:rFonts w:cs="Times New Roman"/>
                <w:color w:val="000000"/>
                <w:sz w:val="22"/>
              </w:rPr>
            </w:pPr>
            <w:r w:rsidRPr="00806827">
              <w:rPr>
                <w:sz w:val="22"/>
              </w:rPr>
              <w:t>57 (51-64)</w:t>
            </w:r>
          </w:p>
        </w:tc>
      </w:tr>
      <w:tr w:rsidR="00721AF7" w:rsidRPr="00806827" w14:paraId="6EB022FC" w14:textId="77777777" w:rsidTr="006A08DF">
        <w:trPr>
          <w:trHeight w:val="302"/>
        </w:trPr>
        <w:tc>
          <w:tcPr>
            <w:tcW w:w="5150" w:type="dxa"/>
            <w:tcBorders>
              <w:top w:val="nil"/>
              <w:left w:val="nil"/>
              <w:bottom w:val="nil"/>
              <w:right w:val="nil"/>
            </w:tcBorders>
            <w:shd w:val="clear" w:color="auto" w:fill="auto"/>
            <w:noWrap/>
            <w:vAlign w:val="bottom"/>
            <w:hideMark/>
          </w:tcPr>
          <w:p w14:paraId="3F18A0DB" w14:textId="3B672DD6" w:rsidR="00721AF7" w:rsidRPr="00806827" w:rsidRDefault="00721AF7" w:rsidP="00721AF7">
            <w:pPr>
              <w:spacing w:after="0" w:line="300" w:lineRule="auto"/>
              <w:rPr>
                <w:rFonts w:cs="Times New Roman"/>
                <w:i/>
                <w:iCs/>
                <w:color w:val="000000"/>
                <w:sz w:val="22"/>
                <w:u w:val="single"/>
              </w:rPr>
            </w:pPr>
            <w:r w:rsidRPr="00806827">
              <w:rPr>
                <w:rFonts w:cs="Times New Roman"/>
                <w:i/>
                <w:iCs/>
                <w:color w:val="000000"/>
                <w:sz w:val="22"/>
                <w:u w:val="single"/>
              </w:rPr>
              <w:t>Age-standardized</w:t>
            </w:r>
            <w:r w:rsidRPr="00806827">
              <w:rPr>
                <w:rFonts w:cs="Times New Roman"/>
                <w:i/>
                <w:iCs/>
                <w:color w:val="000000"/>
                <w:sz w:val="10"/>
                <w:u w:val="single"/>
              </w:rPr>
              <w:t xml:space="preserve"> </w:t>
            </w:r>
            <w:r w:rsidRPr="00806827">
              <w:rPr>
                <w:rFonts w:cs="Times New Roman"/>
                <w:i/>
                <w:iCs/>
                <w:color w:val="000000"/>
                <w:sz w:val="22"/>
                <w:u w:val="single"/>
                <w:vertAlign w:val="superscript"/>
              </w:rPr>
              <w:t>b</w:t>
            </w:r>
            <w:r w:rsidRPr="00806827">
              <w:rPr>
                <w:rFonts w:cs="Times New Roman"/>
                <w:i/>
                <w:iCs/>
                <w:color w:val="000000"/>
                <w:sz w:val="22"/>
                <w:u w:val="single"/>
              </w:rPr>
              <w:t xml:space="preserve"> risk factors from NORRISK 2 Model</w:t>
            </w:r>
          </w:p>
        </w:tc>
        <w:tc>
          <w:tcPr>
            <w:tcW w:w="2276" w:type="dxa"/>
            <w:tcBorders>
              <w:top w:val="nil"/>
              <w:left w:val="nil"/>
              <w:bottom w:val="nil"/>
              <w:right w:val="nil"/>
            </w:tcBorders>
          </w:tcPr>
          <w:p w14:paraId="2EDFD0B8" w14:textId="77777777" w:rsidR="00721AF7" w:rsidRPr="00806827" w:rsidRDefault="00721AF7" w:rsidP="00721AF7">
            <w:pPr>
              <w:spacing w:after="0" w:line="300" w:lineRule="auto"/>
              <w:jc w:val="right"/>
              <w:rPr>
                <w:rFonts w:cs="Times New Roman"/>
                <w:i/>
                <w:iCs/>
                <w:color w:val="000000"/>
                <w:sz w:val="22"/>
                <w:u w:val="single"/>
              </w:rPr>
            </w:pPr>
          </w:p>
        </w:tc>
        <w:tc>
          <w:tcPr>
            <w:tcW w:w="2351" w:type="dxa"/>
            <w:tcBorders>
              <w:top w:val="nil"/>
              <w:left w:val="nil"/>
              <w:bottom w:val="nil"/>
              <w:right w:val="nil"/>
            </w:tcBorders>
            <w:shd w:val="clear" w:color="auto" w:fill="auto"/>
            <w:hideMark/>
          </w:tcPr>
          <w:p w14:paraId="5B56F08B" w14:textId="77777777" w:rsidR="00721AF7" w:rsidRPr="00806827" w:rsidRDefault="00721AF7" w:rsidP="00721AF7">
            <w:pPr>
              <w:spacing w:after="0" w:line="300" w:lineRule="auto"/>
              <w:jc w:val="right"/>
              <w:rPr>
                <w:rFonts w:cs="Times New Roman"/>
                <w:i/>
                <w:iCs/>
                <w:color w:val="000000"/>
                <w:sz w:val="22"/>
                <w:u w:val="single"/>
              </w:rPr>
            </w:pPr>
          </w:p>
        </w:tc>
      </w:tr>
      <w:tr w:rsidR="00721AF7" w:rsidRPr="00806827" w14:paraId="03808585" w14:textId="77777777" w:rsidTr="006A08DF">
        <w:trPr>
          <w:trHeight w:val="302"/>
        </w:trPr>
        <w:tc>
          <w:tcPr>
            <w:tcW w:w="5150" w:type="dxa"/>
            <w:tcBorders>
              <w:top w:val="nil"/>
              <w:left w:val="nil"/>
              <w:bottom w:val="nil"/>
              <w:right w:val="nil"/>
            </w:tcBorders>
            <w:shd w:val="clear" w:color="auto" w:fill="auto"/>
            <w:noWrap/>
            <w:vAlign w:val="bottom"/>
            <w:hideMark/>
          </w:tcPr>
          <w:p w14:paraId="763B222B" w14:textId="77777777" w:rsidR="00721AF7" w:rsidRPr="00806827" w:rsidRDefault="00721AF7" w:rsidP="00721AF7">
            <w:pPr>
              <w:spacing w:after="0" w:line="300" w:lineRule="auto"/>
              <w:rPr>
                <w:rFonts w:cs="Times New Roman"/>
                <w:color w:val="000000"/>
                <w:sz w:val="22"/>
              </w:rPr>
            </w:pPr>
            <w:r w:rsidRPr="00806827">
              <w:rPr>
                <w:rFonts w:cs="Times New Roman"/>
                <w:color w:val="000000"/>
                <w:sz w:val="22"/>
              </w:rPr>
              <w:t>Systolic blood pressure in mmHg, median (IQR)</w:t>
            </w:r>
          </w:p>
        </w:tc>
        <w:tc>
          <w:tcPr>
            <w:tcW w:w="2276" w:type="dxa"/>
            <w:tcBorders>
              <w:top w:val="nil"/>
              <w:left w:val="nil"/>
              <w:bottom w:val="nil"/>
              <w:right w:val="nil"/>
            </w:tcBorders>
          </w:tcPr>
          <w:p w14:paraId="559AB8F1" w14:textId="71D6CC87" w:rsidR="00721AF7" w:rsidRPr="00806827" w:rsidRDefault="00721AF7" w:rsidP="00721AF7">
            <w:pPr>
              <w:spacing w:after="0" w:line="300" w:lineRule="auto"/>
              <w:jc w:val="right"/>
              <w:rPr>
                <w:sz w:val="22"/>
              </w:rPr>
            </w:pPr>
            <w:r w:rsidRPr="00806827">
              <w:rPr>
                <w:sz w:val="22"/>
              </w:rPr>
              <w:t>127 (116-140)</w:t>
            </w:r>
          </w:p>
        </w:tc>
        <w:tc>
          <w:tcPr>
            <w:tcW w:w="2351" w:type="dxa"/>
            <w:tcBorders>
              <w:top w:val="nil"/>
              <w:left w:val="nil"/>
              <w:bottom w:val="nil"/>
              <w:right w:val="nil"/>
            </w:tcBorders>
            <w:shd w:val="clear" w:color="auto" w:fill="auto"/>
            <w:noWrap/>
            <w:hideMark/>
          </w:tcPr>
          <w:p w14:paraId="2BB5CFFE" w14:textId="0F8BB94B" w:rsidR="00721AF7" w:rsidRPr="00806827" w:rsidRDefault="00721AF7" w:rsidP="00721AF7">
            <w:pPr>
              <w:spacing w:after="0" w:line="300" w:lineRule="auto"/>
              <w:jc w:val="right"/>
              <w:rPr>
                <w:rFonts w:cs="Times New Roman"/>
                <w:color w:val="000000"/>
                <w:sz w:val="22"/>
              </w:rPr>
            </w:pPr>
            <w:r w:rsidRPr="00806827">
              <w:rPr>
                <w:sz w:val="22"/>
              </w:rPr>
              <w:t>129 (117-144)</w:t>
            </w:r>
          </w:p>
        </w:tc>
      </w:tr>
      <w:tr w:rsidR="00721AF7" w:rsidRPr="00806827" w14:paraId="1FF84B5D" w14:textId="77777777" w:rsidTr="006A08DF">
        <w:trPr>
          <w:trHeight w:val="302"/>
        </w:trPr>
        <w:tc>
          <w:tcPr>
            <w:tcW w:w="5150" w:type="dxa"/>
            <w:tcBorders>
              <w:top w:val="nil"/>
              <w:left w:val="nil"/>
              <w:bottom w:val="nil"/>
              <w:right w:val="nil"/>
            </w:tcBorders>
            <w:shd w:val="clear" w:color="auto" w:fill="auto"/>
            <w:noWrap/>
            <w:vAlign w:val="bottom"/>
            <w:hideMark/>
          </w:tcPr>
          <w:p w14:paraId="748EEA3F" w14:textId="77777777" w:rsidR="00721AF7" w:rsidRPr="00806827" w:rsidRDefault="00721AF7" w:rsidP="00721AF7">
            <w:pPr>
              <w:spacing w:after="0" w:line="300" w:lineRule="auto"/>
              <w:rPr>
                <w:rFonts w:cs="Times New Roman"/>
                <w:color w:val="000000"/>
                <w:sz w:val="22"/>
              </w:rPr>
            </w:pPr>
            <w:r w:rsidRPr="00806827">
              <w:rPr>
                <w:rFonts w:cs="Times New Roman"/>
                <w:color w:val="000000"/>
                <w:sz w:val="22"/>
              </w:rPr>
              <w:t>Serum total cholesterol in mmol/L, median (IQR)</w:t>
            </w:r>
          </w:p>
        </w:tc>
        <w:tc>
          <w:tcPr>
            <w:tcW w:w="2276" w:type="dxa"/>
            <w:tcBorders>
              <w:top w:val="nil"/>
              <w:left w:val="nil"/>
              <w:bottom w:val="nil"/>
              <w:right w:val="nil"/>
            </w:tcBorders>
          </w:tcPr>
          <w:p w14:paraId="29BD762A" w14:textId="66507E85" w:rsidR="00721AF7" w:rsidRPr="00806827" w:rsidRDefault="00721AF7" w:rsidP="00721AF7">
            <w:pPr>
              <w:spacing w:after="0" w:line="300" w:lineRule="auto"/>
              <w:jc w:val="right"/>
              <w:rPr>
                <w:sz w:val="22"/>
              </w:rPr>
            </w:pPr>
            <w:r w:rsidRPr="00806827">
              <w:rPr>
                <w:sz w:val="22"/>
              </w:rPr>
              <w:t>5.7 (5.1-6.5)</w:t>
            </w:r>
          </w:p>
        </w:tc>
        <w:tc>
          <w:tcPr>
            <w:tcW w:w="2351" w:type="dxa"/>
            <w:tcBorders>
              <w:top w:val="nil"/>
              <w:left w:val="nil"/>
              <w:bottom w:val="nil"/>
              <w:right w:val="nil"/>
            </w:tcBorders>
            <w:shd w:val="clear" w:color="auto" w:fill="auto"/>
            <w:noWrap/>
            <w:hideMark/>
          </w:tcPr>
          <w:p w14:paraId="646AE5B9" w14:textId="1B5F7E1D" w:rsidR="00721AF7" w:rsidRPr="00806827" w:rsidRDefault="00721AF7" w:rsidP="00721AF7">
            <w:pPr>
              <w:spacing w:after="0" w:line="300" w:lineRule="auto"/>
              <w:jc w:val="right"/>
              <w:rPr>
                <w:rFonts w:cs="Times New Roman"/>
                <w:color w:val="000000"/>
                <w:sz w:val="22"/>
              </w:rPr>
            </w:pPr>
            <w:r w:rsidRPr="00806827">
              <w:rPr>
                <w:sz w:val="22"/>
              </w:rPr>
              <w:t>5.9 (5.1-6.7)</w:t>
            </w:r>
          </w:p>
        </w:tc>
      </w:tr>
      <w:tr w:rsidR="006A08DF" w:rsidRPr="00806827" w14:paraId="40CC331F" w14:textId="77777777" w:rsidTr="006A08DF">
        <w:trPr>
          <w:trHeight w:val="302"/>
        </w:trPr>
        <w:tc>
          <w:tcPr>
            <w:tcW w:w="5150" w:type="dxa"/>
            <w:tcBorders>
              <w:top w:val="nil"/>
              <w:left w:val="nil"/>
              <w:bottom w:val="nil"/>
              <w:right w:val="nil"/>
            </w:tcBorders>
            <w:shd w:val="clear" w:color="auto" w:fill="auto"/>
            <w:noWrap/>
            <w:vAlign w:val="bottom"/>
            <w:hideMark/>
          </w:tcPr>
          <w:p w14:paraId="137003AF" w14:textId="77777777" w:rsidR="006A08DF" w:rsidRPr="00806827" w:rsidRDefault="006A08DF" w:rsidP="006A08DF">
            <w:pPr>
              <w:spacing w:after="0" w:line="300" w:lineRule="auto"/>
              <w:rPr>
                <w:rFonts w:cs="Times New Roman"/>
                <w:color w:val="000000"/>
                <w:sz w:val="22"/>
              </w:rPr>
            </w:pPr>
            <w:r w:rsidRPr="00806827">
              <w:rPr>
                <w:rFonts w:cs="Times New Roman"/>
                <w:color w:val="000000"/>
                <w:sz w:val="22"/>
              </w:rPr>
              <w:t>Current daily smoking</w:t>
            </w:r>
          </w:p>
        </w:tc>
        <w:tc>
          <w:tcPr>
            <w:tcW w:w="2276" w:type="dxa"/>
            <w:tcBorders>
              <w:top w:val="nil"/>
              <w:left w:val="nil"/>
              <w:bottom w:val="nil"/>
              <w:right w:val="nil"/>
            </w:tcBorders>
          </w:tcPr>
          <w:p w14:paraId="4B49FC55" w14:textId="75D18014" w:rsidR="006A08DF" w:rsidRPr="00806827" w:rsidRDefault="006A08DF" w:rsidP="006A08DF">
            <w:pPr>
              <w:spacing w:after="0" w:line="300" w:lineRule="auto"/>
              <w:jc w:val="right"/>
              <w:rPr>
                <w:sz w:val="22"/>
              </w:rPr>
            </w:pPr>
            <w:r w:rsidRPr="00806827">
              <w:rPr>
                <w:sz w:val="22"/>
              </w:rPr>
              <w:t>30%</w:t>
            </w:r>
          </w:p>
        </w:tc>
        <w:tc>
          <w:tcPr>
            <w:tcW w:w="2351" w:type="dxa"/>
            <w:tcBorders>
              <w:top w:val="nil"/>
              <w:left w:val="nil"/>
              <w:bottom w:val="nil"/>
              <w:right w:val="nil"/>
            </w:tcBorders>
            <w:shd w:val="clear" w:color="auto" w:fill="auto"/>
            <w:noWrap/>
            <w:hideMark/>
          </w:tcPr>
          <w:p w14:paraId="706225B6" w14:textId="012B6FF6" w:rsidR="006A08DF" w:rsidRPr="00806827" w:rsidRDefault="006A08DF" w:rsidP="006A08DF">
            <w:pPr>
              <w:spacing w:after="0" w:line="300" w:lineRule="auto"/>
              <w:jc w:val="right"/>
              <w:rPr>
                <w:rFonts w:cs="Times New Roman"/>
                <w:color w:val="000000"/>
                <w:sz w:val="22"/>
              </w:rPr>
            </w:pPr>
            <w:r w:rsidRPr="00806827">
              <w:rPr>
                <w:sz w:val="22"/>
              </w:rPr>
              <w:t>32%</w:t>
            </w:r>
          </w:p>
        </w:tc>
      </w:tr>
      <w:tr w:rsidR="006A08DF" w:rsidRPr="00806827" w14:paraId="6175EA0F" w14:textId="77777777" w:rsidTr="006A08DF">
        <w:trPr>
          <w:trHeight w:val="302"/>
        </w:trPr>
        <w:tc>
          <w:tcPr>
            <w:tcW w:w="5150" w:type="dxa"/>
            <w:tcBorders>
              <w:top w:val="nil"/>
              <w:left w:val="nil"/>
              <w:bottom w:val="nil"/>
              <w:right w:val="nil"/>
            </w:tcBorders>
            <w:shd w:val="clear" w:color="auto" w:fill="auto"/>
            <w:noWrap/>
            <w:vAlign w:val="bottom"/>
            <w:hideMark/>
          </w:tcPr>
          <w:p w14:paraId="74D1F10B" w14:textId="77777777" w:rsidR="006A08DF" w:rsidRPr="00806827" w:rsidRDefault="006A08DF" w:rsidP="006A08DF">
            <w:pPr>
              <w:spacing w:after="0" w:line="300" w:lineRule="auto"/>
              <w:rPr>
                <w:rFonts w:cs="Times New Roman"/>
                <w:color w:val="000000"/>
                <w:sz w:val="22"/>
              </w:rPr>
            </w:pPr>
            <w:r w:rsidRPr="00806827">
              <w:rPr>
                <w:rFonts w:cs="Times New Roman"/>
                <w:color w:val="000000"/>
                <w:sz w:val="22"/>
              </w:rPr>
              <w:t>Current anti-hypertensive use</w:t>
            </w:r>
          </w:p>
        </w:tc>
        <w:tc>
          <w:tcPr>
            <w:tcW w:w="2276" w:type="dxa"/>
            <w:tcBorders>
              <w:top w:val="nil"/>
              <w:left w:val="nil"/>
              <w:bottom w:val="nil"/>
              <w:right w:val="nil"/>
            </w:tcBorders>
          </w:tcPr>
          <w:p w14:paraId="351937D8" w14:textId="25AF9ABA" w:rsidR="006A08DF" w:rsidRPr="00806827" w:rsidRDefault="006A08DF" w:rsidP="006A08DF">
            <w:pPr>
              <w:spacing w:after="0" w:line="300" w:lineRule="auto"/>
              <w:jc w:val="right"/>
              <w:rPr>
                <w:sz w:val="22"/>
              </w:rPr>
            </w:pPr>
            <w:r w:rsidRPr="00806827">
              <w:rPr>
                <w:sz w:val="22"/>
              </w:rPr>
              <w:t>13%</w:t>
            </w:r>
          </w:p>
        </w:tc>
        <w:tc>
          <w:tcPr>
            <w:tcW w:w="2351" w:type="dxa"/>
            <w:tcBorders>
              <w:top w:val="nil"/>
              <w:left w:val="nil"/>
              <w:bottom w:val="nil"/>
              <w:right w:val="nil"/>
            </w:tcBorders>
            <w:shd w:val="clear" w:color="auto" w:fill="auto"/>
            <w:noWrap/>
            <w:hideMark/>
          </w:tcPr>
          <w:p w14:paraId="23803542" w14:textId="25CD2E5F" w:rsidR="006A08DF" w:rsidRPr="00806827" w:rsidRDefault="006A08DF" w:rsidP="006A08DF">
            <w:pPr>
              <w:spacing w:after="0" w:line="300" w:lineRule="auto"/>
              <w:jc w:val="right"/>
              <w:rPr>
                <w:rFonts w:cs="Times New Roman"/>
                <w:color w:val="000000"/>
                <w:sz w:val="22"/>
              </w:rPr>
            </w:pPr>
            <w:r w:rsidRPr="00806827">
              <w:rPr>
                <w:sz w:val="22"/>
              </w:rPr>
              <w:t>13%</w:t>
            </w:r>
          </w:p>
        </w:tc>
      </w:tr>
      <w:tr w:rsidR="006A08DF" w:rsidRPr="00806827" w14:paraId="416153E3" w14:textId="77777777" w:rsidTr="006A08DF">
        <w:trPr>
          <w:trHeight w:val="302"/>
        </w:trPr>
        <w:tc>
          <w:tcPr>
            <w:tcW w:w="5150" w:type="dxa"/>
            <w:tcBorders>
              <w:top w:val="nil"/>
              <w:left w:val="nil"/>
              <w:right w:val="nil"/>
            </w:tcBorders>
            <w:shd w:val="clear" w:color="auto" w:fill="auto"/>
            <w:noWrap/>
            <w:vAlign w:val="bottom"/>
            <w:hideMark/>
          </w:tcPr>
          <w:p w14:paraId="03A1196B" w14:textId="07DFA1D3" w:rsidR="006A08DF" w:rsidRPr="00806827" w:rsidRDefault="006A08DF" w:rsidP="006A08DF">
            <w:pPr>
              <w:spacing w:after="0" w:line="300" w:lineRule="auto"/>
              <w:rPr>
                <w:rFonts w:cs="Times New Roman"/>
                <w:color w:val="000000"/>
                <w:sz w:val="22"/>
              </w:rPr>
            </w:pPr>
            <w:r w:rsidRPr="00806827">
              <w:rPr>
                <w:rFonts w:cs="Times New Roman"/>
                <w:color w:val="000000"/>
                <w:sz w:val="22"/>
              </w:rPr>
              <w:t>Low HDL-C</w:t>
            </w:r>
            <w:r w:rsidRPr="00806827">
              <w:rPr>
                <w:sz w:val="20"/>
                <w:vertAlign w:val="superscript"/>
              </w:rPr>
              <w:t>c</w:t>
            </w:r>
          </w:p>
        </w:tc>
        <w:tc>
          <w:tcPr>
            <w:tcW w:w="2276" w:type="dxa"/>
            <w:tcBorders>
              <w:top w:val="nil"/>
              <w:left w:val="nil"/>
              <w:right w:val="nil"/>
            </w:tcBorders>
          </w:tcPr>
          <w:p w14:paraId="5658DAC9" w14:textId="701CDA37" w:rsidR="006A08DF" w:rsidRPr="00806827" w:rsidRDefault="006A08DF" w:rsidP="006A08DF">
            <w:pPr>
              <w:spacing w:after="0" w:line="300" w:lineRule="auto"/>
              <w:jc w:val="right"/>
              <w:rPr>
                <w:sz w:val="22"/>
              </w:rPr>
            </w:pPr>
            <w:r w:rsidRPr="00806827">
              <w:rPr>
                <w:sz w:val="22"/>
              </w:rPr>
              <w:t>37%</w:t>
            </w:r>
          </w:p>
        </w:tc>
        <w:tc>
          <w:tcPr>
            <w:tcW w:w="2351" w:type="dxa"/>
            <w:tcBorders>
              <w:top w:val="nil"/>
              <w:left w:val="nil"/>
              <w:right w:val="nil"/>
            </w:tcBorders>
            <w:shd w:val="clear" w:color="auto" w:fill="auto"/>
            <w:noWrap/>
            <w:hideMark/>
          </w:tcPr>
          <w:p w14:paraId="29CE44B6" w14:textId="11119E6A" w:rsidR="006A08DF" w:rsidRPr="00806827" w:rsidRDefault="006A08DF" w:rsidP="006A08DF">
            <w:pPr>
              <w:spacing w:after="0" w:line="300" w:lineRule="auto"/>
              <w:jc w:val="right"/>
              <w:rPr>
                <w:rFonts w:cs="Times New Roman"/>
                <w:color w:val="000000"/>
                <w:sz w:val="22"/>
              </w:rPr>
            </w:pPr>
            <w:r w:rsidRPr="00806827">
              <w:rPr>
                <w:sz w:val="22"/>
              </w:rPr>
              <w:t>37%</w:t>
            </w:r>
          </w:p>
        </w:tc>
      </w:tr>
      <w:tr w:rsidR="006A08DF" w:rsidRPr="00806827" w14:paraId="39339FED" w14:textId="77777777" w:rsidTr="006A08DF">
        <w:trPr>
          <w:trHeight w:val="302"/>
        </w:trPr>
        <w:tc>
          <w:tcPr>
            <w:tcW w:w="5150" w:type="dxa"/>
            <w:tcBorders>
              <w:top w:val="nil"/>
              <w:left w:val="nil"/>
              <w:bottom w:val="single" w:sz="4" w:space="0" w:color="auto"/>
              <w:right w:val="nil"/>
            </w:tcBorders>
            <w:shd w:val="clear" w:color="auto" w:fill="auto"/>
            <w:noWrap/>
            <w:vAlign w:val="bottom"/>
            <w:hideMark/>
          </w:tcPr>
          <w:p w14:paraId="4DDC07DA" w14:textId="73C49C50" w:rsidR="006A08DF" w:rsidRPr="00806827" w:rsidRDefault="006A08DF" w:rsidP="006A08DF">
            <w:pPr>
              <w:spacing w:after="0" w:line="300" w:lineRule="auto"/>
              <w:rPr>
                <w:rFonts w:cs="Times New Roman"/>
                <w:color w:val="000000"/>
                <w:sz w:val="22"/>
              </w:rPr>
            </w:pPr>
            <w:r w:rsidRPr="00806827">
              <w:rPr>
                <w:rFonts w:cs="Times New Roman"/>
                <w:color w:val="000000"/>
                <w:sz w:val="22"/>
              </w:rPr>
              <w:t>Family history of premature MI</w:t>
            </w:r>
            <w:r w:rsidRPr="00806827">
              <w:rPr>
                <w:rFonts w:cs="Times New Roman"/>
                <w:color w:val="000000"/>
                <w:sz w:val="22"/>
                <w:vertAlign w:val="superscript"/>
              </w:rPr>
              <w:t>d</w:t>
            </w:r>
          </w:p>
        </w:tc>
        <w:tc>
          <w:tcPr>
            <w:tcW w:w="2276" w:type="dxa"/>
            <w:tcBorders>
              <w:top w:val="nil"/>
              <w:left w:val="nil"/>
              <w:bottom w:val="single" w:sz="4" w:space="0" w:color="auto"/>
              <w:right w:val="nil"/>
            </w:tcBorders>
          </w:tcPr>
          <w:p w14:paraId="0D260E9D" w14:textId="7BE8F2D4" w:rsidR="006A08DF" w:rsidRPr="00806827" w:rsidRDefault="006A08DF" w:rsidP="006A08DF">
            <w:pPr>
              <w:spacing w:after="0" w:line="300" w:lineRule="auto"/>
              <w:jc w:val="right"/>
              <w:rPr>
                <w:sz w:val="22"/>
              </w:rPr>
            </w:pPr>
            <w:r w:rsidRPr="00806827">
              <w:rPr>
                <w:sz w:val="22"/>
              </w:rPr>
              <w:t>17%</w:t>
            </w:r>
          </w:p>
        </w:tc>
        <w:tc>
          <w:tcPr>
            <w:tcW w:w="2351" w:type="dxa"/>
            <w:tcBorders>
              <w:top w:val="nil"/>
              <w:left w:val="nil"/>
              <w:bottom w:val="single" w:sz="4" w:space="0" w:color="auto"/>
              <w:right w:val="nil"/>
            </w:tcBorders>
            <w:shd w:val="clear" w:color="auto" w:fill="auto"/>
            <w:noWrap/>
            <w:hideMark/>
          </w:tcPr>
          <w:p w14:paraId="080B5D67" w14:textId="72E4808D" w:rsidR="006A08DF" w:rsidRPr="00806827" w:rsidRDefault="006A08DF" w:rsidP="006A08DF">
            <w:pPr>
              <w:spacing w:after="0" w:line="300" w:lineRule="auto"/>
              <w:jc w:val="right"/>
              <w:rPr>
                <w:rFonts w:cs="Times New Roman"/>
                <w:color w:val="000000"/>
                <w:sz w:val="22"/>
              </w:rPr>
            </w:pPr>
            <w:r w:rsidRPr="00806827">
              <w:rPr>
                <w:sz w:val="22"/>
              </w:rPr>
              <w:t>17%</w:t>
            </w:r>
          </w:p>
        </w:tc>
      </w:tr>
    </w:tbl>
    <w:p w14:paraId="1944BBDE" w14:textId="3BBDC82F" w:rsidR="00721AF7" w:rsidRPr="00806827" w:rsidRDefault="00721AF7" w:rsidP="00721AF7">
      <w:pPr>
        <w:spacing w:before="120" w:after="0" w:line="240" w:lineRule="auto"/>
        <w:rPr>
          <w:sz w:val="20"/>
          <w:szCs w:val="20"/>
        </w:rPr>
      </w:pPr>
      <w:r w:rsidRPr="00806827">
        <w:rPr>
          <w:sz w:val="20"/>
          <w:szCs w:val="20"/>
          <w:vertAlign w:val="superscript"/>
        </w:rPr>
        <w:t>a</w:t>
      </w:r>
      <w:r w:rsidRPr="00806827">
        <w:rPr>
          <w:sz w:val="20"/>
          <w:szCs w:val="20"/>
        </w:rPr>
        <w:t xml:space="preserve"> Women who participated in only HUNT2 (n=3,603) or HUNT3 (n=6,315) contributed one observation while women who participated in both HUNT2 and HUNT3 (n=8,313) contributed two.</w:t>
      </w:r>
    </w:p>
    <w:p w14:paraId="7CE7F1E9" w14:textId="1F5C5C2B" w:rsidR="00721AF7" w:rsidRPr="00806827" w:rsidRDefault="00721AF7" w:rsidP="00721AF7">
      <w:pPr>
        <w:spacing w:after="0" w:line="240" w:lineRule="auto"/>
        <w:rPr>
          <w:sz w:val="20"/>
          <w:szCs w:val="20"/>
        </w:rPr>
      </w:pPr>
      <w:r w:rsidRPr="00806827">
        <w:rPr>
          <w:sz w:val="20"/>
          <w:szCs w:val="20"/>
          <w:vertAlign w:val="superscript"/>
        </w:rPr>
        <w:t>b</w:t>
      </w:r>
      <w:r w:rsidRPr="00806827">
        <w:rPr>
          <w:sz w:val="20"/>
          <w:szCs w:val="20"/>
        </w:rPr>
        <w:t xml:space="preserve"> Risk factors standardized to the age distribution of the study population</w:t>
      </w:r>
    </w:p>
    <w:p w14:paraId="693875AC" w14:textId="3EBC1DAE" w:rsidR="00721AF7" w:rsidRPr="00806827" w:rsidRDefault="00721AF7" w:rsidP="00721AF7">
      <w:pPr>
        <w:spacing w:after="0" w:line="240" w:lineRule="auto"/>
        <w:rPr>
          <w:sz w:val="20"/>
        </w:rPr>
      </w:pPr>
      <w:r w:rsidRPr="00806827">
        <w:rPr>
          <w:sz w:val="20"/>
          <w:vertAlign w:val="superscript"/>
        </w:rPr>
        <w:t>c</w:t>
      </w:r>
      <w:r w:rsidRPr="00806827">
        <w:rPr>
          <w:sz w:val="20"/>
        </w:rPr>
        <w:t xml:space="preserve"> Low HDL-C: &lt;1.3 mmol/L</w:t>
      </w:r>
    </w:p>
    <w:p w14:paraId="36073568" w14:textId="077C4B61" w:rsidR="00721AF7" w:rsidRPr="00806827" w:rsidRDefault="00721AF7" w:rsidP="00721AF7">
      <w:pPr>
        <w:spacing w:after="0" w:line="240" w:lineRule="auto"/>
        <w:rPr>
          <w:sz w:val="20"/>
        </w:rPr>
      </w:pPr>
      <w:r w:rsidRPr="00806827">
        <w:rPr>
          <w:sz w:val="20"/>
          <w:vertAlign w:val="superscript"/>
        </w:rPr>
        <w:t>d</w:t>
      </w:r>
      <w:r w:rsidRPr="00806827">
        <w:rPr>
          <w:sz w:val="20"/>
        </w:rPr>
        <w:t xml:space="preserve"> First degree family member suffered MI before the age of 60 years</w:t>
      </w:r>
    </w:p>
    <w:p w14:paraId="4D989C2A" w14:textId="46888D89" w:rsidR="00721AF7" w:rsidRPr="00806827" w:rsidRDefault="00721AF7" w:rsidP="00721AF7">
      <w:pPr>
        <w:spacing w:after="0" w:line="480" w:lineRule="auto"/>
        <w:rPr>
          <w:i/>
        </w:rPr>
      </w:pPr>
      <w:r w:rsidRPr="00806827">
        <w:rPr>
          <w:sz w:val="20"/>
        </w:rPr>
        <w:t>IQR = Interquartile range; HDL-C = high density lipoprotein cholesterol; MI = myocardial infarction</w:t>
      </w:r>
    </w:p>
    <w:p w14:paraId="3C6FE557" w14:textId="72ABD8BD" w:rsidR="00DC524F" w:rsidRPr="00806827" w:rsidRDefault="00721AF7" w:rsidP="00721AF7">
      <w:r w:rsidRPr="00806827">
        <w:br w:type="page"/>
      </w:r>
    </w:p>
    <w:p w14:paraId="2AC82D9D" w14:textId="5C8A9F46" w:rsidR="00744E50" w:rsidRPr="00806827" w:rsidRDefault="004B25FE" w:rsidP="002C7C53">
      <w:r w:rsidRPr="00806827">
        <w:lastRenderedPageBreak/>
        <w:t>c) Prediction performance measures</w:t>
      </w:r>
    </w:p>
    <w:p w14:paraId="74A3BB93" w14:textId="4807CBB1" w:rsidR="00690853" w:rsidRPr="00806827" w:rsidRDefault="00690853" w:rsidP="00690853">
      <w:pPr>
        <w:rPr>
          <w:u w:val="single"/>
        </w:rPr>
      </w:pPr>
      <w:r w:rsidRPr="00806827">
        <w:rPr>
          <w:u w:val="single"/>
        </w:rPr>
        <w:t>Overview</w:t>
      </w:r>
    </w:p>
    <w:p w14:paraId="11A5B236" w14:textId="4A392DEB" w:rsidR="00496355" w:rsidRPr="00806827" w:rsidRDefault="00496355" w:rsidP="00690853">
      <w:r w:rsidRPr="00806827">
        <w:tab/>
        <w:t>This table summarizes the prediction performance measures used in this analysis.</w:t>
      </w:r>
    </w:p>
    <w:tbl>
      <w:tblPr>
        <w:tblStyle w:val="TableGrid"/>
        <w:tblW w:w="0" w:type="auto"/>
        <w:tblLook w:val="04A0" w:firstRow="1" w:lastRow="0" w:firstColumn="1" w:lastColumn="0" w:noHBand="0" w:noVBand="1"/>
      </w:tblPr>
      <w:tblGrid>
        <w:gridCol w:w="3116"/>
        <w:gridCol w:w="3117"/>
        <w:gridCol w:w="3117"/>
      </w:tblGrid>
      <w:tr w:rsidR="00690853" w:rsidRPr="00806827" w14:paraId="38799DB0" w14:textId="77777777" w:rsidTr="00690853">
        <w:tc>
          <w:tcPr>
            <w:tcW w:w="3116" w:type="dxa"/>
          </w:tcPr>
          <w:p w14:paraId="1F9158FF" w14:textId="6AAF271A" w:rsidR="00690853" w:rsidRPr="00806827" w:rsidRDefault="004B25FE" w:rsidP="002C7C53">
            <w:pPr>
              <w:rPr>
                <w:b/>
              </w:rPr>
            </w:pPr>
            <w:r w:rsidRPr="00806827">
              <w:rPr>
                <w:b/>
              </w:rPr>
              <w:t>Measure type</w:t>
            </w:r>
          </w:p>
        </w:tc>
        <w:tc>
          <w:tcPr>
            <w:tcW w:w="3117" w:type="dxa"/>
          </w:tcPr>
          <w:p w14:paraId="260FE6FC" w14:textId="5F87D2C4" w:rsidR="00690853" w:rsidRPr="00806827" w:rsidRDefault="004B25FE" w:rsidP="004B25FE">
            <w:pPr>
              <w:rPr>
                <w:b/>
              </w:rPr>
            </w:pPr>
            <w:r w:rsidRPr="00806827">
              <w:rPr>
                <w:b/>
              </w:rPr>
              <w:t>Measure assesses…</w:t>
            </w:r>
          </w:p>
        </w:tc>
        <w:tc>
          <w:tcPr>
            <w:tcW w:w="3117" w:type="dxa"/>
          </w:tcPr>
          <w:p w14:paraId="4B1D274D" w14:textId="6169D28A" w:rsidR="00690853" w:rsidRPr="00806827" w:rsidRDefault="00690853" w:rsidP="004B25FE">
            <w:pPr>
              <w:rPr>
                <w:b/>
              </w:rPr>
            </w:pPr>
            <w:r w:rsidRPr="00806827">
              <w:rPr>
                <w:b/>
              </w:rPr>
              <w:t xml:space="preserve">Specific </w:t>
            </w:r>
            <w:r w:rsidR="004B25FE" w:rsidRPr="00806827">
              <w:rPr>
                <w:b/>
              </w:rPr>
              <w:t>measure</w:t>
            </w:r>
            <w:r w:rsidRPr="00806827">
              <w:rPr>
                <w:b/>
              </w:rPr>
              <w:t xml:space="preserve"> used</w:t>
            </w:r>
          </w:p>
        </w:tc>
      </w:tr>
      <w:tr w:rsidR="00690853" w:rsidRPr="00806827" w14:paraId="48186D28" w14:textId="77777777" w:rsidTr="00690853">
        <w:tc>
          <w:tcPr>
            <w:tcW w:w="3116" w:type="dxa"/>
          </w:tcPr>
          <w:p w14:paraId="2CA32987" w14:textId="1490C71B" w:rsidR="00690853" w:rsidRPr="00806827" w:rsidRDefault="00690853" w:rsidP="004B25FE">
            <w:pPr>
              <w:spacing w:before="120" w:after="120"/>
            </w:pPr>
            <w:r w:rsidRPr="00806827">
              <w:t>Calibration</w:t>
            </w:r>
          </w:p>
        </w:tc>
        <w:tc>
          <w:tcPr>
            <w:tcW w:w="3117" w:type="dxa"/>
          </w:tcPr>
          <w:p w14:paraId="0A7CE98D" w14:textId="49B32A0A" w:rsidR="00690853" w:rsidRPr="00806827" w:rsidRDefault="004B25FE" w:rsidP="004B25FE">
            <w:pPr>
              <w:spacing w:before="120" w:after="120"/>
            </w:pPr>
            <w:r w:rsidRPr="00806827">
              <w:t>Equivalence between observed CVD risk and model-predicted CVD risk</w:t>
            </w:r>
          </w:p>
        </w:tc>
        <w:tc>
          <w:tcPr>
            <w:tcW w:w="3117" w:type="dxa"/>
          </w:tcPr>
          <w:p w14:paraId="751880F7" w14:textId="0EDB7AE1" w:rsidR="00690853" w:rsidRPr="00806827" w:rsidRDefault="00496355" w:rsidP="00CA478D">
            <w:pPr>
              <w:tabs>
                <w:tab w:val="left" w:pos="975"/>
              </w:tabs>
              <w:spacing w:before="120" w:after="120"/>
            </w:pPr>
            <w:r w:rsidRPr="00806827">
              <w:t>Greenwood</w:t>
            </w:r>
            <w:r w:rsidR="00690853" w:rsidRPr="00806827">
              <w:t>-Nam</w:t>
            </w:r>
            <w:r w:rsidRPr="00806827">
              <w:t>-D’Agostino</w:t>
            </w:r>
            <w:r w:rsidR="00690853" w:rsidRPr="00806827">
              <w:t xml:space="preserve"> test</w:t>
            </w:r>
          </w:p>
        </w:tc>
      </w:tr>
      <w:tr w:rsidR="00690853" w:rsidRPr="00806827" w14:paraId="5B1F7D96" w14:textId="77777777" w:rsidTr="00690853">
        <w:tc>
          <w:tcPr>
            <w:tcW w:w="3116" w:type="dxa"/>
          </w:tcPr>
          <w:p w14:paraId="6C2060E2" w14:textId="31FB6DD5" w:rsidR="00690853" w:rsidRPr="00806827" w:rsidRDefault="00690853" w:rsidP="004B25FE">
            <w:pPr>
              <w:spacing w:before="120" w:after="120"/>
            </w:pPr>
            <w:r w:rsidRPr="00806827">
              <w:t>Discrimination</w:t>
            </w:r>
          </w:p>
        </w:tc>
        <w:tc>
          <w:tcPr>
            <w:tcW w:w="3117" w:type="dxa"/>
          </w:tcPr>
          <w:p w14:paraId="3131B7A3" w14:textId="2FF6C026" w:rsidR="00690853" w:rsidRPr="00806827" w:rsidRDefault="004B25FE" w:rsidP="004B25FE">
            <w:pPr>
              <w:spacing w:before="120" w:after="120"/>
            </w:pPr>
            <w:r w:rsidRPr="00806827">
              <w:t>Model ability to distinguish between CVD cases and non-cases</w:t>
            </w:r>
          </w:p>
        </w:tc>
        <w:tc>
          <w:tcPr>
            <w:tcW w:w="3117" w:type="dxa"/>
          </w:tcPr>
          <w:p w14:paraId="5B5EB3AB" w14:textId="4CA4422C" w:rsidR="00690853" w:rsidRPr="00806827" w:rsidRDefault="00690853" w:rsidP="004B25FE">
            <w:pPr>
              <w:spacing w:before="120" w:after="120"/>
            </w:pPr>
            <w:r w:rsidRPr="00806827">
              <w:t>C-index and C-index difference</w:t>
            </w:r>
          </w:p>
        </w:tc>
      </w:tr>
      <w:tr w:rsidR="00690853" w:rsidRPr="00806827" w14:paraId="3169B5EE" w14:textId="77777777" w:rsidTr="00690853">
        <w:tc>
          <w:tcPr>
            <w:tcW w:w="3116" w:type="dxa"/>
          </w:tcPr>
          <w:p w14:paraId="6221D4DB" w14:textId="15B1401A" w:rsidR="00690853" w:rsidRPr="00806827" w:rsidRDefault="00690853" w:rsidP="004B25FE">
            <w:pPr>
              <w:spacing w:before="120" w:after="120"/>
            </w:pPr>
            <w:r w:rsidRPr="00806827">
              <w:t>Reclassification</w:t>
            </w:r>
          </w:p>
        </w:tc>
        <w:tc>
          <w:tcPr>
            <w:tcW w:w="3117" w:type="dxa"/>
          </w:tcPr>
          <w:p w14:paraId="46EFCEF1" w14:textId="02A95C86" w:rsidR="00690853" w:rsidRPr="00806827" w:rsidRDefault="004B25FE" w:rsidP="007F05E2">
            <w:pPr>
              <w:spacing w:before="120" w:after="120"/>
            </w:pPr>
            <w:r w:rsidRPr="00806827">
              <w:t xml:space="preserve">Improvement in CVD risk classification of the new model over the </w:t>
            </w:r>
            <w:r w:rsidR="007F05E2" w:rsidRPr="00806827">
              <w:t>established</w:t>
            </w:r>
            <w:r w:rsidRPr="00806827">
              <w:t xml:space="preserve"> model</w:t>
            </w:r>
          </w:p>
        </w:tc>
        <w:tc>
          <w:tcPr>
            <w:tcW w:w="3117" w:type="dxa"/>
          </w:tcPr>
          <w:p w14:paraId="2A165645" w14:textId="3067AC67" w:rsidR="00690853" w:rsidRPr="00806827" w:rsidRDefault="00690853" w:rsidP="004B25FE">
            <w:pPr>
              <w:spacing w:before="120" w:after="120"/>
            </w:pPr>
            <w:r w:rsidRPr="00806827">
              <w:t xml:space="preserve">Net reclassification </w:t>
            </w:r>
            <w:r w:rsidR="004B25FE" w:rsidRPr="00806827">
              <w:t xml:space="preserve">improvement </w:t>
            </w:r>
            <w:r w:rsidRPr="00806827">
              <w:t>(overall and for events and non-events</w:t>
            </w:r>
            <w:r w:rsidR="004B25FE" w:rsidRPr="00806827">
              <w:t xml:space="preserve"> separately</w:t>
            </w:r>
            <w:r w:rsidRPr="00806827">
              <w:t>)</w:t>
            </w:r>
          </w:p>
          <w:p w14:paraId="16EBD888" w14:textId="77777777" w:rsidR="00690853" w:rsidRPr="00806827" w:rsidRDefault="00690853" w:rsidP="004B25FE">
            <w:pPr>
              <w:spacing w:before="120" w:after="120"/>
            </w:pPr>
          </w:p>
          <w:p w14:paraId="78E2D747" w14:textId="0BCE205B" w:rsidR="00690853" w:rsidRPr="00806827" w:rsidRDefault="00690853" w:rsidP="004B25FE">
            <w:pPr>
              <w:spacing w:before="120" w:after="120"/>
            </w:pPr>
            <w:r w:rsidRPr="00806827">
              <w:t>Integrated discrimination improvement</w:t>
            </w:r>
          </w:p>
        </w:tc>
      </w:tr>
    </w:tbl>
    <w:p w14:paraId="485FE1ED" w14:textId="77777777" w:rsidR="00690853" w:rsidRPr="00806827" w:rsidRDefault="00690853" w:rsidP="002C7C53"/>
    <w:p w14:paraId="6A0BBF77" w14:textId="2A5A263C" w:rsidR="00496355" w:rsidRPr="00806827" w:rsidRDefault="00496355" w:rsidP="00690853">
      <w:r w:rsidRPr="00806827">
        <w:rPr>
          <w:u w:val="single"/>
        </w:rPr>
        <w:t>Greenwood-D’Agostino-Nam test</w:t>
      </w:r>
      <w:r w:rsidR="00690853" w:rsidRPr="00806827">
        <w:tab/>
      </w:r>
    </w:p>
    <w:p w14:paraId="49D602D2" w14:textId="3B037B55" w:rsidR="00690853" w:rsidRPr="00806827" w:rsidRDefault="00690853" w:rsidP="00496355">
      <w:pPr>
        <w:ind w:firstLine="720"/>
      </w:pPr>
      <w:r w:rsidRPr="00806827">
        <w:t>T</w:t>
      </w:r>
      <w:r w:rsidR="00496355" w:rsidRPr="00806827">
        <w:t>he Greenwood-Nam-D’Agostino (GND) test</w:t>
      </w:r>
      <w:r w:rsidR="00D83238" w:rsidRPr="00806827">
        <w:rPr>
          <w:vertAlign w:val="superscript"/>
        </w:rPr>
        <w:t>7</w:t>
      </w:r>
      <w:r w:rsidR="00496355" w:rsidRPr="00806827">
        <w:t xml:space="preserve"> is an extension of the Hosmer-Lemeshow test to situations with censored survival data.</w:t>
      </w:r>
      <w:r w:rsidR="0080001A" w:rsidRPr="00806827">
        <w:t xml:space="preserve"> It is used to compare observed and expected</w:t>
      </w:r>
      <w:r w:rsidR="00DC1DA2" w:rsidRPr="00806827">
        <w:t xml:space="preserve"> (i.e. </w:t>
      </w:r>
      <w:r w:rsidR="0080001A" w:rsidRPr="00806827">
        <w:t>predicted</w:t>
      </w:r>
      <w:r w:rsidR="00DC1DA2" w:rsidRPr="00806827">
        <w:t>)</w:t>
      </w:r>
      <w:r w:rsidR="0080001A" w:rsidRPr="00806827">
        <w:t xml:space="preserve"> </w:t>
      </w:r>
      <w:r w:rsidR="00DC1DA2" w:rsidRPr="00806827">
        <w:t xml:space="preserve">categories of CVD risk, typically categorized into </w:t>
      </w:r>
      <w:r w:rsidR="0080001A" w:rsidRPr="00806827">
        <w:t>de</w:t>
      </w:r>
      <w:r w:rsidR="00DC1DA2" w:rsidRPr="00806827">
        <w:t>ciles</w:t>
      </w:r>
      <w:r w:rsidR="00DD0771" w:rsidRPr="00806827">
        <w:t xml:space="preserve"> (G=10 in the formula below)</w:t>
      </w:r>
      <w:r w:rsidR="00DC1DA2" w:rsidRPr="00806827">
        <w:t xml:space="preserve">. </w:t>
      </w:r>
      <w:r w:rsidR="00D83238" w:rsidRPr="00806827">
        <w:t>The form</w:t>
      </w:r>
      <w:r w:rsidR="0080001A" w:rsidRPr="00806827">
        <w:t>ula for the test statistic is:</w:t>
      </w:r>
    </w:p>
    <w:p w14:paraId="39F100C1" w14:textId="244C1078" w:rsidR="00D83238" w:rsidRPr="00806827" w:rsidRDefault="00806827" w:rsidP="00496355">
      <w:pPr>
        <w:ind w:firstLine="720"/>
      </w:pPr>
      <m:oMathPara>
        <m:oMathParaPr>
          <m:jc m:val="center"/>
        </m:oMathParaPr>
        <m:oMath>
          <m:sSubSup>
            <m:sSubSupPr>
              <m:ctrlPr>
                <w:rPr>
                  <w:rFonts w:ascii="Cambria Math" w:hAnsi="Cambria Math"/>
                  <w:i/>
                </w:rPr>
              </m:ctrlPr>
            </m:sSubSupPr>
            <m:e>
              <m:r>
                <w:rPr>
                  <w:rFonts w:ascii="Cambria Math" w:hAnsi="Cambria Math"/>
                </w:rPr>
                <m:t>χ</m:t>
              </m:r>
            </m:e>
            <m:sub>
              <m:r>
                <w:rPr>
                  <w:rFonts w:ascii="Cambria Math" w:hAnsi="Cambria Math"/>
                </w:rPr>
                <m:t>GND</m:t>
              </m:r>
            </m:sub>
            <m:sup>
              <m:r>
                <w:rPr>
                  <w:rFonts w:ascii="Cambria Math" w:hAnsi="Cambria Math"/>
                </w:rPr>
                <m:t>2</m:t>
              </m:r>
            </m:sup>
          </m:sSubSup>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g=1</m:t>
              </m:r>
            </m:sub>
            <m:sup>
              <m:r>
                <w:rPr>
                  <w:rFonts w:ascii="Cambria Math" w:eastAsiaTheme="minorEastAsia" w:hAnsi="Cambria Math"/>
                </w:rPr>
                <m:t>G</m:t>
              </m:r>
            </m:sup>
            <m:e>
              <m:f>
                <m:fPr>
                  <m:ctrlPr>
                    <w:rPr>
                      <w:rFonts w:ascii="Cambria Math" w:eastAsiaTheme="minorEastAsia" w:hAnsi="Cambria Math"/>
                      <w:i/>
                    </w:rPr>
                  </m:ctrlPr>
                </m:fPr>
                <m:num>
                  <m:r>
                    <w:rPr>
                      <w:rFonts w:ascii="Cambria Math" w:eastAsiaTheme="minorEastAsia" w:hAnsi="Cambria Math"/>
                    </w:rPr>
                    <m:t>[K</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t</m:t>
                              </m:r>
                            </m:e>
                          </m:d>
                        </m:e>
                      </m:acc>
                    </m:e>
                    <m:sub>
                      <m:r>
                        <w:rPr>
                          <w:rFonts w:ascii="Cambria Math" w:eastAsiaTheme="minorEastAsia" w:hAnsi="Cambria Math"/>
                        </w:rPr>
                        <m:t>g</m:t>
                      </m:r>
                    </m:sub>
                  </m:sSub>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num>
                <m:den>
                  <m:r>
                    <w:rPr>
                      <w:rFonts w:ascii="Cambria Math" w:eastAsiaTheme="minorEastAsia" w:hAnsi="Cambria Math"/>
                    </w:rPr>
                    <m:t>Var(K</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den>
              </m:f>
            </m:e>
          </m:nary>
        </m:oMath>
      </m:oMathPara>
    </w:p>
    <w:p w14:paraId="1FAC014A" w14:textId="77777777" w:rsidR="00DD0771" w:rsidRPr="00806827" w:rsidRDefault="0080001A" w:rsidP="002C7C53">
      <w:r w:rsidRPr="00806827">
        <w:t>Where:</w:t>
      </w:r>
    </w:p>
    <w:p w14:paraId="3B6C1AB3" w14:textId="61BDA15C" w:rsidR="00E03196" w:rsidRPr="00806827" w:rsidRDefault="0080001A" w:rsidP="002C7C53">
      <w:pPr>
        <w:rPr>
          <w:rFonts w:eastAsiaTheme="minorEastAsia"/>
        </w:rPr>
      </w:pPr>
      <w:r w:rsidRPr="00806827">
        <w:t xml:space="preserve"> </w:t>
      </w:r>
      <m:oMath>
        <m:r>
          <w:rPr>
            <w:rFonts w:ascii="Cambria Math" w:eastAsiaTheme="minorEastAsia" w:hAnsi="Cambria Math"/>
          </w:rPr>
          <m:t>K</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g</m:t>
            </m:r>
          </m:sub>
        </m:sSub>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KM</m:t>
            </m:r>
          </m:sub>
        </m:sSub>
      </m:oMath>
      <w:r w:rsidR="00DC1DA2" w:rsidRPr="00806827">
        <w:rPr>
          <w:rFonts w:eastAsiaTheme="minorEastAsia"/>
        </w:rPr>
        <w:t xml:space="preserve"> is the Kaplan-Meier failure probability in the g</w:t>
      </w:r>
      <w:r w:rsidR="00DC1DA2" w:rsidRPr="00806827">
        <w:rPr>
          <w:rFonts w:eastAsiaTheme="minorEastAsia"/>
          <w:vertAlign w:val="superscript"/>
        </w:rPr>
        <w:t>th</w:t>
      </w:r>
      <w:r w:rsidR="00DC1DA2" w:rsidRPr="00806827">
        <w:rPr>
          <w:rFonts w:eastAsiaTheme="minorEastAsia"/>
        </w:rPr>
        <w:t xml:space="preserve"> decile at time t</w:t>
      </w:r>
    </w:p>
    <w:p w14:paraId="7A17197E" w14:textId="4EDBCFBF" w:rsidR="00DD0771" w:rsidRPr="00806827" w:rsidRDefault="00806827" w:rsidP="002C7C53">
      <w:pPr>
        <w:rPr>
          <w:rFonts w:eastAsiaTheme="minorEastAsia"/>
        </w:rPr>
      </w:p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t</m:t>
                    </m:r>
                  </m:e>
                </m:d>
              </m:e>
            </m:acc>
          </m:e>
          <m:sub>
            <m:r>
              <w:rPr>
                <w:rFonts w:ascii="Cambria Math" w:eastAsiaTheme="minorEastAsia" w:hAnsi="Cambria Math"/>
              </w:rPr>
              <m:t>g</m:t>
            </m:r>
          </m:sub>
        </m:sSub>
      </m:oMath>
      <w:r w:rsidR="00DD0771" w:rsidRPr="00806827">
        <w:rPr>
          <w:rFonts w:eastAsiaTheme="minorEastAsia"/>
        </w:rPr>
        <w:t xml:space="preserve"> is the mean predicted probability of failure for subjects in the g</w:t>
      </w:r>
      <w:r w:rsidR="00DD0771" w:rsidRPr="00806827">
        <w:rPr>
          <w:rFonts w:eastAsiaTheme="minorEastAsia"/>
          <w:vertAlign w:val="superscript"/>
        </w:rPr>
        <w:t>th</w:t>
      </w:r>
      <w:r w:rsidR="00DD0771" w:rsidRPr="00806827">
        <w:rPr>
          <w:rFonts w:eastAsiaTheme="minorEastAsia"/>
        </w:rPr>
        <w:t xml:space="preserve"> decile at time t</w:t>
      </w:r>
    </w:p>
    <w:p w14:paraId="15C0F7DF" w14:textId="2D0AEA81" w:rsidR="00DD0771" w:rsidRPr="00806827" w:rsidRDefault="00DD0771" w:rsidP="002C7C53">
      <w:pPr>
        <w:rPr>
          <w:rFonts w:eastAsiaTheme="minorEastAsia"/>
        </w:rPr>
      </w:pPr>
      <m:oMath>
        <m:r>
          <w:rPr>
            <w:rFonts w:ascii="Cambria Math" w:eastAsiaTheme="minorEastAsia" w:hAnsi="Cambria Math"/>
          </w:rPr>
          <m:t>Var</m:t>
        </m:r>
        <m:d>
          <m:dPr>
            <m:ctrlPr>
              <w:rPr>
                <w:rFonts w:ascii="Cambria Math" w:eastAsiaTheme="minorEastAsia" w:hAnsi="Cambria Math"/>
                <w:i/>
              </w:rPr>
            </m:ctrlPr>
          </m:dPr>
          <m:e>
            <m:r>
              <w:rPr>
                <w:rFonts w:ascii="Cambria Math" w:eastAsiaTheme="minorEastAsia" w:hAnsi="Cambria Math"/>
              </w:rPr>
              <m:t>K</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e>
        </m:d>
        <m:r>
          <w:rPr>
            <w:rFonts w:ascii="Cambria Math" w:eastAsiaTheme="minorEastAsia" w:hAnsi="Cambria Math"/>
          </w:rPr>
          <m:t>=(1-K</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nary>
          <m:naryPr>
            <m:chr m:val="∑"/>
            <m:limLoc m:val="subSup"/>
            <m:supHide m:val="1"/>
            <m:ctrlPr>
              <w:rPr>
                <w:rFonts w:ascii="Cambria Math" w:eastAsiaTheme="minorEastAsia" w:hAnsi="Cambria Math"/>
                <w:i/>
              </w:rPr>
            </m:ctrlPr>
          </m:naryPr>
          <m:sub>
            <m:r>
              <w:rPr>
                <w:rFonts w:ascii="Cambria Math" w:eastAsiaTheme="minorEastAsia" w:hAnsi="Cambria Math"/>
              </w:rPr>
              <m:t>i|</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r>
              <w:rPr>
                <w:rFonts w:ascii="Cambria Math" w:eastAsiaTheme="minorEastAsia" w:hAnsi="Cambria Math"/>
              </w:rPr>
              <m:t>≤t</m:t>
            </m:r>
          </m:sub>
          <m:sup/>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r>
                  <w:rPr>
                    <w:rFonts w:ascii="Cambria Math" w:eastAsiaTheme="minorEastAsia" w:hAnsi="Cambria Math"/>
                  </w:rPr>
                  <m:t>)</m:t>
                </m:r>
              </m:den>
            </m:f>
          </m:e>
        </m:nary>
      </m:oMath>
      <w:r w:rsidRPr="00806827">
        <w:t xml:space="preserve"> is the Greenwood estimator of the variance of the probability of failure, where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oMath>
      <w:r w:rsidRPr="00806827">
        <w:t xml:space="preserve"> 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m:t>
            </m:r>
          </m:sub>
        </m:sSub>
      </m:oMath>
      <w:r w:rsidRPr="00806827">
        <w:t xml:space="preserve"> are the number of failures and number at risk, respectively, at time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oMath>
      <w:r w:rsidR="00DD7C5B" w:rsidRPr="00806827">
        <w:rPr>
          <w:rFonts w:eastAsiaTheme="minorEastAsia"/>
        </w:rPr>
        <w:t>.</w:t>
      </w:r>
    </w:p>
    <w:p w14:paraId="7094CE91" w14:textId="77777777" w:rsidR="00052298" w:rsidRPr="00806827" w:rsidRDefault="00052298" w:rsidP="002C7C53">
      <w:pPr>
        <w:rPr>
          <w:rFonts w:eastAsiaTheme="minorEastAsia"/>
        </w:rPr>
      </w:pPr>
    </w:p>
    <w:p w14:paraId="17C58079" w14:textId="7EF1DF94" w:rsidR="00052298" w:rsidRPr="00806827" w:rsidRDefault="00052298" w:rsidP="002C7C53">
      <w:pPr>
        <w:rPr>
          <w:u w:val="single"/>
        </w:rPr>
      </w:pPr>
      <w:r w:rsidRPr="00806827">
        <w:rPr>
          <w:u w:val="single"/>
        </w:rPr>
        <w:lastRenderedPageBreak/>
        <w:t>C-index</w:t>
      </w:r>
    </w:p>
    <w:p w14:paraId="3EF796F8" w14:textId="7D32E15B" w:rsidR="00FB4D05" w:rsidRPr="00806827" w:rsidRDefault="002E778A" w:rsidP="002C7C53">
      <w:r w:rsidRPr="00806827">
        <w:tab/>
      </w:r>
      <w:r w:rsidR="003341EC" w:rsidRPr="00806827">
        <w:t>The concordance-statistic (C-statistic) is a frequently used measure of discrimination in logistic regression which reflects the area under the ROC curve (AUC). This measure is not appropriate for survival analysis, but the C-index</w:t>
      </w:r>
      <w:r w:rsidR="003341EC" w:rsidRPr="00806827">
        <w:rPr>
          <w:vertAlign w:val="superscript"/>
        </w:rPr>
        <w:t>8</w:t>
      </w:r>
      <w:r w:rsidR="003341EC" w:rsidRPr="00806827">
        <w:t xml:space="preserve"> is an extension of this same concept</w:t>
      </w:r>
      <w:r w:rsidR="00FB4D05" w:rsidRPr="00806827">
        <w:t>. We can interpret the C-index as the probability of concordance (agreement) between the predicted and observed survival times of any two subjects.</w:t>
      </w:r>
      <w:r w:rsidR="00676EAD" w:rsidRPr="00806827">
        <w:t xml:space="preserve"> For example, if subject A had a CVD event before subject B and subject A had a shorter predicted survival time, this would be counted as a concordant pair. If subject B had a shorter predicted survival time, this would be a discordant pair. </w:t>
      </w:r>
      <w:r w:rsidR="00993445" w:rsidRPr="00806827">
        <w:t>Only pairs where at least on</w:t>
      </w:r>
      <w:r w:rsidR="007F05E2" w:rsidRPr="00806827">
        <w:t>e</w:t>
      </w:r>
      <w:r w:rsidR="00993445" w:rsidRPr="00806827">
        <w:t xml:space="preserve"> subject had an event are considered in the formula. </w:t>
      </w:r>
      <w:r w:rsidR="00676EAD" w:rsidRPr="00806827">
        <w:t xml:space="preserve">The </w:t>
      </w:r>
      <w:r w:rsidR="007F05E2" w:rsidRPr="00806827">
        <w:t xml:space="preserve">C-index is the </w:t>
      </w:r>
      <w:r w:rsidR="00676EAD" w:rsidRPr="00806827">
        <w:t xml:space="preserve">percentage of all possible </w:t>
      </w:r>
      <w:r w:rsidR="007F05E2" w:rsidRPr="00806827">
        <w:t>pairs who were concordant</w:t>
      </w:r>
      <w:r w:rsidR="00676EAD" w:rsidRPr="00806827">
        <w:t xml:space="preserve">. </w:t>
      </w:r>
      <w:r w:rsidR="00534C76" w:rsidRPr="00806827">
        <w:t>Another way to express this is:</w:t>
      </w:r>
    </w:p>
    <w:p w14:paraId="567E64FE" w14:textId="02D5D989" w:rsidR="0027773F" w:rsidRPr="00806827" w:rsidRDefault="0027773F" w:rsidP="002C7C53">
      <w:pPr>
        <w:rPr>
          <w:rFonts w:eastAsiaTheme="minorEastAsia"/>
        </w:rPr>
      </w:pPr>
      <m:oMathPara>
        <m:oMath>
          <m:r>
            <w:rPr>
              <w:rFonts w:ascii="Cambria Math" w:hAnsi="Cambria Math"/>
            </w:rPr>
            <m:t>C=</m:t>
          </m:r>
          <m:f>
            <m:fPr>
              <m:ctrlPr>
                <w:rPr>
                  <w:rFonts w:ascii="Cambria Math" w:hAnsi="Cambria Math"/>
                  <w:i/>
                </w:rPr>
              </m:ctrlPr>
            </m:fPr>
            <m:num>
              <m:sSub>
                <m:sSubPr>
                  <m:ctrlPr>
                    <w:rPr>
                      <w:rFonts w:ascii="Cambria Math" w:hAnsi="Cambria Math"/>
                      <w:i/>
                    </w:rPr>
                  </m:ctrlPr>
                </m:sSubPr>
                <m:e>
                  <m:r>
                    <w:rPr>
                      <w:rFonts w:ascii="Cambria Math" w:hAnsi="Cambria Math"/>
                    </w:rPr>
                    <m:t>π</m:t>
                  </m:r>
                </m:e>
                <m:sub>
                  <m:r>
                    <w:rPr>
                      <w:rFonts w:ascii="Cambria Math" w:hAnsi="Cambria Math"/>
                    </w:rPr>
                    <m:t>c</m:t>
                  </m:r>
                </m:sub>
              </m:sSub>
            </m:num>
            <m:den>
              <m:sSub>
                <m:sSubPr>
                  <m:ctrlPr>
                    <w:rPr>
                      <w:rFonts w:ascii="Cambria Math" w:hAnsi="Cambria Math"/>
                      <w:i/>
                    </w:rPr>
                  </m:ctrlPr>
                </m:sSubPr>
                <m:e>
                  <m:r>
                    <w:rPr>
                      <w:rFonts w:ascii="Cambria Math" w:hAnsi="Cambria Math"/>
                    </w:rPr>
                    <m:t>π</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d</m:t>
                  </m:r>
                </m:sub>
              </m:sSub>
            </m:den>
          </m:f>
        </m:oMath>
      </m:oMathPara>
    </w:p>
    <w:p w14:paraId="61070527" w14:textId="3342DF1F" w:rsidR="0027773F" w:rsidRPr="00806827" w:rsidRDefault="0027773F" w:rsidP="002C7C53">
      <w:pPr>
        <w:rPr>
          <w:rFonts w:eastAsiaTheme="minorEastAsia"/>
        </w:rPr>
      </w:pPr>
      <w:r w:rsidRPr="00806827">
        <w:rPr>
          <w:rFonts w:eastAsiaTheme="minorEastAsia"/>
        </w:rPr>
        <w:t xml:space="preserve">Where </w:t>
      </w:r>
    </w:p>
    <w:p w14:paraId="277664F5" w14:textId="6E60003D" w:rsidR="0027773F" w:rsidRPr="00806827" w:rsidRDefault="00806827" w:rsidP="002C7C53">
      <w:pPr>
        <w:rPr>
          <w:rFonts w:eastAsiaTheme="minorEastAsia"/>
        </w:rPr>
      </w:pPr>
      <m:oMath>
        <m:sSub>
          <m:sSubPr>
            <m:ctrlPr>
              <w:rPr>
                <w:rFonts w:ascii="Cambria Math" w:hAnsi="Cambria Math"/>
                <w:i/>
              </w:rPr>
            </m:ctrlPr>
          </m:sSubPr>
          <m:e>
            <m:r>
              <w:rPr>
                <w:rFonts w:ascii="Cambria Math" w:hAnsi="Cambria Math"/>
              </w:rPr>
              <m:t>π</m:t>
            </m:r>
          </m:e>
          <m:sub>
            <m:r>
              <w:rPr>
                <w:rFonts w:ascii="Cambria Math" w:hAnsi="Cambria Math"/>
              </w:rPr>
              <m:t>c</m:t>
            </m:r>
          </m:sub>
        </m:sSub>
        <m:r>
          <w:rPr>
            <w:rFonts w:ascii="Cambria Math" w:hAnsi="Cambria Math"/>
          </w:rPr>
          <m:t>=P(</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&lt;</m:t>
        </m:r>
        <m:sSub>
          <m:sSubPr>
            <m:ctrlPr>
              <w:rPr>
                <w:rFonts w:ascii="Cambria Math" w:hAnsi="Cambria Math"/>
                <w:i/>
              </w:rPr>
            </m:ctrlPr>
          </m:sSubPr>
          <m:e>
            <m:r>
              <w:rPr>
                <w:rFonts w:ascii="Cambria Math" w:hAnsi="Cambria Math"/>
              </w:rPr>
              <m:t>t</m:t>
            </m:r>
          </m:e>
          <m:sub>
            <m:r>
              <w:rPr>
                <w:rFonts w:ascii="Cambria Math" w:hAnsi="Cambria Math"/>
              </w:rPr>
              <m:t>j</m:t>
            </m:r>
          </m:sub>
        </m:sSub>
        <m:r>
          <w:rPr>
            <w:rFonts w:ascii="Cambria Math" w:hAnsi="Cambria Math"/>
          </w:rPr>
          <m:t xml:space="preserve"> and </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r>
          <w:rPr>
            <w:rFonts w:ascii="Cambria Math" w:hAnsi="Cambria Math"/>
          </w:rPr>
          <m:t>&lt;</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j</m:t>
            </m:r>
          </m:sub>
        </m:sSub>
        <m:r>
          <w:rPr>
            <w:rFonts w:ascii="Cambria Math" w:hAnsi="Cambria Math"/>
          </w:rPr>
          <m:t xml:space="preserve"> or </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&gt;</m:t>
        </m:r>
        <m:sSub>
          <m:sSubPr>
            <m:ctrlPr>
              <w:rPr>
                <w:rFonts w:ascii="Cambria Math" w:hAnsi="Cambria Math"/>
                <w:i/>
              </w:rPr>
            </m:ctrlPr>
          </m:sSubPr>
          <m:e>
            <m:r>
              <w:rPr>
                <w:rFonts w:ascii="Cambria Math" w:hAnsi="Cambria Math"/>
              </w:rPr>
              <m:t>t</m:t>
            </m:r>
          </m:e>
          <m:sub>
            <m:r>
              <w:rPr>
                <w:rFonts w:ascii="Cambria Math" w:hAnsi="Cambria Math"/>
              </w:rPr>
              <m:t>j</m:t>
            </m:r>
          </m:sub>
        </m:sSub>
        <m:r>
          <w:rPr>
            <w:rFonts w:ascii="Cambria Math" w:hAnsi="Cambria Math"/>
          </w:rPr>
          <m:t xml:space="preserve"> and </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r>
          <w:rPr>
            <w:rFonts w:ascii="Cambria Math" w:hAnsi="Cambria Math"/>
          </w:rPr>
          <m:t>&gt;</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j</m:t>
            </m:r>
          </m:sub>
        </m:sSub>
        <m:r>
          <w:rPr>
            <w:rFonts w:ascii="Cambria Math" w:hAnsi="Cambria Math"/>
          </w:rPr>
          <m:t xml:space="preserve">) </m:t>
        </m:r>
      </m:oMath>
      <w:r w:rsidR="0019486E" w:rsidRPr="00806827">
        <w:rPr>
          <w:rFonts w:eastAsiaTheme="minorEastAsia"/>
        </w:rPr>
        <w:t xml:space="preserve"> </w:t>
      </w:r>
    </w:p>
    <w:p w14:paraId="35133BB2" w14:textId="2174C53C" w:rsidR="0019486E" w:rsidRPr="00806827" w:rsidRDefault="00806827" w:rsidP="0019486E">
      <w:pPr>
        <w:rPr>
          <w:rFonts w:eastAsiaTheme="minorEastAsia"/>
        </w:rPr>
      </w:pPr>
      <m:oMath>
        <m:sSub>
          <m:sSubPr>
            <m:ctrlPr>
              <w:rPr>
                <w:rFonts w:ascii="Cambria Math" w:hAnsi="Cambria Math"/>
                <w:i/>
              </w:rPr>
            </m:ctrlPr>
          </m:sSubPr>
          <m:e>
            <m:r>
              <w:rPr>
                <w:rFonts w:ascii="Cambria Math" w:hAnsi="Cambria Math"/>
              </w:rPr>
              <m:t>π</m:t>
            </m:r>
          </m:e>
          <m:sub>
            <m:r>
              <w:rPr>
                <w:rFonts w:ascii="Cambria Math" w:hAnsi="Cambria Math"/>
              </w:rPr>
              <m:t>d</m:t>
            </m:r>
          </m:sub>
        </m:sSub>
        <m:r>
          <w:rPr>
            <w:rFonts w:ascii="Cambria Math" w:hAnsi="Cambria Math"/>
          </w:rPr>
          <m:t>=P(</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&lt;</m:t>
        </m:r>
        <m:sSub>
          <m:sSubPr>
            <m:ctrlPr>
              <w:rPr>
                <w:rFonts w:ascii="Cambria Math" w:hAnsi="Cambria Math"/>
                <w:i/>
              </w:rPr>
            </m:ctrlPr>
          </m:sSubPr>
          <m:e>
            <m:r>
              <w:rPr>
                <w:rFonts w:ascii="Cambria Math" w:hAnsi="Cambria Math"/>
              </w:rPr>
              <m:t>t</m:t>
            </m:r>
          </m:e>
          <m:sub>
            <m:r>
              <w:rPr>
                <w:rFonts w:ascii="Cambria Math" w:hAnsi="Cambria Math"/>
              </w:rPr>
              <m:t>j</m:t>
            </m:r>
          </m:sub>
        </m:sSub>
        <m:r>
          <w:rPr>
            <w:rFonts w:ascii="Cambria Math" w:hAnsi="Cambria Math"/>
          </w:rPr>
          <m:t xml:space="preserve"> and </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r>
          <w:rPr>
            <w:rFonts w:ascii="Cambria Math" w:hAnsi="Cambria Math"/>
          </w:rPr>
          <m:t>&gt;</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j</m:t>
            </m:r>
          </m:sub>
        </m:sSub>
        <m:r>
          <w:rPr>
            <w:rFonts w:ascii="Cambria Math" w:hAnsi="Cambria Math"/>
          </w:rPr>
          <m:t xml:space="preserve"> or </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&gt;</m:t>
        </m:r>
        <m:sSub>
          <m:sSubPr>
            <m:ctrlPr>
              <w:rPr>
                <w:rFonts w:ascii="Cambria Math" w:hAnsi="Cambria Math"/>
                <w:i/>
              </w:rPr>
            </m:ctrlPr>
          </m:sSubPr>
          <m:e>
            <m:r>
              <w:rPr>
                <w:rFonts w:ascii="Cambria Math" w:hAnsi="Cambria Math"/>
              </w:rPr>
              <m:t>t</m:t>
            </m:r>
          </m:e>
          <m:sub>
            <m:r>
              <w:rPr>
                <w:rFonts w:ascii="Cambria Math" w:hAnsi="Cambria Math"/>
              </w:rPr>
              <m:t>j</m:t>
            </m:r>
          </m:sub>
        </m:sSub>
        <m:r>
          <w:rPr>
            <w:rFonts w:ascii="Cambria Math" w:hAnsi="Cambria Math"/>
          </w:rPr>
          <m:t xml:space="preserve"> and </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r>
          <w:rPr>
            <w:rFonts w:ascii="Cambria Math" w:hAnsi="Cambria Math"/>
          </w:rPr>
          <m:t>&lt;</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j</m:t>
            </m:r>
          </m:sub>
        </m:sSub>
        <m:r>
          <w:rPr>
            <w:rFonts w:ascii="Cambria Math" w:hAnsi="Cambria Math"/>
          </w:rPr>
          <m:t xml:space="preserve">) </m:t>
        </m:r>
      </m:oMath>
      <w:r w:rsidR="0019486E" w:rsidRPr="00806827">
        <w:rPr>
          <w:rFonts w:eastAsiaTheme="minorEastAsia"/>
        </w:rPr>
        <w:t xml:space="preserve"> </w:t>
      </w:r>
    </w:p>
    <w:p w14:paraId="6E883A20" w14:textId="41AB7CCC" w:rsidR="0019486E" w:rsidRPr="00806827" w:rsidRDefault="00806827" w:rsidP="0019486E">
      <w:pPr>
        <w:rPr>
          <w:rFonts w:eastAsiaTheme="minorEastAsia"/>
          <w:i/>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9486E" w:rsidRPr="00806827">
        <w:rPr>
          <w:rFonts w:eastAsiaTheme="minorEastAsia"/>
        </w:rPr>
        <w:t xml:space="preserve"> and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0019486E" w:rsidRPr="00806827">
        <w:rPr>
          <w:rFonts w:eastAsiaTheme="minorEastAsia"/>
        </w:rPr>
        <w:t xml:space="preserve"> denote observed survival time for subjects </w:t>
      </w:r>
      <w:r w:rsidR="0019486E" w:rsidRPr="00806827">
        <w:rPr>
          <w:rFonts w:eastAsiaTheme="minorEastAsia"/>
          <w:i/>
        </w:rPr>
        <w:t xml:space="preserve">i </w:t>
      </w:r>
      <w:r w:rsidR="0019486E" w:rsidRPr="00806827">
        <w:rPr>
          <w:rFonts w:eastAsiaTheme="minorEastAsia"/>
        </w:rPr>
        <w:t xml:space="preserve">and </w:t>
      </w:r>
      <w:r w:rsidR="0019486E" w:rsidRPr="00806827">
        <w:rPr>
          <w:rFonts w:eastAsiaTheme="minorEastAsia"/>
          <w:i/>
        </w:rPr>
        <w:t>j</w:t>
      </w:r>
    </w:p>
    <w:p w14:paraId="6ADF874E" w14:textId="4AF75C1E" w:rsidR="0019486E" w:rsidRPr="00806827" w:rsidRDefault="00806827" w:rsidP="0019486E">
      <w:pPr>
        <w:rPr>
          <w:rFonts w:eastAsiaTheme="minorEastAsia"/>
          <w:i/>
        </w:rPr>
      </w:p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oMath>
      <w:r w:rsidR="0019486E" w:rsidRPr="00806827">
        <w:rPr>
          <w:rFonts w:eastAsiaTheme="minorEastAsia"/>
        </w:rPr>
        <w:t xml:space="preserve"> and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j</m:t>
            </m:r>
          </m:sub>
        </m:sSub>
      </m:oMath>
      <w:r w:rsidR="0019486E" w:rsidRPr="00806827">
        <w:rPr>
          <w:rFonts w:eastAsiaTheme="minorEastAsia"/>
        </w:rPr>
        <w:t xml:space="preserve"> denote predicted survival time for subjects </w:t>
      </w:r>
      <w:r w:rsidR="0019486E" w:rsidRPr="00806827">
        <w:rPr>
          <w:rFonts w:eastAsiaTheme="minorEastAsia"/>
          <w:i/>
        </w:rPr>
        <w:t xml:space="preserve">i </w:t>
      </w:r>
      <w:r w:rsidR="0019486E" w:rsidRPr="00806827">
        <w:rPr>
          <w:rFonts w:eastAsiaTheme="minorEastAsia"/>
        </w:rPr>
        <w:t xml:space="preserve">and </w:t>
      </w:r>
      <w:r w:rsidR="0019486E" w:rsidRPr="00806827">
        <w:rPr>
          <w:rFonts w:eastAsiaTheme="minorEastAsia"/>
          <w:i/>
        </w:rPr>
        <w:t>j</w:t>
      </w:r>
    </w:p>
    <w:p w14:paraId="31666990" w14:textId="07C3A867" w:rsidR="0019486E" w:rsidRPr="00806827" w:rsidRDefault="00B5051C" w:rsidP="0019486E">
      <w:pPr>
        <w:rPr>
          <w:rFonts w:eastAsiaTheme="minorEastAsia"/>
        </w:rPr>
      </w:pPr>
      <w:r w:rsidRPr="00806827">
        <w:rPr>
          <w:rFonts w:eastAsiaTheme="minorEastAsia"/>
        </w:rPr>
        <w:t>Across all</w:t>
      </w:r>
      <w:r w:rsidR="0019486E" w:rsidRPr="00806827">
        <w:rPr>
          <w:rFonts w:eastAsiaTheme="minorEastAsia"/>
        </w:rPr>
        <w:t xml:space="preserve"> pairs of subjects </w:t>
      </w:r>
      <w:r w:rsidR="0019486E" w:rsidRPr="00806827">
        <w:rPr>
          <w:rFonts w:eastAsiaTheme="minorEastAsia"/>
          <w:i/>
        </w:rPr>
        <w:t xml:space="preserve">i </w:t>
      </w:r>
      <w:r w:rsidR="0019486E" w:rsidRPr="00806827">
        <w:rPr>
          <w:rFonts w:eastAsiaTheme="minorEastAsia"/>
        </w:rPr>
        <w:t xml:space="preserve">and </w:t>
      </w:r>
      <w:r w:rsidR="0019486E" w:rsidRPr="00806827">
        <w:rPr>
          <w:rFonts w:eastAsiaTheme="minorEastAsia"/>
          <w:i/>
        </w:rPr>
        <w:t>j</w:t>
      </w:r>
      <w:r w:rsidRPr="00806827">
        <w:rPr>
          <w:rFonts w:eastAsiaTheme="minorEastAsia"/>
        </w:rPr>
        <w:t xml:space="preserve"> where </w:t>
      </w: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j</m:t>
            </m:r>
          </m:sub>
        </m:sSub>
      </m:oMath>
    </w:p>
    <w:p w14:paraId="6148D5B4" w14:textId="77777777" w:rsidR="0019486E" w:rsidRPr="00806827" w:rsidRDefault="0019486E" w:rsidP="0019486E">
      <w:pPr>
        <w:rPr>
          <w:rFonts w:eastAsiaTheme="minorEastAsia"/>
        </w:rPr>
      </w:pPr>
    </w:p>
    <w:p w14:paraId="605B983C" w14:textId="1BB87CFD" w:rsidR="004F0083" w:rsidRPr="00806827" w:rsidRDefault="004F0083" w:rsidP="004F0083">
      <w:pPr>
        <w:rPr>
          <w:u w:val="single"/>
        </w:rPr>
      </w:pPr>
      <w:r w:rsidRPr="00806827">
        <w:rPr>
          <w:u w:val="single"/>
        </w:rPr>
        <w:t>Net reclassification improvement</w:t>
      </w:r>
    </w:p>
    <w:p w14:paraId="28939CB1" w14:textId="588E69BF" w:rsidR="007F05E2" w:rsidRPr="00806827" w:rsidRDefault="004F0083" w:rsidP="0019486E">
      <w:r w:rsidRPr="00806827">
        <w:rPr>
          <w:rFonts w:eastAsiaTheme="minorEastAsia"/>
        </w:rPr>
        <w:tab/>
      </w:r>
      <w:r w:rsidR="007F05E2" w:rsidRPr="00806827">
        <w:rPr>
          <w:rFonts w:eastAsiaTheme="minorEastAsia"/>
        </w:rPr>
        <w:t xml:space="preserve">The net reclassification improvement (NRI) quantifies the improvement of a new model over an established model. </w:t>
      </w:r>
      <w:r w:rsidR="00A24F51" w:rsidRPr="00806827">
        <w:rPr>
          <w:rFonts w:eastAsiaTheme="minorEastAsia"/>
        </w:rPr>
        <w:t>In order to calculate the NRI</w:t>
      </w:r>
      <w:r w:rsidR="007F05E2" w:rsidRPr="00806827">
        <w:rPr>
          <w:rFonts w:eastAsiaTheme="minorEastAsia"/>
        </w:rPr>
        <w:t>, predicted probabilities must be divided into</w:t>
      </w:r>
      <w:r w:rsidR="00DD7C5B" w:rsidRPr="00806827">
        <w:rPr>
          <w:rFonts w:eastAsiaTheme="minorEastAsia"/>
        </w:rPr>
        <w:t xml:space="preserve"> pre-established</w:t>
      </w:r>
      <w:r w:rsidR="007F05E2" w:rsidRPr="00806827">
        <w:rPr>
          <w:rFonts w:eastAsiaTheme="minorEastAsia"/>
        </w:rPr>
        <w:t xml:space="preserve"> categories</w:t>
      </w:r>
      <w:r w:rsidR="00DD7C5B" w:rsidRPr="00806827">
        <w:rPr>
          <w:rFonts w:eastAsiaTheme="minorEastAsia"/>
        </w:rPr>
        <w:t>; for example,</w:t>
      </w:r>
      <w:r w:rsidR="007F05E2" w:rsidRPr="00806827">
        <w:rPr>
          <w:rFonts w:eastAsiaTheme="minorEastAsia"/>
        </w:rPr>
        <w:t xml:space="preserve"> in this paper</w:t>
      </w:r>
      <w:r w:rsidR="00DD7C5B" w:rsidRPr="00806827">
        <w:rPr>
          <w:rFonts w:eastAsiaTheme="minorEastAsia"/>
        </w:rPr>
        <w:t>,</w:t>
      </w:r>
      <w:r w:rsidR="007F05E2" w:rsidRPr="00806827">
        <w:rPr>
          <w:rFonts w:eastAsiaTheme="minorEastAsia"/>
        </w:rPr>
        <w:t xml:space="preserve"> we divided the 10-year risk of CVD into </w:t>
      </w:r>
      <w:r w:rsidR="007F05E2" w:rsidRPr="00806827">
        <w:t>low (&lt;5%), intermediate (5-&lt;10%), and high (≥10%)</w:t>
      </w:r>
      <w:r w:rsidR="00DD7C5B" w:rsidRPr="00806827">
        <w:t xml:space="preserve"> risk groups</w:t>
      </w:r>
      <w:r w:rsidR="007F05E2" w:rsidRPr="00806827">
        <w:t xml:space="preserve">. </w:t>
      </w:r>
      <w:r w:rsidR="00A24F51" w:rsidRPr="00806827">
        <w:t xml:space="preserve">Improvements </w:t>
      </w:r>
      <w:r w:rsidR="00DD7C5B" w:rsidRPr="00806827">
        <w:t xml:space="preserve">(i.e. correct reclassification) </w:t>
      </w:r>
      <w:r w:rsidR="00A24F51" w:rsidRPr="00806827">
        <w:t>occur when subjects that had an event move “up” in their risk category</w:t>
      </w:r>
      <w:r w:rsidR="00D76A93" w:rsidRPr="00806827">
        <w:t xml:space="preserve"> under the new model</w:t>
      </w:r>
      <w:r w:rsidR="00A24F51" w:rsidRPr="00806827">
        <w:t xml:space="preserve"> and subjects that didn’t have an event move “down” in risk category. </w:t>
      </w:r>
      <w:r w:rsidR="00B37B05" w:rsidRPr="00806827">
        <w:t>The basic formula is:</w:t>
      </w:r>
    </w:p>
    <w:p w14:paraId="191FC608" w14:textId="76A85062" w:rsidR="00A24F51" w:rsidRPr="00806827" w:rsidRDefault="00A24F51" w:rsidP="00A24F51">
      <m:oMathPara>
        <m:oMath>
          <m:r>
            <w:rPr>
              <w:rFonts w:ascii="Cambria Math" w:hAnsi="Cambria Math"/>
            </w:rPr>
            <m:t>NRI=P</m:t>
          </m:r>
          <m:d>
            <m:dPr>
              <m:ctrlPr>
                <w:rPr>
                  <w:rFonts w:ascii="Cambria Math" w:hAnsi="Cambria Math"/>
                  <w:i/>
                </w:rPr>
              </m:ctrlPr>
            </m:dPr>
            <m:e>
              <m:r>
                <w:rPr>
                  <w:rFonts w:ascii="Cambria Math" w:hAnsi="Cambria Math"/>
                </w:rPr>
                <m:t>up</m:t>
              </m:r>
            </m:e>
            <m:e>
              <m:r>
                <w:rPr>
                  <w:rFonts w:ascii="Cambria Math" w:hAnsi="Cambria Math"/>
                </w:rPr>
                <m:t>event</m:t>
              </m:r>
            </m:e>
          </m:d>
          <m:r>
            <w:rPr>
              <w:rFonts w:ascii="Cambria Math" w:hAnsi="Cambria Math"/>
            </w:rPr>
            <m:t>-P</m:t>
          </m:r>
          <m:d>
            <m:dPr>
              <m:ctrlPr>
                <w:rPr>
                  <w:rFonts w:ascii="Cambria Math" w:hAnsi="Cambria Math"/>
                  <w:i/>
                </w:rPr>
              </m:ctrlPr>
            </m:dPr>
            <m:e>
              <m:r>
                <w:rPr>
                  <w:rFonts w:ascii="Cambria Math" w:hAnsi="Cambria Math"/>
                </w:rPr>
                <m:t>down</m:t>
              </m:r>
            </m:e>
            <m:e>
              <m:r>
                <w:rPr>
                  <w:rFonts w:ascii="Cambria Math" w:hAnsi="Cambria Math"/>
                </w:rPr>
                <m:t>event</m:t>
              </m:r>
            </m:e>
          </m:d>
          <m:r>
            <w:rPr>
              <w:rFonts w:ascii="Cambria Math" w:hAnsi="Cambria Math"/>
            </w:rPr>
            <m:t>+P</m:t>
          </m:r>
          <m:d>
            <m:dPr>
              <m:ctrlPr>
                <w:rPr>
                  <w:rFonts w:ascii="Cambria Math" w:hAnsi="Cambria Math"/>
                  <w:i/>
                </w:rPr>
              </m:ctrlPr>
            </m:dPr>
            <m:e>
              <m:r>
                <w:rPr>
                  <w:rFonts w:ascii="Cambria Math" w:hAnsi="Cambria Math"/>
                </w:rPr>
                <m:t>down</m:t>
              </m:r>
            </m:e>
            <m:e>
              <m:r>
                <w:rPr>
                  <w:rFonts w:ascii="Cambria Math" w:hAnsi="Cambria Math"/>
                </w:rPr>
                <m:t>non-event</m:t>
              </m:r>
            </m:e>
          </m:d>
          <m:r>
            <w:rPr>
              <w:rFonts w:ascii="Cambria Math" w:hAnsi="Cambria Math"/>
            </w:rPr>
            <m:t>-P(up|non-event)</m:t>
          </m:r>
        </m:oMath>
      </m:oMathPara>
    </w:p>
    <w:p w14:paraId="5D4FEE23" w14:textId="14B36A41" w:rsidR="00B37B05" w:rsidRPr="00806827" w:rsidRDefault="00B37B05" w:rsidP="00D46331">
      <w:r w:rsidRPr="00806827">
        <w:t xml:space="preserve">To extend the NRI to survival </w:t>
      </w:r>
      <w:r w:rsidR="007E57FE" w:rsidRPr="00806827">
        <w:t>analysis</w:t>
      </w:r>
      <w:r w:rsidR="00D46331" w:rsidRPr="00806827">
        <w:rPr>
          <w:vertAlign w:val="superscript"/>
        </w:rPr>
        <w:t>9</w:t>
      </w:r>
      <w:r w:rsidR="007E57FE" w:rsidRPr="00806827">
        <w:t>, this formula can be re-written using Bayes theorem to:</w:t>
      </w:r>
    </w:p>
    <w:p w14:paraId="52C8D031" w14:textId="66F5A7C5" w:rsidR="007E57FE" w:rsidRPr="00806827" w:rsidRDefault="007E57FE" w:rsidP="007E57FE">
      <m:oMathPara>
        <m:oMath>
          <m:r>
            <w:rPr>
              <w:rFonts w:ascii="Cambria Math" w:hAnsi="Cambria Math"/>
            </w:rPr>
            <m:t>NRI=</m:t>
          </m:r>
          <m:f>
            <m:fPr>
              <m:ctrlPr>
                <w:rPr>
                  <w:rFonts w:ascii="Cambria Math" w:hAnsi="Cambria Math"/>
                  <w:i/>
                </w:rPr>
              </m:ctrlPr>
            </m:fPr>
            <m:num>
              <m:d>
                <m:dPr>
                  <m:ctrlPr>
                    <w:rPr>
                      <w:rFonts w:ascii="Cambria Math" w:hAnsi="Cambria Math"/>
                      <w:i/>
                    </w:rPr>
                  </m:ctrlPr>
                </m:dPr>
                <m:e>
                  <m:r>
                    <w:rPr>
                      <w:rFonts w:ascii="Cambria Math" w:hAnsi="Cambria Math"/>
                    </w:rPr>
                    <m:t>P</m:t>
                  </m:r>
                  <m:d>
                    <m:dPr>
                      <m:ctrlPr>
                        <w:rPr>
                          <w:rFonts w:ascii="Cambria Math" w:hAnsi="Cambria Math"/>
                          <w:i/>
                        </w:rPr>
                      </m:ctrlPr>
                    </m:dPr>
                    <m:e>
                      <m:r>
                        <w:rPr>
                          <w:rFonts w:ascii="Cambria Math" w:hAnsi="Cambria Math"/>
                        </w:rPr>
                        <m:t>event</m:t>
                      </m:r>
                    </m:e>
                    <m:e>
                      <m:r>
                        <w:rPr>
                          <w:rFonts w:ascii="Cambria Math" w:hAnsi="Cambria Math"/>
                        </w:rPr>
                        <m:t>up</m:t>
                      </m:r>
                    </m:e>
                  </m:d>
                  <m:r>
                    <w:rPr>
                      <w:rFonts w:ascii="Cambria Math" w:hAnsi="Cambria Math"/>
                    </w:rPr>
                    <m:t>-P</m:t>
                  </m:r>
                  <m:d>
                    <m:dPr>
                      <m:ctrlPr>
                        <w:rPr>
                          <w:rFonts w:ascii="Cambria Math" w:hAnsi="Cambria Math"/>
                          <w:i/>
                        </w:rPr>
                      </m:ctrlPr>
                    </m:dPr>
                    <m:e>
                      <m:r>
                        <w:rPr>
                          <w:rFonts w:ascii="Cambria Math" w:hAnsi="Cambria Math"/>
                        </w:rPr>
                        <m:t>event</m:t>
                      </m:r>
                    </m:e>
                  </m:d>
                </m:e>
              </m:d>
              <m:r>
                <w:rPr>
                  <w:rFonts w:ascii="Cambria Math" w:hAnsi="Cambria Math"/>
                </w:rPr>
                <m:t>∙P(up)+</m:t>
              </m:r>
              <m:d>
                <m:dPr>
                  <m:ctrlPr>
                    <w:rPr>
                      <w:rFonts w:ascii="Cambria Math" w:hAnsi="Cambria Math"/>
                      <w:i/>
                    </w:rPr>
                  </m:ctrlPr>
                </m:dPr>
                <m:e>
                  <m:r>
                    <w:rPr>
                      <w:rFonts w:ascii="Cambria Math" w:hAnsi="Cambria Math"/>
                    </w:rPr>
                    <m:t>P(event)-P</m:t>
                  </m:r>
                  <m:d>
                    <m:dPr>
                      <m:ctrlPr>
                        <w:rPr>
                          <w:rFonts w:ascii="Cambria Math" w:hAnsi="Cambria Math"/>
                          <w:i/>
                        </w:rPr>
                      </m:ctrlPr>
                    </m:dPr>
                    <m:e>
                      <m:r>
                        <w:rPr>
                          <w:rFonts w:ascii="Cambria Math" w:hAnsi="Cambria Math"/>
                        </w:rPr>
                        <m:t>event|down</m:t>
                      </m:r>
                    </m:e>
                  </m:d>
                </m:e>
              </m:d>
              <m:r>
                <w:rPr>
                  <w:rFonts w:ascii="Cambria Math" w:hAnsi="Cambria Math"/>
                </w:rPr>
                <m:t>∙P(down)</m:t>
              </m:r>
            </m:num>
            <m:den>
              <m:r>
                <w:rPr>
                  <w:rFonts w:ascii="Cambria Math" w:hAnsi="Cambria Math"/>
                </w:rPr>
                <m:t>P</m:t>
              </m:r>
              <m:d>
                <m:dPr>
                  <m:ctrlPr>
                    <w:rPr>
                      <w:rFonts w:ascii="Cambria Math" w:hAnsi="Cambria Math"/>
                      <w:i/>
                    </w:rPr>
                  </m:ctrlPr>
                </m:dPr>
                <m:e>
                  <m:r>
                    <w:rPr>
                      <w:rFonts w:ascii="Cambria Math" w:hAnsi="Cambria Math"/>
                    </w:rPr>
                    <m:t>event</m:t>
                  </m:r>
                </m:e>
              </m:d>
              <m:r>
                <w:rPr>
                  <w:rFonts w:ascii="Cambria Math" w:hAnsi="Cambria Math"/>
                </w:rPr>
                <m:t>∙(1-P</m:t>
              </m:r>
              <m:d>
                <m:dPr>
                  <m:ctrlPr>
                    <w:rPr>
                      <w:rFonts w:ascii="Cambria Math" w:hAnsi="Cambria Math"/>
                      <w:i/>
                    </w:rPr>
                  </m:ctrlPr>
                </m:dPr>
                <m:e>
                  <m:r>
                    <w:rPr>
                      <w:rFonts w:ascii="Cambria Math" w:hAnsi="Cambria Math"/>
                    </w:rPr>
                    <m:t>event</m:t>
                  </m:r>
                </m:e>
              </m:d>
              <m:r>
                <w:rPr>
                  <w:rFonts w:ascii="Cambria Math" w:hAnsi="Cambria Math"/>
                </w:rPr>
                <m:t>)</m:t>
              </m:r>
            </m:den>
          </m:f>
        </m:oMath>
      </m:oMathPara>
    </w:p>
    <w:p w14:paraId="20C2B6C5" w14:textId="20B0E080" w:rsidR="00D46331" w:rsidRPr="00806827" w:rsidRDefault="00D46331" w:rsidP="0019486E">
      <w:pPr>
        <w:rPr>
          <w:rFonts w:eastAsiaTheme="minorEastAsia"/>
        </w:rPr>
      </w:pPr>
      <m:oMath>
        <m:r>
          <w:rPr>
            <w:rFonts w:ascii="Cambria Math" w:hAnsi="Cambria Math"/>
          </w:rPr>
          <m:t>P</m:t>
        </m:r>
        <m:d>
          <m:dPr>
            <m:ctrlPr>
              <w:rPr>
                <w:rFonts w:ascii="Cambria Math" w:hAnsi="Cambria Math"/>
                <w:i/>
              </w:rPr>
            </m:ctrlPr>
          </m:dPr>
          <m:e>
            <m:r>
              <w:rPr>
                <w:rFonts w:ascii="Cambria Math" w:hAnsi="Cambria Math"/>
              </w:rPr>
              <m:t>event</m:t>
            </m:r>
          </m:e>
        </m:d>
      </m:oMath>
      <w:r w:rsidRPr="00806827">
        <w:rPr>
          <w:rFonts w:eastAsiaTheme="minorEastAsia"/>
        </w:rPr>
        <w:t xml:space="preserve">, </w:t>
      </w:r>
      <m:oMath>
        <m:r>
          <w:rPr>
            <w:rFonts w:ascii="Cambria Math" w:hAnsi="Cambria Math"/>
          </w:rPr>
          <m:t>P</m:t>
        </m:r>
        <m:d>
          <m:dPr>
            <m:ctrlPr>
              <w:rPr>
                <w:rFonts w:ascii="Cambria Math" w:hAnsi="Cambria Math"/>
                <w:i/>
              </w:rPr>
            </m:ctrlPr>
          </m:dPr>
          <m:e>
            <m:r>
              <w:rPr>
                <w:rFonts w:ascii="Cambria Math" w:hAnsi="Cambria Math"/>
              </w:rPr>
              <m:t>event</m:t>
            </m:r>
          </m:e>
          <m:e>
            <m:r>
              <w:rPr>
                <w:rFonts w:ascii="Cambria Math" w:hAnsi="Cambria Math"/>
              </w:rPr>
              <m:t>up</m:t>
            </m:r>
          </m:e>
        </m:d>
      </m:oMath>
      <w:r w:rsidRPr="00806827">
        <w:rPr>
          <w:rFonts w:eastAsiaTheme="minorEastAsia"/>
        </w:rPr>
        <w:t xml:space="preserve">, and </w:t>
      </w:r>
      <m:oMath>
        <m:r>
          <w:rPr>
            <w:rFonts w:ascii="Cambria Math" w:hAnsi="Cambria Math"/>
          </w:rPr>
          <m:t>P</m:t>
        </m:r>
        <m:d>
          <m:dPr>
            <m:ctrlPr>
              <w:rPr>
                <w:rFonts w:ascii="Cambria Math" w:hAnsi="Cambria Math"/>
                <w:i/>
              </w:rPr>
            </m:ctrlPr>
          </m:dPr>
          <m:e>
            <m:r>
              <w:rPr>
                <w:rFonts w:ascii="Cambria Math" w:hAnsi="Cambria Math"/>
              </w:rPr>
              <m:t>event|down</m:t>
            </m:r>
          </m:e>
        </m:d>
      </m:oMath>
      <w:r w:rsidRPr="00806827">
        <w:rPr>
          <w:rFonts w:eastAsiaTheme="minorEastAsia"/>
        </w:rPr>
        <w:t xml:space="preserve"> can all be estimated using the Kaplan-Meier approach while </w:t>
      </w:r>
      <m:oMath>
        <m:r>
          <w:rPr>
            <w:rFonts w:ascii="Cambria Math" w:hAnsi="Cambria Math"/>
          </w:rPr>
          <m:t>P(up)</m:t>
        </m:r>
      </m:oMath>
      <w:r w:rsidRPr="00806827">
        <w:rPr>
          <w:rFonts w:eastAsiaTheme="minorEastAsia"/>
        </w:rPr>
        <w:t xml:space="preserve"> and </w:t>
      </w:r>
      <m:oMath>
        <m:r>
          <w:rPr>
            <w:rFonts w:ascii="Cambria Math" w:hAnsi="Cambria Math"/>
          </w:rPr>
          <m:t>P(down)</m:t>
        </m:r>
      </m:oMath>
      <w:r w:rsidRPr="00806827">
        <w:rPr>
          <w:rFonts w:eastAsiaTheme="minorEastAsia"/>
        </w:rPr>
        <w:t xml:space="preserve"> are straightforward to estimate in the dataset. </w:t>
      </w:r>
    </w:p>
    <w:p w14:paraId="6E202ABF" w14:textId="23C11BC9" w:rsidR="007F05E2" w:rsidRPr="00806827" w:rsidRDefault="00D46331" w:rsidP="00D46331">
      <w:pPr>
        <w:ind w:firstLine="720"/>
        <w:rPr>
          <w:rFonts w:eastAsiaTheme="minorEastAsia"/>
        </w:rPr>
      </w:pPr>
      <w:r w:rsidRPr="00806827">
        <w:rPr>
          <w:rFonts w:eastAsiaTheme="minorEastAsia"/>
        </w:rPr>
        <w:lastRenderedPageBreak/>
        <w:t>We also calculated the NRI separately by event status</w:t>
      </w:r>
      <w:r w:rsidR="00DD7C5B" w:rsidRPr="00806827">
        <w:rPr>
          <w:rFonts w:eastAsiaTheme="minorEastAsia"/>
        </w:rPr>
        <w:t>,</w:t>
      </w:r>
      <w:r w:rsidRPr="00806827">
        <w:rPr>
          <w:rFonts w:eastAsiaTheme="minorEastAsia"/>
        </w:rPr>
        <w:t xml:space="preserve"> which are just components of the overall NRI formula broken out:</w:t>
      </w:r>
    </w:p>
    <w:p w14:paraId="66BCD0F7" w14:textId="77777777" w:rsidR="00D46331" w:rsidRPr="00806827" w:rsidRDefault="00D46331" w:rsidP="00D46331">
      <w:pPr>
        <w:ind w:firstLine="720"/>
      </w:pPr>
    </w:p>
    <w:p w14:paraId="2DFF60C8" w14:textId="77777777" w:rsidR="00D46331" w:rsidRPr="00806827" w:rsidRDefault="00806827" w:rsidP="0019486E">
      <w:pPr>
        <w:rPr>
          <w:rFonts w:eastAsiaTheme="minorEastAsia"/>
        </w:rPr>
      </w:pPr>
      <m:oMathPara>
        <m:oMathParaPr>
          <m:jc m:val="left"/>
        </m:oMathParaPr>
        <m:oMath>
          <m:sSub>
            <m:sSubPr>
              <m:ctrlPr>
                <w:rPr>
                  <w:rFonts w:ascii="Cambria Math" w:hAnsi="Cambria Math"/>
                  <w:i/>
                </w:rPr>
              </m:ctrlPr>
            </m:sSubPr>
            <m:e>
              <m:r>
                <w:rPr>
                  <w:rFonts w:ascii="Cambria Math" w:hAnsi="Cambria Math"/>
                </w:rPr>
                <m:t>NRI</m:t>
              </m:r>
            </m:e>
            <m:sub>
              <m:r>
                <w:rPr>
                  <w:rFonts w:ascii="Cambria Math" w:hAnsi="Cambria Math"/>
                </w:rPr>
                <m:t>events</m:t>
              </m:r>
            </m:sub>
          </m:sSub>
          <m:r>
            <w:rPr>
              <w:rFonts w:ascii="Cambria Math" w:hAnsi="Cambria Math"/>
            </w:rPr>
            <m:t>=P</m:t>
          </m:r>
          <m:d>
            <m:dPr>
              <m:ctrlPr>
                <w:rPr>
                  <w:rFonts w:ascii="Cambria Math" w:hAnsi="Cambria Math"/>
                  <w:i/>
                </w:rPr>
              </m:ctrlPr>
            </m:dPr>
            <m:e>
              <m:r>
                <w:rPr>
                  <w:rFonts w:ascii="Cambria Math" w:hAnsi="Cambria Math"/>
                </w:rPr>
                <m:t>up</m:t>
              </m:r>
            </m:e>
            <m:e>
              <m:r>
                <w:rPr>
                  <w:rFonts w:ascii="Cambria Math" w:hAnsi="Cambria Math"/>
                </w:rPr>
                <m:t>event</m:t>
              </m:r>
            </m:e>
          </m:d>
          <m:r>
            <w:rPr>
              <w:rFonts w:ascii="Cambria Math" w:hAnsi="Cambria Math"/>
            </w:rPr>
            <m:t>-P</m:t>
          </m:r>
          <m:d>
            <m:dPr>
              <m:ctrlPr>
                <w:rPr>
                  <w:rFonts w:ascii="Cambria Math" w:hAnsi="Cambria Math"/>
                  <w:i/>
                </w:rPr>
              </m:ctrlPr>
            </m:dPr>
            <m:e>
              <m:r>
                <w:rPr>
                  <w:rFonts w:ascii="Cambria Math" w:hAnsi="Cambria Math"/>
                </w:rPr>
                <m:t>down</m:t>
              </m:r>
            </m:e>
            <m:e>
              <m:r>
                <w:rPr>
                  <w:rFonts w:ascii="Cambria Math" w:hAnsi="Cambria Math"/>
                </w:rPr>
                <m:t>event</m:t>
              </m:r>
            </m:e>
          </m:d>
        </m:oMath>
      </m:oMathPara>
    </w:p>
    <w:p w14:paraId="6314D5E6" w14:textId="154DDC56" w:rsidR="007F05E2" w:rsidRPr="00806827" w:rsidRDefault="00D46331" w:rsidP="00D46331">
      <w:pPr>
        <w:ind w:left="720" w:firstLine="1440"/>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event</m:t>
                  </m:r>
                </m:e>
                <m:e>
                  <m:r>
                    <w:rPr>
                      <w:rFonts w:ascii="Cambria Math" w:hAnsi="Cambria Math"/>
                    </w:rPr>
                    <m:t>up</m:t>
                  </m:r>
                </m:e>
              </m:d>
              <m:r>
                <w:rPr>
                  <w:rFonts w:ascii="Cambria Math" w:hAnsi="Cambria Math"/>
                </w:rPr>
                <m:t>∙P</m:t>
              </m:r>
              <m:d>
                <m:dPr>
                  <m:ctrlPr>
                    <w:rPr>
                      <w:rFonts w:ascii="Cambria Math" w:hAnsi="Cambria Math"/>
                      <w:i/>
                    </w:rPr>
                  </m:ctrlPr>
                </m:dPr>
                <m:e>
                  <m:r>
                    <w:rPr>
                      <w:rFonts w:ascii="Cambria Math" w:hAnsi="Cambria Math"/>
                    </w:rPr>
                    <m:t>up</m:t>
                  </m:r>
                </m:e>
              </m:d>
              <m:r>
                <w:rPr>
                  <w:rFonts w:ascii="Cambria Math" w:hAnsi="Cambria Math"/>
                </w:rPr>
                <m:t>-P</m:t>
              </m:r>
              <m:d>
                <m:dPr>
                  <m:ctrlPr>
                    <w:rPr>
                      <w:rFonts w:ascii="Cambria Math" w:hAnsi="Cambria Math"/>
                      <w:i/>
                    </w:rPr>
                  </m:ctrlPr>
                </m:dPr>
                <m:e>
                  <m:r>
                    <w:rPr>
                      <w:rFonts w:ascii="Cambria Math" w:hAnsi="Cambria Math"/>
                    </w:rPr>
                    <m:t>event</m:t>
                  </m:r>
                </m:e>
                <m:e>
                  <m:r>
                    <w:rPr>
                      <w:rFonts w:ascii="Cambria Math" w:hAnsi="Cambria Math"/>
                    </w:rPr>
                    <m:t>down</m:t>
                  </m:r>
                </m:e>
              </m:d>
              <m:r>
                <w:rPr>
                  <w:rFonts w:ascii="Cambria Math" w:hAnsi="Cambria Math"/>
                </w:rPr>
                <m:t>∙P(down)</m:t>
              </m:r>
            </m:num>
            <m:den>
              <m:r>
                <w:rPr>
                  <w:rFonts w:ascii="Cambria Math" w:hAnsi="Cambria Math"/>
                </w:rPr>
                <m:t>P(event)</m:t>
              </m:r>
            </m:den>
          </m:f>
        </m:oMath>
      </m:oMathPara>
    </w:p>
    <w:p w14:paraId="748FE381" w14:textId="2E1FBC5E" w:rsidR="00D46331" w:rsidRPr="00806827" w:rsidRDefault="00806827" w:rsidP="00D46331">
      <w:pPr>
        <w:rPr>
          <w:rFonts w:eastAsiaTheme="minorEastAsia"/>
        </w:rPr>
      </w:pPr>
      <m:oMathPara>
        <m:oMathParaPr>
          <m:jc m:val="left"/>
        </m:oMathParaPr>
        <m:oMath>
          <m:sSub>
            <m:sSubPr>
              <m:ctrlPr>
                <w:rPr>
                  <w:rFonts w:ascii="Cambria Math" w:hAnsi="Cambria Math"/>
                  <w:i/>
                </w:rPr>
              </m:ctrlPr>
            </m:sSubPr>
            <m:e>
              <m:r>
                <w:rPr>
                  <w:rFonts w:ascii="Cambria Math" w:hAnsi="Cambria Math"/>
                </w:rPr>
                <m:t>NRI</m:t>
              </m:r>
            </m:e>
            <m:sub>
              <m:r>
                <w:rPr>
                  <w:rFonts w:ascii="Cambria Math" w:hAnsi="Cambria Math"/>
                </w:rPr>
                <m:t>non-events</m:t>
              </m:r>
            </m:sub>
          </m:sSub>
          <m:r>
            <w:rPr>
              <w:rFonts w:ascii="Cambria Math" w:hAnsi="Cambria Math"/>
            </w:rPr>
            <m:t>=P</m:t>
          </m:r>
          <m:d>
            <m:dPr>
              <m:ctrlPr>
                <w:rPr>
                  <w:rFonts w:ascii="Cambria Math" w:hAnsi="Cambria Math"/>
                  <w:i/>
                </w:rPr>
              </m:ctrlPr>
            </m:dPr>
            <m:e>
              <m:r>
                <w:rPr>
                  <w:rFonts w:ascii="Cambria Math" w:hAnsi="Cambria Math"/>
                </w:rPr>
                <m:t>down</m:t>
              </m:r>
            </m:e>
            <m:e>
              <m:r>
                <w:rPr>
                  <w:rFonts w:ascii="Cambria Math" w:hAnsi="Cambria Math"/>
                </w:rPr>
                <m:t>non-event</m:t>
              </m:r>
            </m:e>
          </m:d>
          <m:r>
            <w:rPr>
              <w:rFonts w:ascii="Cambria Math" w:hAnsi="Cambria Math"/>
            </w:rPr>
            <m:t>-P</m:t>
          </m:r>
          <m:d>
            <m:dPr>
              <m:ctrlPr>
                <w:rPr>
                  <w:rFonts w:ascii="Cambria Math" w:hAnsi="Cambria Math"/>
                  <w:i/>
                </w:rPr>
              </m:ctrlPr>
            </m:dPr>
            <m:e>
              <m:r>
                <w:rPr>
                  <w:rFonts w:ascii="Cambria Math" w:hAnsi="Cambria Math"/>
                </w:rPr>
                <m:t>up</m:t>
              </m:r>
            </m:e>
            <m:e>
              <m:r>
                <w:rPr>
                  <w:rFonts w:ascii="Cambria Math" w:hAnsi="Cambria Math"/>
                </w:rPr>
                <m:t>non-event</m:t>
              </m:r>
            </m:e>
          </m:d>
        </m:oMath>
      </m:oMathPara>
    </w:p>
    <w:p w14:paraId="4F17B211" w14:textId="549C9C4E" w:rsidR="00D46331" w:rsidRPr="00806827" w:rsidRDefault="00D46331" w:rsidP="00D46331">
      <w:pPr>
        <w:ind w:left="720" w:firstLine="1440"/>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(1-P</m:t>
              </m:r>
              <m:d>
                <m:dPr>
                  <m:ctrlPr>
                    <w:rPr>
                      <w:rFonts w:ascii="Cambria Math" w:hAnsi="Cambria Math"/>
                      <w:i/>
                    </w:rPr>
                  </m:ctrlPr>
                </m:dPr>
                <m:e>
                  <m:r>
                    <w:rPr>
                      <w:rFonts w:ascii="Cambria Math" w:hAnsi="Cambria Math"/>
                    </w:rPr>
                    <m:t>event</m:t>
                  </m:r>
                </m:e>
                <m:e>
                  <m:r>
                    <w:rPr>
                      <w:rFonts w:ascii="Cambria Math" w:hAnsi="Cambria Math"/>
                    </w:rPr>
                    <m:t>down</m:t>
                  </m:r>
                </m:e>
              </m:d>
              <m:r>
                <w:rPr>
                  <w:rFonts w:ascii="Cambria Math" w:hAnsi="Cambria Math"/>
                </w:rPr>
                <m:t>)∙P</m:t>
              </m:r>
              <m:d>
                <m:dPr>
                  <m:ctrlPr>
                    <w:rPr>
                      <w:rFonts w:ascii="Cambria Math" w:hAnsi="Cambria Math"/>
                      <w:i/>
                    </w:rPr>
                  </m:ctrlPr>
                </m:dPr>
                <m:e>
                  <m:r>
                    <w:rPr>
                      <w:rFonts w:ascii="Cambria Math" w:hAnsi="Cambria Math"/>
                    </w:rPr>
                    <m:t>down</m:t>
                  </m:r>
                </m:e>
              </m:d>
              <m:r>
                <w:rPr>
                  <w:rFonts w:ascii="Cambria Math" w:hAnsi="Cambria Math"/>
                </w:rPr>
                <m:t>-(1-P</m:t>
              </m:r>
              <m:d>
                <m:dPr>
                  <m:ctrlPr>
                    <w:rPr>
                      <w:rFonts w:ascii="Cambria Math" w:hAnsi="Cambria Math"/>
                      <w:i/>
                    </w:rPr>
                  </m:ctrlPr>
                </m:dPr>
                <m:e>
                  <m:r>
                    <w:rPr>
                      <w:rFonts w:ascii="Cambria Math" w:hAnsi="Cambria Math"/>
                    </w:rPr>
                    <m:t>event</m:t>
                  </m:r>
                </m:e>
                <m:e>
                  <m:r>
                    <w:rPr>
                      <w:rFonts w:ascii="Cambria Math" w:hAnsi="Cambria Math"/>
                    </w:rPr>
                    <m:t>up</m:t>
                  </m:r>
                </m:e>
              </m:d>
              <m:r>
                <w:rPr>
                  <w:rFonts w:ascii="Cambria Math" w:hAnsi="Cambria Math"/>
                </w:rPr>
                <m:t>)∙P(up)</m:t>
              </m:r>
            </m:num>
            <m:den>
              <m:r>
                <w:rPr>
                  <w:rFonts w:ascii="Cambria Math" w:hAnsi="Cambria Math"/>
                </w:rPr>
                <m:t>(1-P</m:t>
              </m:r>
              <m:d>
                <m:dPr>
                  <m:ctrlPr>
                    <w:rPr>
                      <w:rFonts w:ascii="Cambria Math" w:hAnsi="Cambria Math"/>
                      <w:i/>
                    </w:rPr>
                  </m:ctrlPr>
                </m:dPr>
                <m:e>
                  <m:r>
                    <w:rPr>
                      <w:rFonts w:ascii="Cambria Math" w:hAnsi="Cambria Math"/>
                    </w:rPr>
                    <m:t>event</m:t>
                  </m:r>
                </m:e>
              </m:d>
              <m:r>
                <w:rPr>
                  <w:rFonts w:ascii="Cambria Math" w:hAnsi="Cambria Math"/>
                </w:rPr>
                <m:t>)</m:t>
              </m:r>
            </m:den>
          </m:f>
        </m:oMath>
      </m:oMathPara>
    </w:p>
    <w:p w14:paraId="0A1C197B" w14:textId="77777777" w:rsidR="007F05E2" w:rsidRPr="00806827" w:rsidRDefault="007F05E2" w:rsidP="0019486E"/>
    <w:p w14:paraId="7593DA31" w14:textId="6346EB95" w:rsidR="00D83FCB" w:rsidRPr="00806827" w:rsidRDefault="00D83FCB" w:rsidP="00D83FCB">
      <w:pPr>
        <w:rPr>
          <w:u w:val="single"/>
        </w:rPr>
      </w:pPr>
      <w:r w:rsidRPr="00806827">
        <w:rPr>
          <w:u w:val="single"/>
        </w:rPr>
        <w:t>Integrated discrimination improvement</w:t>
      </w:r>
    </w:p>
    <w:p w14:paraId="1BB122E1" w14:textId="42C6F596" w:rsidR="00D83FCB" w:rsidRPr="00806827" w:rsidRDefault="00D83FCB" w:rsidP="00D76A93">
      <w:r w:rsidRPr="00806827">
        <w:tab/>
        <w:t>The integrated discrimination improvement (IDI) is a continuous measure of reclassification.</w:t>
      </w:r>
      <w:r w:rsidR="004B3B04" w:rsidRPr="00806827">
        <w:rPr>
          <w:vertAlign w:val="superscript"/>
        </w:rPr>
        <w:t>10</w:t>
      </w:r>
      <w:r w:rsidRPr="00806827">
        <w:t xml:space="preserve"> </w:t>
      </w:r>
      <w:r w:rsidR="00D76A93" w:rsidRPr="00806827">
        <w:t xml:space="preserve">Improvements occur when the mean predicted probabilities (here, 10-year risk of CVD) increase under the new model for subjects that had an event and decrease for subjects that did not have an event. The IDI can be directly estimated from survival models. </w:t>
      </w:r>
    </w:p>
    <w:p w14:paraId="38E2119A" w14:textId="50BB4394" w:rsidR="00D76A93" w:rsidRPr="00806827" w:rsidRDefault="00D76A93" w:rsidP="0019486E">
      <m:oMathPara>
        <m:oMath>
          <m:r>
            <w:rPr>
              <w:rFonts w:ascii="Cambria Math" w:hAnsi="Cambria Math"/>
            </w:rPr>
            <m:t>IDI=</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acc>
                        <m:accPr>
                          <m:ctrlPr>
                            <w:rPr>
                              <w:rFonts w:ascii="Cambria Math" w:hAnsi="Cambria Math"/>
                              <w:i/>
                            </w:rPr>
                          </m:ctrlPr>
                        </m:accPr>
                        <m:e>
                          <m:r>
                            <w:rPr>
                              <w:rFonts w:ascii="Cambria Math" w:hAnsi="Cambria Math"/>
                            </w:rPr>
                            <m:t>p</m:t>
                          </m:r>
                        </m:e>
                      </m:acc>
                    </m:e>
                  </m:acc>
                </m:e>
                <m:sub>
                  <m:r>
                    <w:rPr>
                      <w:rFonts w:ascii="Cambria Math" w:hAnsi="Cambria Math"/>
                    </w:rPr>
                    <m:t>new,events</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acc>
                        <m:accPr>
                          <m:ctrlPr>
                            <w:rPr>
                              <w:rFonts w:ascii="Cambria Math" w:hAnsi="Cambria Math"/>
                              <w:i/>
                            </w:rPr>
                          </m:ctrlPr>
                        </m:accPr>
                        <m:e>
                          <m:r>
                            <w:rPr>
                              <w:rFonts w:ascii="Cambria Math" w:hAnsi="Cambria Math"/>
                            </w:rPr>
                            <m:t>p</m:t>
                          </m:r>
                        </m:e>
                      </m:acc>
                    </m:e>
                  </m:acc>
                </m:e>
                <m:sub>
                  <m:r>
                    <w:rPr>
                      <w:rFonts w:ascii="Cambria Math" w:hAnsi="Cambria Math"/>
                    </w:rPr>
                    <m:t>new,non-events</m:t>
                  </m:r>
                </m:sub>
              </m:sSub>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acc>
                    <m:accPr>
                      <m:ctrlPr>
                        <w:rPr>
                          <w:rFonts w:ascii="Cambria Math" w:hAnsi="Cambria Math"/>
                          <w:i/>
                        </w:rPr>
                      </m:ctrlPr>
                    </m:accPr>
                    <m:e>
                      <m:r>
                        <w:rPr>
                          <w:rFonts w:ascii="Cambria Math" w:hAnsi="Cambria Math"/>
                        </w:rPr>
                        <m:t>p</m:t>
                      </m:r>
                    </m:e>
                  </m:acc>
                </m:e>
              </m:acc>
            </m:e>
            <m:sub>
              <m:r>
                <w:rPr>
                  <w:rFonts w:ascii="Cambria Math" w:hAnsi="Cambria Math"/>
                </w:rPr>
                <m:t>established,events</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acc>
                    <m:accPr>
                      <m:ctrlPr>
                        <w:rPr>
                          <w:rFonts w:ascii="Cambria Math" w:hAnsi="Cambria Math"/>
                          <w:i/>
                        </w:rPr>
                      </m:ctrlPr>
                    </m:accPr>
                    <m:e>
                      <m:r>
                        <w:rPr>
                          <w:rFonts w:ascii="Cambria Math" w:hAnsi="Cambria Math"/>
                        </w:rPr>
                        <m:t>p</m:t>
                      </m:r>
                    </m:e>
                  </m:acc>
                </m:e>
              </m:acc>
            </m:e>
            <m:sub>
              <m:r>
                <w:rPr>
                  <w:rFonts w:ascii="Cambria Math" w:hAnsi="Cambria Math"/>
                </w:rPr>
                <m:t>established,non-events</m:t>
              </m:r>
            </m:sub>
          </m:sSub>
          <m:r>
            <w:rPr>
              <w:rFonts w:ascii="Cambria Math" w:hAnsi="Cambria Math"/>
            </w:rPr>
            <m:t>)</m:t>
          </m:r>
        </m:oMath>
      </m:oMathPara>
    </w:p>
    <w:p w14:paraId="616B581D" w14:textId="40487B2E" w:rsidR="007F05E2" w:rsidRPr="00806827" w:rsidRDefault="008126FD" w:rsidP="0019486E">
      <w:r w:rsidRPr="00806827">
        <w:t xml:space="preserve">Where, for examples, </w:t>
      </w:r>
      <m:oMath>
        <m:sSub>
          <m:sSubPr>
            <m:ctrlPr>
              <w:rPr>
                <w:rFonts w:ascii="Cambria Math" w:hAnsi="Cambria Math"/>
                <w:i/>
              </w:rPr>
            </m:ctrlPr>
          </m:sSubPr>
          <m:e>
            <m:acc>
              <m:accPr>
                <m:chr m:val="̅"/>
                <m:ctrlPr>
                  <w:rPr>
                    <w:rFonts w:ascii="Cambria Math" w:hAnsi="Cambria Math"/>
                    <w:i/>
                  </w:rPr>
                </m:ctrlPr>
              </m:accPr>
              <m:e>
                <m:acc>
                  <m:accPr>
                    <m:ctrlPr>
                      <w:rPr>
                        <w:rFonts w:ascii="Cambria Math" w:hAnsi="Cambria Math"/>
                        <w:i/>
                      </w:rPr>
                    </m:ctrlPr>
                  </m:accPr>
                  <m:e>
                    <m:r>
                      <w:rPr>
                        <w:rFonts w:ascii="Cambria Math" w:hAnsi="Cambria Math"/>
                      </w:rPr>
                      <m:t>p</m:t>
                    </m:r>
                  </m:e>
                </m:acc>
              </m:e>
            </m:acc>
          </m:e>
          <m:sub>
            <m:r>
              <w:rPr>
                <w:rFonts w:ascii="Cambria Math" w:hAnsi="Cambria Math"/>
              </w:rPr>
              <m:t>new,events</m:t>
            </m:r>
          </m:sub>
        </m:sSub>
      </m:oMath>
      <w:r w:rsidRPr="00806827">
        <w:rPr>
          <w:rFonts w:eastAsiaTheme="minorEastAsia"/>
        </w:rPr>
        <w:t xml:space="preserve"> is the predicted probability of the event under the new model among subjects who had an event</w:t>
      </w:r>
      <w:r w:rsidR="004B3B04" w:rsidRPr="00806827">
        <w:rPr>
          <w:rFonts w:eastAsiaTheme="minorEastAsia"/>
        </w:rPr>
        <w:t>.</w:t>
      </w:r>
    </w:p>
    <w:p w14:paraId="65792D6E" w14:textId="77777777" w:rsidR="00DC524F" w:rsidRPr="00806827" w:rsidRDefault="00DC524F" w:rsidP="002C7C53"/>
    <w:p w14:paraId="2EA9AC12" w14:textId="74E65AA6" w:rsidR="003452EF" w:rsidRPr="00806827" w:rsidRDefault="003452EF" w:rsidP="002C7C53">
      <w:r w:rsidRPr="00806827">
        <w:t>References</w:t>
      </w:r>
    </w:p>
    <w:p w14:paraId="2E795818" w14:textId="13A9B1D5" w:rsidR="00A374C1" w:rsidRPr="00806827" w:rsidRDefault="00A374C1" w:rsidP="003452EF">
      <w:pPr>
        <w:pStyle w:val="Bibliography"/>
        <w:numPr>
          <w:ilvl w:val="0"/>
          <w:numId w:val="12"/>
        </w:numPr>
      </w:pPr>
      <w:r w:rsidRPr="00806827">
        <w:t xml:space="preserve">Huber PJ. The behavior of maximum likelihood estimates under nonstandard conditions. The Regents of the University of California; 1967. </w:t>
      </w:r>
    </w:p>
    <w:p w14:paraId="635C397E" w14:textId="692A7A25" w:rsidR="00794E37" w:rsidRPr="00806827" w:rsidRDefault="00A374C1" w:rsidP="003452EF">
      <w:pPr>
        <w:pStyle w:val="Bibliography"/>
        <w:numPr>
          <w:ilvl w:val="0"/>
          <w:numId w:val="12"/>
        </w:numPr>
      </w:pPr>
      <w:r w:rsidRPr="00806827">
        <w:t xml:space="preserve">White H. A Heteroskedasticity-Consistent Covariance Matrix Estimator and a Direct Test for Heteroskedasticity. </w:t>
      </w:r>
      <w:r w:rsidRPr="00806827">
        <w:rPr>
          <w:i/>
          <w:iCs/>
        </w:rPr>
        <w:t>Econometrica</w:t>
      </w:r>
      <w:r w:rsidRPr="00806827">
        <w:t xml:space="preserve"> 1980;</w:t>
      </w:r>
      <w:r w:rsidRPr="00806827">
        <w:rPr>
          <w:b/>
          <w:bCs/>
        </w:rPr>
        <w:t>48</w:t>
      </w:r>
      <w:r w:rsidRPr="00806827">
        <w:t xml:space="preserve">:817–838. </w:t>
      </w:r>
    </w:p>
    <w:p w14:paraId="7B375B4D" w14:textId="51B8CCF7" w:rsidR="003452EF" w:rsidRPr="00806827" w:rsidRDefault="00794E37" w:rsidP="003452EF">
      <w:pPr>
        <w:pStyle w:val="Bibliography"/>
        <w:numPr>
          <w:ilvl w:val="0"/>
          <w:numId w:val="12"/>
        </w:numPr>
        <w:rPr>
          <w:lang w:val="nb-NO"/>
        </w:rPr>
      </w:pPr>
      <w:r w:rsidRPr="00806827">
        <w:t xml:space="preserve">Gharibvand L, Liu L. Analysis of Survival Data with Clustered Events. </w:t>
      </w:r>
      <w:r w:rsidRPr="00806827">
        <w:rPr>
          <w:lang w:val="nb-NO"/>
        </w:rPr>
        <w:t>SAS Global Forum 2009. Paper 237-2009. https://support.sas.com/resources/papers/proceedings09/237-2009.pdf (10 September 2018).</w:t>
      </w:r>
    </w:p>
    <w:p w14:paraId="496BBAC0" w14:textId="77777777" w:rsidR="008414A9" w:rsidRPr="00806827" w:rsidRDefault="003452EF" w:rsidP="008414A9">
      <w:pPr>
        <w:pStyle w:val="ListParagraph"/>
        <w:numPr>
          <w:ilvl w:val="0"/>
          <w:numId w:val="12"/>
        </w:numPr>
      </w:pPr>
      <w:r w:rsidRPr="00806827">
        <w:t xml:space="preserve">Buuren S van. Multiple imputation of discrete and continuous data by fully conditional specification. </w:t>
      </w:r>
      <w:r w:rsidRPr="00806827">
        <w:rPr>
          <w:i/>
          <w:iCs/>
        </w:rPr>
        <w:t>Stat Methods Med Res</w:t>
      </w:r>
      <w:r w:rsidRPr="00806827">
        <w:t xml:space="preserve"> 2007;</w:t>
      </w:r>
      <w:r w:rsidRPr="00806827">
        <w:rPr>
          <w:b/>
          <w:bCs/>
        </w:rPr>
        <w:t>16</w:t>
      </w:r>
      <w:r w:rsidRPr="00806827">
        <w:t>:219–242</w:t>
      </w:r>
      <w:r w:rsidR="008414A9" w:rsidRPr="00806827">
        <w:t>.</w:t>
      </w:r>
    </w:p>
    <w:p w14:paraId="1B6FB7C5" w14:textId="77777777" w:rsidR="008414A9" w:rsidRPr="00806827" w:rsidRDefault="008414A9" w:rsidP="008414A9">
      <w:pPr>
        <w:pStyle w:val="ListParagraph"/>
      </w:pPr>
    </w:p>
    <w:p w14:paraId="3B96A16E" w14:textId="77777777" w:rsidR="00BA54BB" w:rsidRPr="00806827" w:rsidRDefault="008414A9" w:rsidP="00BA54BB">
      <w:pPr>
        <w:pStyle w:val="ListParagraph"/>
        <w:numPr>
          <w:ilvl w:val="0"/>
          <w:numId w:val="12"/>
        </w:numPr>
      </w:pPr>
      <w:r w:rsidRPr="00806827">
        <w:t xml:space="preserve">Carpenter J, Kenward M. Multiple Imputation and its Application. 1st ed. United </w:t>
      </w:r>
      <w:r w:rsidR="00BA54BB" w:rsidRPr="00806827">
        <w:t>Kingdom: John Wiley &amp; Sons</w:t>
      </w:r>
      <w:r w:rsidRPr="00806827">
        <w:t>; 2013.</w:t>
      </w:r>
      <w:r w:rsidR="00BA54BB" w:rsidRPr="00806827">
        <w:t xml:space="preserve"> </w:t>
      </w:r>
    </w:p>
    <w:p w14:paraId="6B3703CA" w14:textId="77777777" w:rsidR="00BA54BB" w:rsidRPr="00806827" w:rsidRDefault="00BA54BB" w:rsidP="00BA54BB">
      <w:pPr>
        <w:pStyle w:val="ListParagraph"/>
      </w:pPr>
    </w:p>
    <w:p w14:paraId="1B837C86" w14:textId="1CBBC9BC" w:rsidR="00BA54BB" w:rsidRPr="00806827" w:rsidRDefault="00BA54BB" w:rsidP="00BA54BB">
      <w:pPr>
        <w:pStyle w:val="ListParagraph"/>
        <w:numPr>
          <w:ilvl w:val="0"/>
          <w:numId w:val="12"/>
        </w:numPr>
      </w:pPr>
      <w:r w:rsidRPr="00806827">
        <w:lastRenderedPageBreak/>
        <w:t>Rubin D. Multiple Imputation for Nonresponse in Surveys. New York: John Wiley &amp; Sons; 1987.</w:t>
      </w:r>
    </w:p>
    <w:p w14:paraId="1BDBB3DC" w14:textId="77777777" w:rsidR="00D83238" w:rsidRPr="00806827" w:rsidRDefault="00D83238" w:rsidP="00D83238">
      <w:pPr>
        <w:pStyle w:val="ListParagraph"/>
      </w:pPr>
    </w:p>
    <w:p w14:paraId="4A282B7D" w14:textId="1CCDBD16" w:rsidR="00D83238" w:rsidRPr="00806827" w:rsidRDefault="00D83238" w:rsidP="00BA54BB">
      <w:pPr>
        <w:pStyle w:val="ListParagraph"/>
        <w:numPr>
          <w:ilvl w:val="0"/>
          <w:numId w:val="12"/>
        </w:numPr>
      </w:pPr>
      <w:r w:rsidRPr="00806827">
        <w:rPr>
          <w:lang w:val="nb-NO"/>
        </w:rPr>
        <w:t xml:space="preserve">Demler OV, Paynter NP, Cook NR. </w:t>
      </w:r>
      <w:r w:rsidRPr="00806827">
        <w:t xml:space="preserve">Tests of calibration and goodness-of-fit in the survival setting. </w:t>
      </w:r>
      <w:r w:rsidRPr="00806827">
        <w:rPr>
          <w:i/>
          <w:iCs/>
        </w:rPr>
        <w:t>Statist Med</w:t>
      </w:r>
      <w:r w:rsidRPr="00806827">
        <w:t xml:space="preserve"> 2015;</w:t>
      </w:r>
      <w:r w:rsidRPr="00806827">
        <w:rPr>
          <w:b/>
          <w:bCs/>
        </w:rPr>
        <w:t>34</w:t>
      </w:r>
      <w:r w:rsidRPr="00806827">
        <w:t>:1659–1680.</w:t>
      </w:r>
    </w:p>
    <w:p w14:paraId="6E15989B" w14:textId="77777777" w:rsidR="003341EC" w:rsidRPr="00806827" w:rsidRDefault="003341EC" w:rsidP="003341EC">
      <w:pPr>
        <w:pStyle w:val="ListParagraph"/>
      </w:pPr>
    </w:p>
    <w:p w14:paraId="0BA7E98C" w14:textId="43B767CA" w:rsidR="003341EC" w:rsidRPr="00806827" w:rsidRDefault="003341EC" w:rsidP="00BA54BB">
      <w:pPr>
        <w:pStyle w:val="ListParagraph"/>
        <w:numPr>
          <w:ilvl w:val="0"/>
          <w:numId w:val="12"/>
        </w:numPr>
      </w:pPr>
      <w:r w:rsidRPr="00806827">
        <w:t xml:space="preserve">Pencina MJ, D’Agostino RB. Overall C as a measure of discrimination in survival analysis: model specific population value and confidence interval estimation. </w:t>
      </w:r>
      <w:r w:rsidRPr="00806827">
        <w:rPr>
          <w:i/>
          <w:iCs/>
        </w:rPr>
        <w:t>Stat Med</w:t>
      </w:r>
      <w:r w:rsidRPr="00806827">
        <w:t xml:space="preserve"> 2004;</w:t>
      </w:r>
      <w:r w:rsidRPr="00806827">
        <w:rPr>
          <w:b/>
          <w:bCs/>
        </w:rPr>
        <w:t>23</w:t>
      </w:r>
      <w:r w:rsidRPr="00806827">
        <w:t>:2109–2123.</w:t>
      </w:r>
    </w:p>
    <w:p w14:paraId="5755C556" w14:textId="77777777" w:rsidR="00D46331" w:rsidRPr="00806827" w:rsidRDefault="00D46331" w:rsidP="00D46331">
      <w:pPr>
        <w:pStyle w:val="ListParagraph"/>
      </w:pPr>
    </w:p>
    <w:p w14:paraId="145A8B17" w14:textId="77777777" w:rsidR="004B3B04" w:rsidRPr="00806827" w:rsidRDefault="00D46331" w:rsidP="004B3B04">
      <w:pPr>
        <w:pStyle w:val="ListParagraph"/>
        <w:numPr>
          <w:ilvl w:val="0"/>
          <w:numId w:val="12"/>
        </w:numPr>
      </w:pPr>
      <w:r w:rsidRPr="00806827">
        <w:t xml:space="preserve">Pencina MJ, D’Agostino RB, Steyerberg EW. Extensions of net reclassification improvement calculations to measure usefulness of new biomarkers. </w:t>
      </w:r>
      <w:r w:rsidRPr="00806827">
        <w:rPr>
          <w:i/>
          <w:iCs/>
        </w:rPr>
        <w:t>Stat Med</w:t>
      </w:r>
      <w:r w:rsidRPr="00806827">
        <w:t xml:space="preserve"> 2011;</w:t>
      </w:r>
      <w:r w:rsidRPr="00806827">
        <w:rPr>
          <w:b/>
          <w:bCs/>
        </w:rPr>
        <w:t>30</w:t>
      </w:r>
      <w:r w:rsidRPr="00806827">
        <w:t>:11–21.</w:t>
      </w:r>
    </w:p>
    <w:p w14:paraId="5FD67EAF" w14:textId="77777777" w:rsidR="004B3B04" w:rsidRPr="00806827" w:rsidRDefault="004B3B04" w:rsidP="004B3B04">
      <w:pPr>
        <w:pStyle w:val="ListParagraph"/>
      </w:pPr>
    </w:p>
    <w:p w14:paraId="1EE25768" w14:textId="7096AF78" w:rsidR="004B3B04" w:rsidRPr="00806827" w:rsidRDefault="004B3B04" w:rsidP="004B3B04">
      <w:pPr>
        <w:pStyle w:val="ListParagraph"/>
        <w:numPr>
          <w:ilvl w:val="0"/>
          <w:numId w:val="12"/>
        </w:numPr>
        <w:sectPr w:rsidR="004B3B04" w:rsidRPr="00806827" w:rsidSect="00AC0C21">
          <w:footerReference w:type="default" r:id="rId8"/>
          <w:pgSz w:w="12240" w:h="15840"/>
          <w:pgMar w:top="1440" w:right="1440" w:bottom="1440" w:left="1440" w:header="720" w:footer="720" w:gutter="0"/>
          <w:cols w:space="720"/>
          <w:docGrid w:linePitch="360"/>
        </w:sectPr>
      </w:pPr>
      <w:r w:rsidRPr="00806827">
        <w:rPr>
          <w:lang w:val="es-ES"/>
        </w:rPr>
        <w:t xml:space="preserve">Pencina MJ, D’Agostino RB, D’Agostino RB, Vasan RS. </w:t>
      </w:r>
      <w:r w:rsidRPr="00806827">
        <w:t xml:space="preserve">Evaluating the added predictive ability of a new marker: from area under the ROC curve to reclassification and beyond. </w:t>
      </w:r>
      <w:r w:rsidRPr="00806827">
        <w:rPr>
          <w:i/>
          <w:iCs/>
        </w:rPr>
        <w:t>Stat Med</w:t>
      </w:r>
      <w:r w:rsidRPr="00806827">
        <w:t xml:space="preserve"> 2008;</w:t>
      </w:r>
      <w:r w:rsidRPr="00806827">
        <w:rPr>
          <w:b/>
          <w:bCs/>
        </w:rPr>
        <w:t>27</w:t>
      </w:r>
      <w:r w:rsidRPr="00806827">
        <w:t>:157–172; discussion 207-212.</w:t>
      </w:r>
    </w:p>
    <w:p w14:paraId="19229054" w14:textId="77777777" w:rsidR="00167E3B" w:rsidRPr="00806827" w:rsidRDefault="00167E3B" w:rsidP="003106A2">
      <w:pPr>
        <w:pStyle w:val="Table"/>
      </w:pPr>
      <w:bookmarkStart w:id="4" w:name="_Toc511729186"/>
      <w:r w:rsidRPr="00806827">
        <w:rPr>
          <w:b/>
        </w:rPr>
        <w:lastRenderedPageBreak/>
        <w:t xml:space="preserve">Supplemental </w:t>
      </w:r>
      <w:r w:rsidR="00871744" w:rsidRPr="00806827">
        <w:rPr>
          <w:b/>
        </w:rPr>
        <w:t xml:space="preserve">Table </w:t>
      </w:r>
      <w:r w:rsidRPr="00806827">
        <w:rPr>
          <w:b/>
        </w:rPr>
        <w:t>3.</w:t>
      </w:r>
      <w:r w:rsidRPr="00806827">
        <w:t xml:space="preserve"> Comparison of NORRISK 2 model as reported in </w:t>
      </w:r>
      <w:r w:rsidR="004D5096" w:rsidRPr="00806827">
        <w:t xml:space="preserve">Selmer et </w:t>
      </w:r>
      <w:r w:rsidR="004D5096" w:rsidRPr="00806827">
        <w:rPr>
          <w:bCs/>
          <w:color w:val="000000"/>
          <w:sz w:val="22"/>
        </w:rPr>
        <w:t>al.</w:t>
      </w:r>
      <w:r w:rsidR="004D5096" w:rsidRPr="00806827">
        <w:rPr>
          <w:bCs/>
          <w:color w:val="000000"/>
          <w:sz w:val="22"/>
          <w:vertAlign w:val="superscript"/>
        </w:rPr>
        <w:t>1</w:t>
      </w:r>
      <w:r w:rsidR="004D5096" w:rsidRPr="00806827">
        <w:t xml:space="preserve"> </w:t>
      </w:r>
      <w:r w:rsidR="009F0B5A" w:rsidRPr="00806827">
        <w:t>to version used in this paper</w:t>
      </w:r>
      <w:bookmarkEnd w:id="4"/>
    </w:p>
    <w:tbl>
      <w:tblPr>
        <w:tblW w:w="12050" w:type="dxa"/>
        <w:tblLook w:val="04A0" w:firstRow="1" w:lastRow="0" w:firstColumn="1" w:lastColumn="0" w:noHBand="0" w:noVBand="1"/>
      </w:tblPr>
      <w:tblGrid>
        <w:gridCol w:w="5563"/>
        <w:gridCol w:w="1132"/>
        <w:gridCol w:w="1053"/>
        <w:gridCol w:w="1057"/>
        <w:gridCol w:w="1133"/>
        <w:gridCol w:w="1054"/>
        <w:gridCol w:w="1058"/>
      </w:tblGrid>
      <w:tr w:rsidR="00167E3B" w:rsidRPr="00806827" w14:paraId="4EDC926A" w14:textId="77777777" w:rsidTr="0009163F">
        <w:trPr>
          <w:trHeight w:val="576"/>
        </w:trPr>
        <w:tc>
          <w:tcPr>
            <w:tcW w:w="5563" w:type="dxa"/>
            <w:vMerge w:val="restart"/>
            <w:tcBorders>
              <w:top w:val="single" w:sz="4" w:space="0" w:color="auto"/>
              <w:left w:val="nil"/>
              <w:bottom w:val="nil"/>
              <w:right w:val="nil"/>
            </w:tcBorders>
            <w:shd w:val="clear" w:color="auto" w:fill="auto"/>
            <w:noWrap/>
            <w:vAlign w:val="bottom"/>
            <w:hideMark/>
          </w:tcPr>
          <w:p w14:paraId="5E0798A5" w14:textId="77777777" w:rsidR="00167E3B" w:rsidRPr="00806827" w:rsidRDefault="00167E3B" w:rsidP="00BD48D5">
            <w:pPr>
              <w:spacing w:before="120" w:after="0" w:line="300" w:lineRule="auto"/>
              <w:jc w:val="center"/>
              <w:rPr>
                <w:b/>
                <w:bCs/>
                <w:color w:val="000000"/>
                <w:sz w:val="22"/>
              </w:rPr>
            </w:pPr>
            <w:r w:rsidRPr="00806827">
              <w:rPr>
                <w:b/>
                <w:bCs/>
                <w:color w:val="000000"/>
                <w:sz w:val="22"/>
              </w:rPr>
              <w:t>Covariates</w:t>
            </w:r>
            <w:r w:rsidRPr="00806827">
              <w:rPr>
                <w:b/>
                <w:bCs/>
                <w:color w:val="000000"/>
                <w:sz w:val="22"/>
                <w:vertAlign w:val="superscript"/>
              </w:rPr>
              <w:t>a</w:t>
            </w:r>
          </w:p>
        </w:tc>
        <w:tc>
          <w:tcPr>
            <w:tcW w:w="3242" w:type="dxa"/>
            <w:gridSpan w:val="3"/>
            <w:tcBorders>
              <w:top w:val="single" w:sz="4" w:space="0" w:color="auto"/>
              <w:left w:val="nil"/>
              <w:bottom w:val="nil"/>
              <w:right w:val="nil"/>
            </w:tcBorders>
            <w:shd w:val="clear" w:color="auto" w:fill="auto"/>
            <w:vAlign w:val="center"/>
            <w:hideMark/>
          </w:tcPr>
          <w:p w14:paraId="6477C7A4" w14:textId="529EAAD4" w:rsidR="00167E3B" w:rsidRPr="00806827" w:rsidRDefault="00167E3B" w:rsidP="00C07841">
            <w:pPr>
              <w:spacing w:before="120" w:after="0" w:line="300" w:lineRule="auto"/>
              <w:jc w:val="center"/>
              <w:rPr>
                <w:b/>
                <w:bCs/>
                <w:color w:val="000000"/>
                <w:sz w:val="22"/>
              </w:rPr>
            </w:pPr>
            <w:r w:rsidRPr="00806827">
              <w:rPr>
                <w:b/>
                <w:bCs/>
                <w:color w:val="000000"/>
                <w:sz w:val="22"/>
              </w:rPr>
              <w:t>NORRISK 2 Model as reported in Selmer et al.</w:t>
            </w:r>
            <w:r w:rsidR="004D5096" w:rsidRPr="00806827">
              <w:rPr>
                <w:b/>
                <w:bCs/>
                <w:color w:val="000000"/>
                <w:sz w:val="22"/>
              </w:rPr>
              <w:t xml:space="preserve"> for </w:t>
            </w:r>
            <w:r w:rsidR="00C07841" w:rsidRPr="00806827">
              <w:rPr>
                <w:b/>
                <w:bCs/>
                <w:color w:val="000000"/>
                <w:sz w:val="22"/>
              </w:rPr>
              <w:t>women</w:t>
            </w:r>
            <w:r w:rsidRPr="00806827">
              <w:rPr>
                <w:b/>
                <w:bCs/>
                <w:color w:val="000000"/>
                <w:sz w:val="22"/>
              </w:rPr>
              <w:br/>
              <w:t>(N=35,267, endpoints=2,459)</w:t>
            </w:r>
          </w:p>
        </w:tc>
        <w:tc>
          <w:tcPr>
            <w:tcW w:w="3245" w:type="dxa"/>
            <w:gridSpan w:val="3"/>
            <w:tcBorders>
              <w:top w:val="single" w:sz="4" w:space="0" w:color="auto"/>
              <w:left w:val="nil"/>
              <w:bottom w:val="nil"/>
              <w:right w:val="nil"/>
            </w:tcBorders>
            <w:shd w:val="clear" w:color="auto" w:fill="auto"/>
            <w:vAlign w:val="center"/>
            <w:hideMark/>
          </w:tcPr>
          <w:p w14:paraId="6232B87E" w14:textId="60F75C91" w:rsidR="00167E3B" w:rsidRPr="00806827" w:rsidRDefault="00167E3B" w:rsidP="00BD48D5">
            <w:pPr>
              <w:spacing w:before="120" w:after="0" w:line="300" w:lineRule="auto"/>
              <w:jc w:val="center"/>
              <w:rPr>
                <w:b/>
                <w:bCs/>
                <w:color w:val="000000"/>
                <w:sz w:val="22"/>
              </w:rPr>
            </w:pPr>
            <w:r w:rsidRPr="00806827">
              <w:rPr>
                <w:b/>
                <w:bCs/>
                <w:color w:val="000000"/>
                <w:sz w:val="22"/>
              </w:rPr>
              <w:t xml:space="preserve">Version of NORRISK 2 used in this paper </w:t>
            </w:r>
            <w:r w:rsidRPr="00806827">
              <w:rPr>
                <w:b/>
                <w:bCs/>
                <w:color w:val="000000"/>
                <w:sz w:val="22"/>
              </w:rPr>
              <w:br/>
              <w:t>(N=</w:t>
            </w:r>
            <w:r w:rsidR="007571C3" w:rsidRPr="00806827">
              <w:rPr>
                <w:b/>
                <w:bCs/>
                <w:color w:val="000000"/>
                <w:sz w:val="22"/>
              </w:rPr>
              <w:t>18,231, endpoints=965)</w:t>
            </w:r>
          </w:p>
        </w:tc>
      </w:tr>
      <w:tr w:rsidR="00167E3B" w:rsidRPr="00806827" w14:paraId="35DE504F" w14:textId="77777777" w:rsidTr="0009163F">
        <w:trPr>
          <w:trHeight w:val="303"/>
        </w:trPr>
        <w:tc>
          <w:tcPr>
            <w:tcW w:w="5563" w:type="dxa"/>
            <w:vMerge/>
            <w:tcBorders>
              <w:top w:val="nil"/>
              <w:left w:val="nil"/>
              <w:bottom w:val="single" w:sz="4" w:space="0" w:color="auto"/>
              <w:right w:val="nil"/>
            </w:tcBorders>
            <w:vAlign w:val="center"/>
            <w:hideMark/>
          </w:tcPr>
          <w:p w14:paraId="7EE9C1C6" w14:textId="77777777" w:rsidR="00167E3B" w:rsidRPr="00806827" w:rsidRDefault="00167E3B" w:rsidP="00BD48D5">
            <w:pPr>
              <w:spacing w:before="120" w:after="0" w:line="300" w:lineRule="auto"/>
              <w:rPr>
                <w:b/>
                <w:bCs/>
                <w:color w:val="000000"/>
                <w:sz w:val="22"/>
              </w:rPr>
            </w:pPr>
          </w:p>
        </w:tc>
        <w:tc>
          <w:tcPr>
            <w:tcW w:w="1132" w:type="dxa"/>
            <w:tcBorders>
              <w:top w:val="nil"/>
              <w:left w:val="nil"/>
              <w:bottom w:val="single" w:sz="4" w:space="0" w:color="auto"/>
              <w:right w:val="nil"/>
            </w:tcBorders>
            <w:shd w:val="clear" w:color="auto" w:fill="auto"/>
            <w:noWrap/>
            <w:vAlign w:val="bottom"/>
            <w:hideMark/>
          </w:tcPr>
          <w:p w14:paraId="68BBBDE4" w14:textId="77777777" w:rsidR="00167E3B" w:rsidRPr="00806827" w:rsidRDefault="00167E3B" w:rsidP="00BD48D5">
            <w:pPr>
              <w:spacing w:before="120" w:after="0" w:line="300" w:lineRule="auto"/>
              <w:jc w:val="center"/>
              <w:rPr>
                <w:b/>
                <w:bCs/>
                <w:color w:val="000000"/>
                <w:sz w:val="22"/>
              </w:rPr>
            </w:pPr>
            <w:r w:rsidRPr="00806827">
              <w:rPr>
                <w:b/>
                <w:bCs/>
                <w:color w:val="000000"/>
                <w:sz w:val="22"/>
              </w:rPr>
              <w:t>Beta</w:t>
            </w:r>
          </w:p>
        </w:tc>
        <w:tc>
          <w:tcPr>
            <w:tcW w:w="2109" w:type="dxa"/>
            <w:gridSpan w:val="2"/>
            <w:tcBorders>
              <w:top w:val="nil"/>
              <w:left w:val="nil"/>
              <w:bottom w:val="single" w:sz="4" w:space="0" w:color="auto"/>
              <w:right w:val="nil"/>
            </w:tcBorders>
            <w:shd w:val="clear" w:color="auto" w:fill="auto"/>
            <w:noWrap/>
            <w:vAlign w:val="bottom"/>
            <w:hideMark/>
          </w:tcPr>
          <w:p w14:paraId="0570C280" w14:textId="77777777" w:rsidR="00167E3B" w:rsidRPr="00806827" w:rsidRDefault="00167E3B" w:rsidP="00BD48D5">
            <w:pPr>
              <w:spacing w:before="120" w:after="0" w:line="300" w:lineRule="auto"/>
              <w:jc w:val="center"/>
              <w:rPr>
                <w:b/>
                <w:bCs/>
                <w:color w:val="000000"/>
                <w:sz w:val="22"/>
              </w:rPr>
            </w:pPr>
            <w:r w:rsidRPr="00806827">
              <w:rPr>
                <w:b/>
                <w:bCs/>
                <w:color w:val="000000"/>
                <w:sz w:val="22"/>
              </w:rPr>
              <w:t>95% CI</w:t>
            </w:r>
          </w:p>
        </w:tc>
        <w:tc>
          <w:tcPr>
            <w:tcW w:w="1133" w:type="dxa"/>
            <w:tcBorders>
              <w:top w:val="nil"/>
              <w:left w:val="nil"/>
              <w:bottom w:val="single" w:sz="4" w:space="0" w:color="auto"/>
              <w:right w:val="nil"/>
            </w:tcBorders>
            <w:shd w:val="clear" w:color="auto" w:fill="auto"/>
            <w:noWrap/>
            <w:vAlign w:val="bottom"/>
            <w:hideMark/>
          </w:tcPr>
          <w:p w14:paraId="51E266D7" w14:textId="77777777" w:rsidR="00167E3B" w:rsidRPr="00806827" w:rsidRDefault="00167E3B" w:rsidP="00BD48D5">
            <w:pPr>
              <w:spacing w:before="120" w:after="0" w:line="300" w:lineRule="auto"/>
              <w:jc w:val="center"/>
              <w:rPr>
                <w:b/>
                <w:bCs/>
                <w:color w:val="000000"/>
                <w:sz w:val="22"/>
              </w:rPr>
            </w:pPr>
            <w:r w:rsidRPr="00806827">
              <w:rPr>
                <w:b/>
                <w:bCs/>
                <w:color w:val="000000"/>
                <w:sz w:val="22"/>
              </w:rPr>
              <w:t>Beta</w:t>
            </w:r>
          </w:p>
        </w:tc>
        <w:tc>
          <w:tcPr>
            <w:tcW w:w="2111" w:type="dxa"/>
            <w:gridSpan w:val="2"/>
            <w:tcBorders>
              <w:top w:val="nil"/>
              <w:left w:val="nil"/>
              <w:bottom w:val="single" w:sz="4" w:space="0" w:color="auto"/>
              <w:right w:val="nil"/>
            </w:tcBorders>
            <w:shd w:val="clear" w:color="auto" w:fill="auto"/>
            <w:noWrap/>
            <w:vAlign w:val="bottom"/>
            <w:hideMark/>
          </w:tcPr>
          <w:p w14:paraId="759024BD" w14:textId="77777777" w:rsidR="00167E3B" w:rsidRPr="00806827" w:rsidRDefault="00167E3B" w:rsidP="00BD48D5">
            <w:pPr>
              <w:spacing w:before="120" w:after="0" w:line="300" w:lineRule="auto"/>
              <w:jc w:val="center"/>
              <w:rPr>
                <w:b/>
                <w:bCs/>
                <w:color w:val="000000"/>
                <w:sz w:val="22"/>
              </w:rPr>
            </w:pPr>
            <w:r w:rsidRPr="00806827">
              <w:rPr>
                <w:b/>
                <w:bCs/>
                <w:color w:val="000000"/>
                <w:sz w:val="22"/>
              </w:rPr>
              <w:t>95% CI</w:t>
            </w:r>
          </w:p>
        </w:tc>
      </w:tr>
      <w:tr w:rsidR="0009163F" w:rsidRPr="00806827" w14:paraId="6C6E161C" w14:textId="77777777" w:rsidTr="0009163F">
        <w:trPr>
          <w:trHeight w:val="303"/>
        </w:trPr>
        <w:tc>
          <w:tcPr>
            <w:tcW w:w="5563" w:type="dxa"/>
            <w:tcBorders>
              <w:top w:val="single" w:sz="4" w:space="0" w:color="auto"/>
              <w:left w:val="nil"/>
              <w:bottom w:val="nil"/>
              <w:right w:val="nil"/>
            </w:tcBorders>
            <w:shd w:val="clear" w:color="auto" w:fill="auto"/>
            <w:noWrap/>
            <w:vAlign w:val="bottom"/>
            <w:hideMark/>
          </w:tcPr>
          <w:p w14:paraId="2CBBC509" w14:textId="160EB3FD" w:rsidR="0009163F" w:rsidRPr="00806827" w:rsidRDefault="0009163F" w:rsidP="0009163F">
            <w:pPr>
              <w:spacing w:before="120" w:after="0" w:line="300" w:lineRule="auto"/>
              <w:rPr>
                <w:color w:val="000000"/>
                <w:sz w:val="22"/>
              </w:rPr>
            </w:pPr>
            <w:r w:rsidRPr="00806827">
              <w:rPr>
                <w:color w:val="000000"/>
                <w:sz w:val="22"/>
              </w:rPr>
              <w:t>Age</w:t>
            </w:r>
            <w:r w:rsidR="00F239E6" w:rsidRPr="00806827">
              <w:rPr>
                <w:color w:val="000000"/>
                <w:sz w:val="22"/>
              </w:rPr>
              <w:t xml:space="preserve"> (per 1 year</w:t>
            </w:r>
            <w:r w:rsidR="00851EB3" w:rsidRPr="00806827">
              <w:rPr>
                <w:color w:val="000000"/>
                <w:sz w:val="22"/>
              </w:rPr>
              <w:t>)</w:t>
            </w:r>
          </w:p>
        </w:tc>
        <w:tc>
          <w:tcPr>
            <w:tcW w:w="1132" w:type="dxa"/>
            <w:tcBorders>
              <w:top w:val="single" w:sz="4" w:space="0" w:color="auto"/>
              <w:left w:val="nil"/>
              <w:bottom w:val="nil"/>
              <w:right w:val="nil"/>
            </w:tcBorders>
            <w:shd w:val="clear" w:color="auto" w:fill="auto"/>
            <w:noWrap/>
            <w:hideMark/>
          </w:tcPr>
          <w:p w14:paraId="3A82B80C" w14:textId="755EDAA4" w:rsidR="0009163F" w:rsidRPr="00806827" w:rsidRDefault="0009163F" w:rsidP="0009163F">
            <w:pPr>
              <w:spacing w:before="120" w:after="0" w:line="300" w:lineRule="auto"/>
              <w:jc w:val="right"/>
              <w:rPr>
                <w:rFonts w:cs="Times New Roman"/>
                <w:color w:val="000000"/>
                <w:sz w:val="22"/>
              </w:rPr>
            </w:pPr>
            <w:r w:rsidRPr="00806827">
              <w:rPr>
                <w:rFonts w:cs="Times New Roman"/>
                <w:sz w:val="22"/>
              </w:rPr>
              <w:t>0.130</w:t>
            </w:r>
          </w:p>
        </w:tc>
        <w:tc>
          <w:tcPr>
            <w:tcW w:w="1053" w:type="dxa"/>
            <w:tcBorders>
              <w:top w:val="single" w:sz="4" w:space="0" w:color="auto"/>
              <w:left w:val="nil"/>
              <w:bottom w:val="nil"/>
              <w:right w:val="nil"/>
            </w:tcBorders>
            <w:shd w:val="clear" w:color="auto" w:fill="auto"/>
            <w:noWrap/>
            <w:hideMark/>
          </w:tcPr>
          <w:p w14:paraId="43DB6CAA" w14:textId="60EBB15E" w:rsidR="0009163F" w:rsidRPr="00806827" w:rsidRDefault="0009163F" w:rsidP="0009163F">
            <w:pPr>
              <w:spacing w:before="120" w:after="0" w:line="300" w:lineRule="auto"/>
              <w:jc w:val="right"/>
              <w:rPr>
                <w:rFonts w:cs="Times New Roman"/>
                <w:color w:val="000000"/>
                <w:sz w:val="22"/>
              </w:rPr>
            </w:pPr>
            <w:r w:rsidRPr="00806827">
              <w:rPr>
                <w:rFonts w:cs="Times New Roman"/>
                <w:sz w:val="22"/>
              </w:rPr>
              <w:t>0.111</w:t>
            </w:r>
          </w:p>
        </w:tc>
        <w:tc>
          <w:tcPr>
            <w:tcW w:w="1055" w:type="dxa"/>
            <w:tcBorders>
              <w:top w:val="single" w:sz="4" w:space="0" w:color="auto"/>
              <w:left w:val="nil"/>
              <w:bottom w:val="nil"/>
              <w:right w:val="nil"/>
            </w:tcBorders>
            <w:shd w:val="clear" w:color="auto" w:fill="auto"/>
            <w:noWrap/>
            <w:hideMark/>
          </w:tcPr>
          <w:p w14:paraId="53E49A76" w14:textId="214F781F" w:rsidR="0009163F" w:rsidRPr="00806827" w:rsidRDefault="0009163F" w:rsidP="0009163F">
            <w:pPr>
              <w:spacing w:before="120" w:after="0" w:line="300" w:lineRule="auto"/>
              <w:jc w:val="right"/>
              <w:rPr>
                <w:rFonts w:cs="Times New Roman"/>
                <w:color w:val="000000"/>
                <w:sz w:val="22"/>
              </w:rPr>
            </w:pPr>
            <w:r w:rsidRPr="00806827">
              <w:rPr>
                <w:rFonts w:cs="Times New Roman"/>
                <w:sz w:val="22"/>
              </w:rPr>
              <w:t>0.150</w:t>
            </w:r>
          </w:p>
        </w:tc>
        <w:tc>
          <w:tcPr>
            <w:tcW w:w="1133" w:type="dxa"/>
            <w:tcBorders>
              <w:top w:val="single" w:sz="4" w:space="0" w:color="auto"/>
              <w:left w:val="nil"/>
              <w:bottom w:val="nil"/>
              <w:right w:val="nil"/>
            </w:tcBorders>
            <w:shd w:val="clear" w:color="auto" w:fill="auto"/>
            <w:noWrap/>
            <w:hideMark/>
          </w:tcPr>
          <w:p w14:paraId="04067F81" w14:textId="61C20EF5" w:rsidR="0009163F" w:rsidRPr="00806827" w:rsidRDefault="0009163F" w:rsidP="0009163F">
            <w:pPr>
              <w:spacing w:before="120" w:after="0" w:line="300" w:lineRule="auto"/>
              <w:jc w:val="right"/>
              <w:rPr>
                <w:rFonts w:cs="Times New Roman"/>
                <w:color w:val="000000"/>
                <w:sz w:val="22"/>
              </w:rPr>
            </w:pPr>
            <w:r w:rsidRPr="00806827">
              <w:rPr>
                <w:rFonts w:cs="Times New Roman"/>
                <w:sz w:val="22"/>
              </w:rPr>
              <w:t>0.090</w:t>
            </w:r>
          </w:p>
        </w:tc>
        <w:tc>
          <w:tcPr>
            <w:tcW w:w="1054" w:type="dxa"/>
            <w:tcBorders>
              <w:top w:val="single" w:sz="4" w:space="0" w:color="auto"/>
              <w:left w:val="nil"/>
              <w:bottom w:val="nil"/>
              <w:right w:val="nil"/>
            </w:tcBorders>
            <w:shd w:val="clear" w:color="auto" w:fill="auto"/>
            <w:noWrap/>
            <w:hideMark/>
          </w:tcPr>
          <w:p w14:paraId="08563B27" w14:textId="4EEE2D5B" w:rsidR="0009163F" w:rsidRPr="00806827" w:rsidRDefault="0009163F" w:rsidP="0009163F">
            <w:pPr>
              <w:spacing w:before="120" w:after="0" w:line="300" w:lineRule="auto"/>
              <w:jc w:val="right"/>
              <w:rPr>
                <w:rFonts w:cs="Times New Roman"/>
                <w:color w:val="000000"/>
                <w:sz w:val="22"/>
              </w:rPr>
            </w:pPr>
            <w:r w:rsidRPr="00806827">
              <w:rPr>
                <w:rFonts w:cs="Times New Roman"/>
                <w:sz w:val="22"/>
              </w:rPr>
              <w:t>0.061</w:t>
            </w:r>
          </w:p>
        </w:tc>
        <w:tc>
          <w:tcPr>
            <w:tcW w:w="1056" w:type="dxa"/>
            <w:tcBorders>
              <w:top w:val="single" w:sz="4" w:space="0" w:color="auto"/>
              <w:left w:val="nil"/>
              <w:bottom w:val="nil"/>
              <w:right w:val="nil"/>
            </w:tcBorders>
            <w:shd w:val="clear" w:color="auto" w:fill="auto"/>
            <w:noWrap/>
            <w:hideMark/>
          </w:tcPr>
          <w:p w14:paraId="6F27FEFD" w14:textId="44DB30F4" w:rsidR="0009163F" w:rsidRPr="00806827" w:rsidRDefault="0009163F" w:rsidP="0009163F">
            <w:pPr>
              <w:spacing w:before="120" w:after="0" w:line="300" w:lineRule="auto"/>
              <w:jc w:val="right"/>
              <w:rPr>
                <w:rFonts w:cs="Times New Roman"/>
                <w:color w:val="000000"/>
                <w:sz w:val="22"/>
              </w:rPr>
            </w:pPr>
            <w:r w:rsidRPr="00806827">
              <w:rPr>
                <w:rFonts w:cs="Times New Roman"/>
                <w:sz w:val="22"/>
              </w:rPr>
              <w:t>0.120</w:t>
            </w:r>
          </w:p>
        </w:tc>
      </w:tr>
      <w:tr w:rsidR="0009163F" w:rsidRPr="00806827" w14:paraId="4A2DC2F8" w14:textId="77777777" w:rsidTr="0009163F">
        <w:trPr>
          <w:trHeight w:val="348"/>
        </w:trPr>
        <w:tc>
          <w:tcPr>
            <w:tcW w:w="5563" w:type="dxa"/>
            <w:tcBorders>
              <w:top w:val="nil"/>
              <w:left w:val="nil"/>
              <w:bottom w:val="nil"/>
              <w:right w:val="nil"/>
            </w:tcBorders>
            <w:shd w:val="clear" w:color="auto" w:fill="auto"/>
            <w:noWrap/>
            <w:vAlign w:val="bottom"/>
            <w:hideMark/>
          </w:tcPr>
          <w:p w14:paraId="56532715" w14:textId="5D08649D" w:rsidR="0009163F" w:rsidRPr="00806827" w:rsidRDefault="00493893" w:rsidP="00F239E6">
            <w:pPr>
              <w:spacing w:after="0" w:line="300" w:lineRule="auto"/>
              <w:rPr>
                <w:color w:val="000000"/>
                <w:sz w:val="22"/>
              </w:rPr>
            </w:pPr>
            <w:r w:rsidRPr="00806827">
              <w:rPr>
                <w:color w:val="000000"/>
                <w:sz w:val="22"/>
              </w:rPr>
              <w:t>Age squared</w:t>
            </w:r>
            <w:r w:rsidR="00851EB3" w:rsidRPr="00806827">
              <w:rPr>
                <w:color w:val="000000"/>
                <w:sz w:val="22"/>
                <w:vertAlign w:val="superscript"/>
              </w:rPr>
              <w:t xml:space="preserve"> </w:t>
            </w:r>
            <w:r w:rsidR="00F239E6" w:rsidRPr="00806827">
              <w:rPr>
                <w:color w:val="000000"/>
                <w:sz w:val="22"/>
              </w:rPr>
              <w:t>(per 1 year</w:t>
            </w:r>
            <w:r w:rsidR="00851EB3" w:rsidRPr="00806827">
              <w:rPr>
                <w:color w:val="000000"/>
                <w:sz w:val="22"/>
              </w:rPr>
              <w:t>)</w:t>
            </w:r>
          </w:p>
        </w:tc>
        <w:tc>
          <w:tcPr>
            <w:tcW w:w="1132" w:type="dxa"/>
            <w:tcBorders>
              <w:top w:val="nil"/>
              <w:left w:val="nil"/>
              <w:bottom w:val="nil"/>
              <w:right w:val="nil"/>
            </w:tcBorders>
            <w:shd w:val="clear" w:color="auto" w:fill="auto"/>
            <w:noWrap/>
            <w:hideMark/>
          </w:tcPr>
          <w:p w14:paraId="4F0F34A8" w14:textId="01E4CE8D" w:rsidR="0009163F" w:rsidRPr="00806827" w:rsidRDefault="0009163F" w:rsidP="0009163F">
            <w:pPr>
              <w:spacing w:after="0" w:line="300" w:lineRule="auto"/>
              <w:jc w:val="right"/>
              <w:rPr>
                <w:rFonts w:cs="Times New Roman"/>
                <w:color w:val="000000"/>
                <w:sz w:val="22"/>
              </w:rPr>
            </w:pPr>
            <w:r w:rsidRPr="00806827">
              <w:rPr>
                <w:rFonts w:cs="Times New Roman"/>
                <w:sz w:val="22"/>
              </w:rPr>
              <w:t>-0.001</w:t>
            </w:r>
          </w:p>
        </w:tc>
        <w:tc>
          <w:tcPr>
            <w:tcW w:w="1053" w:type="dxa"/>
            <w:tcBorders>
              <w:top w:val="nil"/>
              <w:left w:val="nil"/>
              <w:bottom w:val="nil"/>
              <w:right w:val="nil"/>
            </w:tcBorders>
            <w:shd w:val="clear" w:color="auto" w:fill="auto"/>
            <w:noWrap/>
            <w:hideMark/>
          </w:tcPr>
          <w:p w14:paraId="1563FDAE" w14:textId="18FB4BCE" w:rsidR="0009163F" w:rsidRPr="00806827" w:rsidRDefault="0009163F" w:rsidP="0009163F">
            <w:pPr>
              <w:spacing w:after="0" w:line="300" w:lineRule="auto"/>
              <w:jc w:val="right"/>
              <w:rPr>
                <w:rFonts w:cs="Times New Roman"/>
                <w:color w:val="000000"/>
                <w:sz w:val="22"/>
              </w:rPr>
            </w:pPr>
            <w:r w:rsidRPr="00806827">
              <w:rPr>
                <w:rFonts w:cs="Times New Roman"/>
                <w:sz w:val="22"/>
              </w:rPr>
              <w:t>-0.001</w:t>
            </w:r>
          </w:p>
        </w:tc>
        <w:tc>
          <w:tcPr>
            <w:tcW w:w="1055" w:type="dxa"/>
            <w:tcBorders>
              <w:top w:val="nil"/>
              <w:left w:val="nil"/>
              <w:bottom w:val="nil"/>
              <w:right w:val="nil"/>
            </w:tcBorders>
            <w:shd w:val="clear" w:color="auto" w:fill="auto"/>
            <w:noWrap/>
            <w:hideMark/>
          </w:tcPr>
          <w:p w14:paraId="3807BE39" w14:textId="0BAD0B92" w:rsidR="0009163F" w:rsidRPr="00806827" w:rsidRDefault="0009163F" w:rsidP="0009163F">
            <w:pPr>
              <w:spacing w:after="0" w:line="300" w:lineRule="auto"/>
              <w:jc w:val="right"/>
              <w:rPr>
                <w:rFonts w:cs="Times New Roman"/>
                <w:color w:val="000000"/>
                <w:sz w:val="22"/>
              </w:rPr>
            </w:pPr>
            <w:r w:rsidRPr="00806827">
              <w:rPr>
                <w:rFonts w:cs="Times New Roman"/>
                <w:sz w:val="22"/>
              </w:rPr>
              <w:t>-0.0002</w:t>
            </w:r>
          </w:p>
        </w:tc>
        <w:tc>
          <w:tcPr>
            <w:tcW w:w="1133" w:type="dxa"/>
            <w:tcBorders>
              <w:top w:val="nil"/>
              <w:left w:val="nil"/>
              <w:bottom w:val="nil"/>
              <w:right w:val="nil"/>
            </w:tcBorders>
            <w:shd w:val="clear" w:color="auto" w:fill="auto"/>
            <w:noWrap/>
            <w:hideMark/>
          </w:tcPr>
          <w:p w14:paraId="1C196B86" w14:textId="3CE0DB61" w:rsidR="0009163F" w:rsidRPr="00806827" w:rsidRDefault="0009163F" w:rsidP="0009163F">
            <w:pPr>
              <w:spacing w:after="0" w:line="300" w:lineRule="auto"/>
              <w:jc w:val="right"/>
              <w:rPr>
                <w:rFonts w:cs="Times New Roman"/>
                <w:color w:val="000000"/>
                <w:sz w:val="22"/>
              </w:rPr>
            </w:pPr>
            <w:r w:rsidRPr="00806827">
              <w:rPr>
                <w:rFonts w:cs="Times New Roman"/>
                <w:sz w:val="22"/>
              </w:rPr>
              <w:t>-0.000004</w:t>
            </w:r>
          </w:p>
        </w:tc>
        <w:tc>
          <w:tcPr>
            <w:tcW w:w="1054" w:type="dxa"/>
            <w:tcBorders>
              <w:top w:val="nil"/>
              <w:left w:val="nil"/>
              <w:bottom w:val="nil"/>
              <w:right w:val="nil"/>
            </w:tcBorders>
            <w:shd w:val="clear" w:color="auto" w:fill="auto"/>
            <w:noWrap/>
            <w:hideMark/>
          </w:tcPr>
          <w:p w14:paraId="163EACDA" w14:textId="383A7793" w:rsidR="0009163F" w:rsidRPr="00806827" w:rsidRDefault="0009163F" w:rsidP="0009163F">
            <w:pPr>
              <w:spacing w:after="0" w:line="300" w:lineRule="auto"/>
              <w:jc w:val="right"/>
              <w:rPr>
                <w:rFonts w:cs="Times New Roman"/>
                <w:color w:val="000000"/>
                <w:sz w:val="22"/>
              </w:rPr>
            </w:pPr>
            <w:r w:rsidRPr="00806827">
              <w:rPr>
                <w:rFonts w:cs="Times New Roman"/>
                <w:sz w:val="22"/>
              </w:rPr>
              <w:t>-0.0007</w:t>
            </w:r>
          </w:p>
        </w:tc>
        <w:tc>
          <w:tcPr>
            <w:tcW w:w="1056" w:type="dxa"/>
            <w:tcBorders>
              <w:top w:val="nil"/>
              <w:left w:val="nil"/>
              <w:bottom w:val="nil"/>
              <w:right w:val="nil"/>
            </w:tcBorders>
            <w:shd w:val="clear" w:color="auto" w:fill="auto"/>
            <w:noWrap/>
            <w:hideMark/>
          </w:tcPr>
          <w:p w14:paraId="7D79F15F" w14:textId="3E09BB43" w:rsidR="0009163F" w:rsidRPr="00806827" w:rsidRDefault="0009163F" w:rsidP="0009163F">
            <w:pPr>
              <w:spacing w:after="0" w:line="300" w:lineRule="auto"/>
              <w:jc w:val="right"/>
              <w:rPr>
                <w:rFonts w:cs="Times New Roman"/>
                <w:color w:val="000000"/>
                <w:sz w:val="22"/>
              </w:rPr>
            </w:pPr>
            <w:r w:rsidRPr="00806827">
              <w:rPr>
                <w:rFonts w:cs="Times New Roman"/>
                <w:sz w:val="22"/>
              </w:rPr>
              <w:t>0.0007</w:t>
            </w:r>
          </w:p>
        </w:tc>
      </w:tr>
      <w:tr w:rsidR="0009163F" w:rsidRPr="00806827" w14:paraId="3B0EEBA2" w14:textId="77777777" w:rsidTr="0009163F">
        <w:trPr>
          <w:trHeight w:val="303"/>
        </w:trPr>
        <w:tc>
          <w:tcPr>
            <w:tcW w:w="5563" w:type="dxa"/>
            <w:tcBorders>
              <w:top w:val="nil"/>
              <w:left w:val="nil"/>
              <w:bottom w:val="nil"/>
              <w:right w:val="nil"/>
            </w:tcBorders>
            <w:shd w:val="clear" w:color="auto" w:fill="auto"/>
            <w:noWrap/>
            <w:vAlign w:val="bottom"/>
            <w:hideMark/>
          </w:tcPr>
          <w:p w14:paraId="589D8EDE" w14:textId="77777777" w:rsidR="0009163F" w:rsidRPr="00806827" w:rsidRDefault="0009163F" w:rsidP="0009163F">
            <w:pPr>
              <w:spacing w:after="0" w:line="300" w:lineRule="auto"/>
              <w:rPr>
                <w:color w:val="000000"/>
                <w:sz w:val="22"/>
              </w:rPr>
            </w:pPr>
            <w:r w:rsidRPr="00806827">
              <w:rPr>
                <w:color w:val="000000"/>
                <w:sz w:val="22"/>
              </w:rPr>
              <w:t>Systolic blood pressure (per 10 mmHg)</w:t>
            </w:r>
          </w:p>
        </w:tc>
        <w:tc>
          <w:tcPr>
            <w:tcW w:w="1132" w:type="dxa"/>
            <w:tcBorders>
              <w:top w:val="nil"/>
              <w:left w:val="nil"/>
              <w:bottom w:val="nil"/>
              <w:right w:val="nil"/>
            </w:tcBorders>
            <w:shd w:val="clear" w:color="auto" w:fill="auto"/>
            <w:noWrap/>
            <w:hideMark/>
          </w:tcPr>
          <w:p w14:paraId="2F7EAE45" w14:textId="43598D16" w:rsidR="0009163F" w:rsidRPr="00806827" w:rsidRDefault="0009163F" w:rsidP="0009163F">
            <w:pPr>
              <w:spacing w:after="0" w:line="300" w:lineRule="auto"/>
              <w:jc w:val="right"/>
              <w:rPr>
                <w:rFonts w:cs="Times New Roman"/>
                <w:color w:val="000000"/>
                <w:sz w:val="22"/>
              </w:rPr>
            </w:pPr>
            <w:r w:rsidRPr="00806827">
              <w:rPr>
                <w:rFonts w:cs="Times New Roman"/>
                <w:sz w:val="22"/>
              </w:rPr>
              <w:t>0.252</w:t>
            </w:r>
          </w:p>
        </w:tc>
        <w:tc>
          <w:tcPr>
            <w:tcW w:w="1053" w:type="dxa"/>
            <w:tcBorders>
              <w:top w:val="nil"/>
              <w:left w:val="nil"/>
              <w:bottom w:val="nil"/>
              <w:right w:val="nil"/>
            </w:tcBorders>
            <w:shd w:val="clear" w:color="auto" w:fill="auto"/>
            <w:noWrap/>
            <w:hideMark/>
          </w:tcPr>
          <w:p w14:paraId="29F05BD1" w14:textId="098BC50D" w:rsidR="0009163F" w:rsidRPr="00806827" w:rsidRDefault="0009163F" w:rsidP="0009163F">
            <w:pPr>
              <w:spacing w:after="0" w:line="300" w:lineRule="auto"/>
              <w:jc w:val="right"/>
              <w:rPr>
                <w:rFonts w:cs="Times New Roman"/>
                <w:color w:val="000000"/>
                <w:sz w:val="22"/>
              </w:rPr>
            </w:pPr>
            <w:r w:rsidRPr="00806827">
              <w:rPr>
                <w:rFonts w:cs="Times New Roman"/>
                <w:sz w:val="22"/>
              </w:rPr>
              <w:t>0.201</w:t>
            </w:r>
          </w:p>
        </w:tc>
        <w:tc>
          <w:tcPr>
            <w:tcW w:w="1055" w:type="dxa"/>
            <w:tcBorders>
              <w:top w:val="nil"/>
              <w:left w:val="nil"/>
              <w:bottom w:val="nil"/>
              <w:right w:val="nil"/>
            </w:tcBorders>
            <w:shd w:val="clear" w:color="auto" w:fill="auto"/>
            <w:noWrap/>
            <w:hideMark/>
          </w:tcPr>
          <w:p w14:paraId="04FF3719" w14:textId="469B2CCD" w:rsidR="0009163F" w:rsidRPr="00806827" w:rsidRDefault="0009163F" w:rsidP="0009163F">
            <w:pPr>
              <w:spacing w:after="0" w:line="300" w:lineRule="auto"/>
              <w:jc w:val="right"/>
              <w:rPr>
                <w:rFonts w:cs="Times New Roman"/>
                <w:color w:val="000000"/>
                <w:sz w:val="22"/>
              </w:rPr>
            </w:pPr>
            <w:r w:rsidRPr="00806827">
              <w:rPr>
                <w:rFonts w:cs="Times New Roman"/>
                <w:sz w:val="22"/>
              </w:rPr>
              <w:t>0.304</w:t>
            </w:r>
          </w:p>
        </w:tc>
        <w:tc>
          <w:tcPr>
            <w:tcW w:w="1133" w:type="dxa"/>
            <w:tcBorders>
              <w:top w:val="nil"/>
              <w:left w:val="nil"/>
              <w:bottom w:val="nil"/>
              <w:right w:val="nil"/>
            </w:tcBorders>
            <w:shd w:val="clear" w:color="auto" w:fill="auto"/>
            <w:noWrap/>
            <w:hideMark/>
          </w:tcPr>
          <w:p w14:paraId="4DF16936" w14:textId="46D8CE7D" w:rsidR="0009163F" w:rsidRPr="00806827" w:rsidRDefault="0009163F" w:rsidP="0009163F">
            <w:pPr>
              <w:spacing w:after="0" w:line="300" w:lineRule="auto"/>
              <w:jc w:val="right"/>
              <w:rPr>
                <w:rFonts w:cs="Times New Roman"/>
                <w:color w:val="000000"/>
                <w:sz w:val="22"/>
              </w:rPr>
            </w:pPr>
            <w:r w:rsidRPr="00806827">
              <w:rPr>
                <w:rFonts w:cs="Times New Roman"/>
                <w:sz w:val="22"/>
              </w:rPr>
              <w:t>0.176</w:t>
            </w:r>
          </w:p>
        </w:tc>
        <w:tc>
          <w:tcPr>
            <w:tcW w:w="1054" w:type="dxa"/>
            <w:tcBorders>
              <w:top w:val="nil"/>
              <w:left w:val="nil"/>
              <w:bottom w:val="nil"/>
              <w:right w:val="nil"/>
            </w:tcBorders>
            <w:shd w:val="clear" w:color="auto" w:fill="auto"/>
            <w:noWrap/>
            <w:hideMark/>
          </w:tcPr>
          <w:p w14:paraId="415E201F" w14:textId="0AEE660B" w:rsidR="0009163F" w:rsidRPr="00806827" w:rsidRDefault="0009163F" w:rsidP="0009163F">
            <w:pPr>
              <w:spacing w:after="0" w:line="300" w:lineRule="auto"/>
              <w:jc w:val="right"/>
              <w:rPr>
                <w:rFonts w:cs="Times New Roman"/>
                <w:color w:val="000000"/>
                <w:sz w:val="22"/>
              </w:rPr>
            </w:pPr>
            <w:r w:rsidRPr="00806827">
              <w:rPr>
                <w:rFonts w:cs="Times New Roman"/>
                <w:sz w:val="22"/>
              </w:rPr>
              <w:t>0.104</w:t>
            </w:r>
          </w:p>
        </w:tc>
        <w:tc>
          <w:tcPr>
            <w:tcW w:w="1056" w:type="dxa"/>
            <w:tcBorders>
              <w:top w:val="nil"/>
              <w:left w:val="nil"/>
              <w:bottom w:val="nil"/>
              <w:right w:val="nil"/>
            </w:tcBorders>
            <w:shd w:val="clear" w:color="auto" w:fill="auto"/>
            <w:noWrap/>
            <w:hideMark/>
          </w:tcPr>
          <w:p w14:paraId="5303277E" w14:textId="402168FA" w:rsidR="0009163F" w:rsidRPr="00806827" w:rsidRDefault="0009163F" w:rsidP="0009163F">
            <w:pPr>
              <w:spacing w:after="0" w:line="300" w:lineRule="auto"/>
              <w:jc w:val="right"/>
              <w:rPr>
                <w:rFonts w:cs="Times New Roman"/>
                <w:color w:val="000000"/>
                <w:sz w:val="22"/>
              </w:rPr>
            </w:pPr>
            <w:r w:rsidRPr="00806827">
              <w:rPr>
                <w:rFonts w:cs="Times New Roman"/>
                <w:sz w:val="22"/>
              </w:rPr>
              <w:t>0.247</w:t>
            </w:r>
          </w:p>
        </w:tc>
      </w:tr>
      <w:tr w:rsidR="0009163F" w:rsidRPr="00806827" w14:paraId="29C273EA" w14:textId="77777777" w:rsidTr="0009163F">
        <w:trPr>
          <w:trHeight w:val="303"/>
        </w:trPr>
        <w:tc>
          <w:tcPr>
            <w:tcW w:w="5563" w:type="dxa"/>
            <w:tcBorders>
              <w:top w:val="nil"/>
              <w:left w:val="nil"/>
              <w:bottom w:val="nil"/>
              <w:right w:val="nil"/>
            </w:tcBorders>
            <w:shd w:val="clear" w:color="auto" w:fill="auto"/>
            <w:noWrap/>
            <w:vAlign w:val="bottom"/>
            <w:hideMark/>
          </w:tcPr>
          <w:p w14:paraId="46727E0B" w14:textId="77777777" w:rsidR="0009163F" w:rsidRPr="00806827" w:rsidRDefault="0009163F" w:rsidP="0009163F">
            <w:pPr>
              <w:spacing w:after="0" w:line="300" w:lineRule="auto"/>
              <w:rPr>
                <w:color w:val="000000"/>
                <w:sz w:val="22"/>
              </w:rPr>
            </w:pPr>
            <w:r w:rsidRPr="00806827">
              <w:rPr>
                <w:color w:val="000000"/>
                <w:sz w:val="22"/>
              </w:rPr>
              <w:t>Serum total cholesterol (per 1 mmol/L)</w:t>
            </w:r>
          </w:p>
        </w:tc>
        <w:tc>
          <w:tcPr>
            <w:tcW w:w="1132" w:type="dxa"/>
            <w:tcBorders>
              <w:top w:val="nil"/>
              <w:left w:val="nil"/>
              <w:bottom w:val="nil"/>
              <w:right w:val="nil"/>
            </w:tcBorders>
            <w:shd w:val="clear" w:color="auto" w:fill="auto"/>
            <w:noWrap/>
            <w:hideMark/>
          </w:tcPr>
          <w:p w14:paraId="315A3DD2" w14:textId="0DEE787D" w:rsidR="0009163F" w:rsidRPr="00806827" w:rsidRDefault="0009163F" w:rsidP="0009163F">
            <w:pPr>
              <w:spacing w:after="0" w:line="300" w:lineRule="auto"/>
              <w:jc w:val="right"/>
              <w:rPr>
                <w:rFonts w:cs="Times New Roman"/>
                <w:color w:val="000000"/>
                <w:sz w:val="22"/>
              </w:rPr>
            </w:pPr>
            <w:r w:rsidRPr="00806827">
              <w:rPr>
                <w:rFonts w:cs="Times New Roman"/>
                <w:sz w:val="22"/>
              </w:rPr>
              <w:t>0.072</w:t>
            </w:r>
          </w:p>
        </w:tc>
        <w:tc>
          <w:tcPr>
            <w:tcW w:w="1053" w:type="dxa"/>
            <w:tcBorders>
              <w:top w:val="nil"/>
              <w:left w:val="nil"/>
              <w:bottom w:val="nil"/>
              <w:right w:val="nil"/>
            </w:tcBorders>
            <w:shd w:val="clear" w:color="auto" w:fill="auto"/>
            <w:noWrap/>
            <w:hideMark/>
          </w:tcPr>
          <w:p w14:paraId="6E026240" w14:textId="256353EB" w:rsidR="0009163F" w:rsidRPr="00806827" w:rsidRDefault="0009163F" w:rsidP="0009163F">
            <w:pPr>
              <w:spacing w:after="0" w:line="300" w:lineRule="auto"/>
              <w:jc w:val="right"/>
              <w:rPr>
                <w:rFonts w:cs="Times New Roman"/>
                <w:color w:val="000000"/>
                <w:sz w:val="22"/>
              </w:rPr>
            </w:pPr>
            <w:r w:rsidRPr="00806827">
              <w:rPr>
                <w:rFonts w:cs="Times New Roman"/>
                <w:sz w:val="22"/>
              </w:rPr>
              <w:t>0.033</w:t>
            </w:r>
          </w:p>
        </w:tc>
        <w:tc>
          <w:tcPr>
            <w:tcW w:w="1055" w:type="dxa"/>
            <w:tcBorders>
              <w:top w:val="nil"/>
              <w:left w:val="nil"/>
              <w:bottom w:val="nil"/>
              <w:right w:val="nil"/>
            </w:tcBorders>
            <w:shd w:val="clear" w:color="auto" w:fill="auto"/>
            <w:noWrap/>
            <w:hideMark/>
          </w:tcPr>
          <w:p w14:paraId="6C801D98" w14:textId="351E7D4C" w:rsidR="0009163F" w:rsidRPr="00806827" w:rsidRDefault="0009163F" w:rsidP="0009163F">
            <w:pPr>
              <w:spacing w:after="0" w:line="300" w:lineRule="auto"/>
              <w:jc w:val="right"/>
              <w:rPr>
                <w:rFonts w:cs="Times New Roman"/>
                <w:color w:val="000000"/>
                <w:sz w:val="22"/>
              </w:rPr>
            </w:pPr>
            <w:r w:rsidRPr="00806827">
              <w:rPr>
                <w:rFonts w:cs="Times New Roman"/>
                <w:sz w:val="22"/>
              </w:rPr>
              <w:t>0.111</w:t>
            </w:r>
          </w:p>
        </w:tc>
        <w:tc>
          <w:tcPr>
            <w:tcW w:w="1133" w:type="dxa"/>
            <w:tcBorders>
              <w:top w:val="nil"/>
              <w:left w:val="nil"/>
              <w:bottom w:val="nil"/>
              <w:right w:val="nil"/>
            </w:tcBorders>
            <w:shd w:val="clear" w:color="auto" w:fill="auto"/>
            <w:noWrap/>
            <w:hideMark/>
          </w:tcPr>
          <w:p w14:paraId="09FC433D" w14:textId="0541E651" w:rsidR="0009163F" w:rsidRPr="00806827" w:rsidRDefault="0009163F" w:rsidP="0009163F">
            <w:pPr>
              <w:spacing w:after="0" w:line="300" w:lineRule="auto"/>
              <w:jc w:val="right"/>
              <w:rPr>
                <w:rFonts w:cs="Times New Roman"/>
                <w:color w:val="000000"/>
                <w:sz w:val="22"/>
              </w:rPr>
            </w:pPr>
            <w:r w:rsidRPr="00806827">
              <w:rPr>
                <w:rFonts w:cs="Times New Roman"/>
                <w:sz w:val="22"/>
              </w:rPr>
              <w:t>0.113</w:t>
            </w:r>
          </w:p>
        </w:tc>
        <w:tc>
          <w:tcPr>
            <w:tcW w:w="1054" w:type="dxa"/>
            <w:tcBorders>
              <w:top w:val="nil"/>
              <w:left w:val="nil"/>
              <w:bottom w:val="nil"/>
              <w:right w:val="nil"/>
            </w:tcBorders>
            <w:shd w:val="clear" w:color="auto" w:fill="auto"/>
            <w:noWrap/>
            <w:hideMark/>
          </w:tcPr>
          <w:p w14:paraId="2DAC27BE" w14:textId="049BC28F" w:rsidR="0009163F" w:rsidRPr="00806827" w:rsidRDefault="0009163F" w:rsidP="0009163F">
            <w:pPr>
              <w:spacing w:after="0" w:line="300" w:lineRule="auto"/>
              <w:jc w:val="right"/>
              <w:rPr>
                <w:rFonts w:cs="Times New Roman"/>
                <w:color w:val="000000"/>
                <w:sz w:val="22"/>
              </w:rPr>
            </w:pPr>
            <w:r w:rsidRPr="00806827">
              <w:rPr>
                <w:rFonts w:cs="Times New Roman"/>
                <w:sz w:val="22"/>
              </w:rPr>
              <w:t>0.058</w:t>
            </w:r>
          </w:p>
        </w:tc>
        <w:tc>
          <w:tcPr>
            <w:tcW w:w="1056" w:type="dxa"/>
            <w:tcBorders>
              <w:top w:val="nil"/>
              <w:left w:val="nil"/>
              <w:bottom w:val="nil"/>
              <w:right w:val="nil"/>
            </w:tcBorders>
            <w:shd w:val="clear" w:color="auto" w:fill="auto"/>
            <w:noWrap/>
            <w:hideMark/>
          </w:tcPr>
          <w:p w14:paraId="407D80C9" w14:textId="62AC2DBB" w:rsidR="0009163F" w:rsidRPr="00806827" w:rsidRDefault="0009163F" w:rsidP="0009163F">
            <w:pPr>
              <w:spacing w:after="0" w:line="300" w:lineRule="auto"/>
              <w:jc w:val="right"/>
              <w:rPr>
                <w:rFonts w:cs="Times New Roman"/>
                <w:color w:val="000000"/>
                <w:sz w:val="22"/>
              </w:rPr>
            </w:pPr>
            <w:r w:rsidRPr="00806827">
              <w:rPr>
                <w:rFonts w:cs="Times New Roman"/>
                <w:sz w:val="22"/>
              </w:rPr>
              <w:t>0.169</w:t>
            </w:r>
          </w:p>
        </w:tc>
      </w:tr>
      <w:tr w:rsidR="0009163F" w:rsidRPr="00806827" w14:paraId="27DB2821" w14:textId="77777777" w:rsidTr="0009163F">
        <w:trPr>
          <w:trHeight w:val="303"/>
        </w:trPr>
        <w:tc>
          <w:tcPr>
            <w:tcW w:w="5563" w:type="dxa"/>
            <w:tcBorders>
              <w:top w:val="nil"/>
              <w:left w:val="nil"/>
              <w:bottom w:val="nil"/>
              <w:right w:val="nil"/>
            </w:tcBorders>
            <w:shd w:val="clear" w:color="auto" w:fill="auto"/>
            <w:noWrap/>
            <w:vAlign w:val="bottom"/>
            <w:hideMark/>
          </w:tcPr>
          <w:p w14:paraId="23E5AA22" w14:textId="77777777" w:rsidR="0009163F" w:rsidRPr="00806827" w:rsidRDefault="0009163F" w:rsidP="0009163F">
            <w:pPr>
              <w:spacing w:after="0" w:line="300" w:lineRule="auto"/>
              <w:rPr>
                <w:color w:val="000000"/>
                <w:sz w:val="22"/>
              </w:rPr>
            </w:pPr>
            <w:r w:rsidRPr="00806827">
              <w:rPr>
                <w:color w:val="000000"/>
                <w:sz w:val="22"/>
              </w:rPr>
              <w:t>Daily smoking (yes/no)</w:t>
            </w:r>
          </w:p>
        </w:tc>
        <w:tc>
          <w:tcPr>
            <w:tcW w:w="1132" w:type="dxa"/>
            <w:tcBorders>
              <w:top w:val="nil"/>
              <w:left w:val="nil"/>
              <w:bottom w:val="nil"/>
              <w:right w:val="nil"/>
            </w:tcBorders>
            <w:shd w:val="clear" w:color="auto" w:fill="auto"/>
            <w:noWrap/>
            <w:hideMark/>
          </w:tcPr>
          <w:p w14:paraId="3CBC90D3" w14:textId="38B01A1D" w:rsidR="0009163F" w:rsidRPr="00806827" w:rsidRDefault="0009163F" w:rsidP="0009163F">
            <w:pPr>
              <w:spacing w:after="0" w:line="300" w:lineRule="auto"/>
              <w:jc w:val="right"/>
              <w:rPr>
                <w:rFonts w:cs="Times New Roman"/>
                <w:color w:val="000000"/>
                <w:sz w:val="22"/>
              </w:rPr>
            </w:pPr>
            <w:r w:rsidRPr="00806827">
              <w:rPr>
                <w:rFonts w:cs="Times New Roman"/>
                <w:sz w:val="22"/>
              </w:rPr>
              <w:t>1.268</w:t>
            </w:r>
          </w:p>
        </w:tc>
        <w:tc>
          <w:tcPr>
            <w:tcW w:w="1053" w:type="dxa"/>
            <w:tcBorders>
              <w:top w:val="nil"/>
              <w:left w:val="nil"/>
              <w:bottom w:val="nil"/>
              <w:right w:val="nil"/>
            </w:tcBorders>
            <w:shd w:val="clear" w:color="auto" w:fill="auto"/>
            <w:noWrap/>
            <w:hideMark/>
          </w:tcPr>
          <w:p w14:paraId="290CCA84" w14:textId="66CA3BBE" w:rsidR="0009163F" w:rsidRPr="00806827" w:rsidRDefault="0009163F" w:rsidP="0009163F">
            <w:pPr>
              <w:spacing w:after="0" w:line="300" w:lineRule="auto"/>
              <w:jc w:val="right"/>
              <w:rPr>
                <w:rFonts w:cs="Times New Roman"/>
                <w:color w:val="000000"/>
                <w:sz w:val="22"/>
              </w:rPr>
            </w:pPr>
            <w:r w:rsidRPr="00806827">
              <w:rPr>
                <w:rFonts w:cs="Times New Roman"/>
                <w:sz w:val="22"/>
              </w:rPr>
              <w:t>1.053</w:t>
            </w:r>
          </w:p>
        </w:tc>
        <w:tc>
          <w:tcPr>
            <w:tcW w:w="1055" w:type="dxa"/>
            <w:tcBorders>
              <w:top w:val="nil"/>
              <w:left w:val="nil"/>
              <w:bottom w:val="nil"/>
              <w:right w:val="nil"/>
            </w:tcBorders>
            <w:shd w:val="clear" w:color="auto" w:fill="auto"/>
            <w:noWrap/>
            <w:hideMark/>
          </w:tcPr>
          <w:p w14:paraId="6AC1F7F4" w14:textId="23AE21B5" w:rsidR="0009163F" w:rsidRPr="00806827" w:rsidRDefault="0009163F" w:rsidP="0009163F">
            <w:pPr>
              <w:spacing w:after="0" w:line="300" w:lineRule="auto"/>
              <w:jc w:val="right"/>
              <w:rPr>
                <w:rFonts w:cs="Times New Roman"/>
                <w:color w:val="000000"/>
                <w:sz w:val="22"/>
              </w:rPr>
            </w:pPr>
            <w:r w:rsidRPr="00806827">
              <w:rPr>
                <w:rFonts w:cs="Times New Roman"/>
                <w:sz w:val="22"/>
              </w:rPr>
              <w:t>1.483</w:t>
            </w:r>
          </w:p>
        </w:tc>
        <w:tc>
          <w:tcPr>
            <w:tcW w:w="1133" w:type="dxa"/>
            <w:tcBorders>
              <w:top w:val="nil"/>
              <w:left w:val="nil"/>
              <w:bottom w:val="nil"/>
              <w:right w:val="nil"/>
            </w:tcBorders>
            <w:shd w:val="clear" w:color="auto" w:fill="auto"/>
            <w:noWrap/>
            <w:hideMark/>
          </w:tcPr>
          <w:p w14:paraId="2E5228DA" w14:textId="16A8CE6E" w:rsidR="0009163F" w:rsidRPr="00806827" w:rsidRDefault="0009163F" w:rsidP="0009163F">
            <w:pPr>
              <w:spacing w:after="0" w:line="300" w:lineRule="auto"/>
              <w:jc w:val="right"/>
              <w:rPr>
                <w:rFonts w:cs="Times New Roman"/>
                <w:color w:val="000000"/>
                <w:sz w:val="22"/>
              </w:rPr>
            </w:pPr>
            <w:r w:rsidRPr="00806827">
              <w:rPr>
                <w:rFonts w:cs="Times New Roman"/>
                <w:sz w:val="22"/>
              </w:rPr>
              <w:t>1.168</w:t>
            </w:r>
          </w:p>
        </w:tc>
        <w:tc>
          <w:tcPr>
            <w:tcW w:w="1054" w:type="dxa"/>
            <w:tcBorders>
              <w:top w:val="nil"/>
              <w:left w:val="nil"/>
              <w:bottom w:val="nil"/>
              <w:right w:val="nil"/>
            </w:tcBorders>
            <w:shd w:val="clear" w:color="auto" w:fill="auto"/>
            <w:noWrap/>
            <w:hideMark/>
          </w:tcPr>
          <w:p w14:paraId="20F60B8A" w14:textId="696AC7AA" w:rsidR="0009163F" w:rsidRPr="00806827" w:rsidRDefault="0009163F" w:rsidP="0009163F">
            <w:pPr>
              <w:spacing w:after="0" w:line="300" w:lineRule="auto"/>
              <w:jc w:val="right"/>
              <w:rPr>
                <w:rFonts w:cs="Times New Roman"/>
                <w:color w:val="000000"/>
                <w:sz w:val="22"/>
              </w:rPr>
            </w:pPr>
            <w:r w:rsidRPr="00806827">
              <w:rPr>
                <w:rFonts w:cs="Times New Roman"/>
                <w:sz w:val="22"/>
              </w:rPr>
              <w:t>0.862</w:t>
            </w:r>
          </w:p>
        </w:tc>
        <w:tc>
          <w:tcPr>
            <w:tcW w:w="1056" w:type="dxa"/>
            <w:tcBorders>
              <w:top w:val="nil"/>
              <w:left w:val="nil"/>
              <w:bottom w:val="nil"/>
              <w:right w:val="nil"/>
            </w:tcBorders>
            <w:shd w:val="clear" w:color="auto" w:fill="auto"/>
            <w:noWrap/>
            <w:hideMark/>
          </w:tcPr>
          <w:p w14:paraId="1A256688" w14:textId="3D174EC0" w:rsidR="0009163F" w:rsidRPr="00806827" w:rsidRDefault="0009163F" w:rsidP="0009163F">
            <w:pPr>
              <w:spacing w:after="0" w:line="300" w:lineRule="auto"/>
              <w:jc w:val="right"/>
              <w:rPr>
                <w:rFonts w:cs="Times New Roman"/>
                <w:color w:val="000000"/>
                <w:sz w:val="22"/>
              </w:rPr>
            </w:pPr>
            <w:r w:rsidRPr="00806827">
              <w:rPr>
                <w:rFonts w:cs="Times New Roman"/>
                <w:sz w:val="22"/>
              </w:rPr>
              <w:t>1.474</w:t>
            </w:r>
          </w:p>
        </w:tc>
      </w:tr>
      <w:tr w:rsidR="0009163F" w:rsidRPr="00806827" w14:paraId="46855191" w14:textId="77777777" w:rsidTr="0009163F">
        <w:trPr>
          <w:trHeight w:val="303"/>
        </w:trPr>
        <w:tc>
          <w:tcPr>
            <w:tcW w:w="5563" w:type="dxa"/>
            <w:tcBorders>
              <w:top w:val="nil"/>
              <w:left w:val="nil"/>
              <w:bottom w:val="nil"/>
              <w:right w:val="nil"/>
            </w:tcBorders>
            <w:shd w:val="clear" w:color="auto" w:fill="auto"/>
            <w:noWrap/>
            <w:vAlign w:val="bottom"/>
            <w:hideMark/>
          </w:tcPr>
          <w:p w14:paraId="1D9F40B9" w14:textId="2F648C71" w:rsidR="0009163F" w:rsidRPr="00806827" w:rsidRDefault="0009163F" w:rsidP="0009163F">
            <w:pPr>
              <w:spacing w:after="0" w:line="300" w:lineRule="auto"/>
              <w:rPr>
                <w:color w:val="000000"/>
                <w:sz w:val="22"/>
              </w:rPr>
            </w:pPr>
            <w:r w:rsidRPr="00806827">
              <w:rPr>
                <w:color w:val="000000"/>
                <w:sz w:val="22"/>
              </w:rPr>
              <w:t>Systoli</w:t>
            </w:r>
            <w:r w:rsidR="00415B44" w:rsidRPr="00806827">
              <w:rPr>
                <w:color w:val="000000"/>
                <w:sz w:val="22"/>
              </w:rPr>
              <w:t>c blood pressure (per 10 mmHg) x</w:t>
            </w:r>
            <w:r w:rsidRPr="00806827">
              <w:rPr>
                <w:color w:val="000000"/>
                <w:sz w:val="22"/>
              </w:rPr>
              <w:t xml:space="preserve"> age</w:t>
            </w:r>
          </w:p>
        </w:tc>
        <w:tc>
          <w:tcPr>
            <w:tcW w:w="1132" w:type="dxa"/>
            <w:tcBorders>
              <w:top w:val="nil"/>
              <w:left w:val="nil"/>
              <w:bottom w:val="nil"/>
              <w:right w:val="nil"/>
            </w:tcBorders>
            <w:shd w:val="clear" w:color="auto" w:fill="auto"/>
            <w:noWrap/>
            <w:hideMark/>
          </w:tcPr>
          <w:p w14:paraId="0182BEAB" w14:textId="06735FE0" w:rsidR="0009163F" w:rsidRPr="00806827" w:rsidRDefault="0009163F" w:rsidP="0009163F">
            <w:pPr>
              <w:spacing w:after="0" w:line="300" w:lineRule="auto"/>
              <w:jc w:val="right"/>
              <w:rPr>
                <w:rFonts w:cs="Times New Roman"/>
                <w:color w:val="000000"/>
                <w:sz w:val="22"/>
              </w:rPr>
            </w:pPr>
            <w:r w:rsidRPr="00806827">
              <w:rPr>
                <w:rFonts w:cs="Times New Roman"/>
                <w:sz w:val="22"/>
              </w:rPr>
              <w:t>-0.005</w:t>
            </w:r>
          </w:p>
        </w:tc>
        <w:tc>
          <w:tcPr>
            <w:tcW w:w="1053" w:type="dxa"/>
            <w:tcBorders>
              <w:top w:val="nil"/>
              <w:left w:val="nil"/>
              <w:bottom w:val="nil"/>
              <w:right w:val="nil"/>
            </w:tcBorders>
            <w:shd w:val="clear" w:color="auto" w:fill="auto"/>
            <w:noWrap/>
            <w:hideMark/>
          </w:tcPr>
          <w:p w14:paraId="0FD96836" w14:textId="75D89E5E" w:rsidR="0009163F" w:rsidRPr="00806827" w:rsidRDefault="0009163F" w:rsidP="0009163F">
            <w:pPr>
              <w:spacing w:after="0" w:line="300" w:lineRule="auto"/>
              <w:jc w:val="right"/>
              <w:rPr>
                <w:rFonts w:cs="Times New Roman"/>
                <w:color w:val="000000"/>
                <w:sz w:val="22"/>
              </w:rPr>
            </w:pPr>
            <w:r w:rsidRPr="00806827">
              <w:rPr>
                <w:rFonts w:cs="Times New Roman"/>
                <w:sz w:val="22"/>
              </w:rPr>
              <w:t>-0.007</w:t>
            </w:r>
          </w:p>
        </w:tc>
        <w:tc>
          <w:tcPr>
            <w:tcW w:w="1055" w:type="dxa"/>
            <w:tcBorders>
              <w:top w:val="nil"/>
              <w:left w:val="nil"/>
              <w:bottom w:val="nil"/>
              <w:right w:val="nil"/>
            </w:tcBorders>
            <w:shd w:val="clear" w:color="auto" w:fill="auto"/>
            <w:noWrap/>
            <w:hideMark/>
          </w:tcPr>
          <w:p w14:paraId="227F9B0A" w14:textId="4D17EFA7" w:rsidR="0009163F" w:rsidRPr="00806827" w:rsidRDefault="0009163F" w:rsidP="0009163F">
            <w:pPr>
              <w:spacing w:after="0" w:line="300" w:lineRule="auto"/>
              <w:jc w:val="right"/>
              <w:rPr>
                <w:rFonts w:cs="Times New Roman"/>
                <w:color w:val="000000"/>
                <w:sz w:val="22"/>
              </w:rPr>
            </w:pPr>
            <w:r w:rsidRPr="00806827">
              <w:rPr>
                <w:rFonts w:cs="Times New Roman"/>
                <w:sz w:val="22"/>
              </w:rPr>
              <w:t>-0.003</w:t>
            </w:r>
          </w:p>
        </w:tc>
        <w:tc>
          <w:tcPr>
            <w:tcW w:w="1133" w:type="dxa"/>
            <w:tcBorders>
              <w:top w:val="nil"/>
              <w:left w:val="nil"/>
              <w:bottom w:val="nil"/>
              <w:right w:val="nil"/>
            </w:tcBorders>
            <w:shd w:val="clear" w:color="auto" w:fill="auto"/>
            <w:noWrap/>
            <w:hideMark/>
          </w:tcPr>
          <w:p w14:paraId="146B8F30" w14:textId="1A2701FF" w:rsidR="0009163F" w:rsidRPr="00806827" w:rsidRDefault="0009163F" w:rsidP="0009163F">
            <w:pPr>
              <w:spacing w:after="0" w:line="300" w:lineRule="auto"/>
              <w:jc w:val="right"/>
              <w:rPr>
                <w:rFonts w:cs="Times New Roman"/>
                <w:color w:val="000000"/>
                <w:sz w:val="22"/>
              </w:rPr>
            </w:pPr>
            <w:r w:rsidRPr="00806827">
              <w:rPr>
                <w:rFonts w:cs="Times New Roman"/>
                <w:sz w:val="22"/>
              </w:rPr>
              <w:t>-0.002</w:t>
            </w:r>
          </w:p>
        </w:tc>
        <w:tc>
          <w:tcPr>
            <w:tcW w:w="1054" w:type="dxa"/>
            <w:tcBorders>
              <w:top w:val="nil"/>
              <w:left w:val="nil"/>
              <w:bottom w:val="nil"/>
              <w:right w:val="nil"/>
            </w:tcBorders>
            <w:shd w:val="clear" w:color="auto" w:fill="auto"/>
            <w:noWrap/>
            <w:hideMark/>
          </w:tcPr>
          <w:p w14:paraId="7D60D746" w14:textId="22AB270A" w:rsidR="0009163F" w:rsidRPr="00806827" w:rsidRDefault="0009163F" w:rsidP="0009163F">
            <w:pPr>
              <w:spacing w:after="0" w:line="300" w:lineRule="auto"/>
              <w:jc w:val="right"/>
              <w:rPr>
                <w:rFonts w:cs="Times New Roman"/>
                <w:color w:val="000000"/>
                <w:sz w:val="22"/>
              </w:rPr>
            </w:pPr>
            <w:r w:rsidRPr="00806827">
              <w:rPr>
                <w:rFonts w:cs="Times New Roman"/>
                <w:sz w:val="22"/>
              </w:rPr>
              <w:t>-0.005</w:t>
            </w:r>
          </w:p>
        </w:tc>
        <w:tc>
          <w:tcPr>
            <w:tcW w:w="1056" w:type="dxa"/>
            <w:tcBorders>
              <w:top w:val="nil"/>
              <w:left w:val="nil"/>
              <w:bottom w:val="nil"/>
              <w:right w:val="nil"/>
            </w:tcBorders>
            <w:shd w:val="clear" w:color="auto" w:fill="auto"/>
            <w:noWrap/>
            <w:hideMark/>
          </w:tcPr>
          <w:p w14:paraId="072F8EC8" w14:textId="3BA41F8E" w:rsidR="0009163F" w:rsidRPr="00806827" w:rsidRDefault="0009163F" w:rsidP="0009163F">
            <w:pPr>
              <w:spacing w:after="0" w:line="300" w:lineRule="auto"/>
              <w:jc w:val="right"/>
              <w:rPr>
                <w:rFonts w:cs="Times New Roman"/>
                <w:color w:val="000000"/>
                <w:sz w:val="22"/>
              </w:rPr>
            </w:pPr>
            <w:r w:rsidRPr="00806827">
              <w:rPr>
                <w:rFonts w:cs="Times New Roman"/>
                <w:sz w:val="22"/>
              </w:rPr>
              <w:t>0.002</w:t>
            </w:r>
          </w:p>
        </w:tc>
      </w:tr>
      <w:tr w:rsidR="0009163F" w:rsidRPr="00806827" w14:paraId="6E38F628" w14:textId="77777777" w:rsidTr="0009163F">
        <w:trPr>
          <w:trHeight w:val="303"/>
        </w:trPr>
        <w:tc>
          <w:tcPr>
            <w:tcW w:w="5563" w:type="dxa"/>
            <w:tcBorders>
              <w:top w:val="nil"/>
              <w:left w:val="nil"/>
              <w:bottom w:val="nil"/>
              <w:right w:val="nil"/>
            </w:tcBorders>
            <w:shd w:val="clear" w:color="auto" w:fill="auto"/>
            <w:noWrap/>
            <w:vAlign w:val="bottom"/>
            <w:hideMark/>
          </w:tcPr>
          <w:p w14:paraId="03970963" w14:textId="67AFC64B" w:rsidR="0009163F" w:rsidRPr="00806827" w:rsidRDefault="00415B44" w:rsidP="0009163F">
            <w:pPr>
              <w:spacing w:after="0" w:line="300" w:lineRule="auto"/>
              <w:rPr>
                <w:color w:val="000000"/>
                <w:sz w:val="22"/>
              </w:rPr>
            </w:pPr>
            <w:r w:rsidRPr="00806827">
              <w:rPr>
                <w:color w:val="000000"/>
                <w:sz w:val="22"/>
              </w:rPr>
              <w:t>Daily smoking x</w:t>
            </w:r>
            <w:r w:rsidR="0009163F" w:rsidRPr="00806827">
              <w:rPr>
                <w:color w:val="000000"/>
                <w:sz w:val="22"/>
              </w:rPr>
              <w:t xml:space="preserve"> age</w:t>
            </w:r>
          </w:p>
        </w:tc>
        <w:tc>
          <w:tcPr>
            <w:tcW w:w="1132" w:type="dxa"/>
            <w:tcBorders>
              <w:top w:val="nil"/>
              <w:left w:val="nil"/>
              <w:bottom w:val="nil"/>
              <w:right w:val="nil"/>
            </w:tcBorders>
            <w:shd w:val="clear" w:color="auto" w:fill="auto"/>
            <w:noWrap/>
            <w:hideMark/>
          </w:tcPr>
          <w:p w14:paraId="544FC90B" w14:textId="265C6474" w:rsidR="0009163F" w:rsidRPr="00806827" w:rsidRDefault="0009163F" w:rsidP="0009163F">
            <w:pPr>
              <w:spacing w:after="0" w:line="300" w:lineRule="auto"/>
              <w:jc w:val="right"/>
              <w:rPr>
                <w:rFonts w:cs="Times New Roman"/>
                <w:color w:val="000000"/>
                <w:sz w:val="22"/>
              </w:rPr>
            </w:pPr>
            <w:r w:rsidRPr="00806827">
              <w:rPr>
                <w:rFonts w:cs="Times New Roman"/>
                <w:sz w:val="22"/>
              </w:rPr>
              <w:t>-0.025</w:t>
            </w:r>
          </w:p>
        </w:tc>
        <w:tc>
          <w:tcPr>
            <w:tcW w:w="1053" w:type="dxa"/>
            <w:tcBorders>
              <w:top w:val="nil"/>
              <w:left w:val="nil"/>
              <w:bottom w:val="nil"/>
              <w:right w:val="nil"/>
            </w:tcBorders>
            <w:shd w:val="clear" w:color="auto" w:fill="auto"/>
            <w:noWrap/>
            <w:hideMark/>
          </w:tcPr>
          <w:p w14:paraId="13E0A009" w14:textId="60181B55" w:rsidR="0009163F" w:rsidRPr="00806827" w:rsidRDefault="0009163F" w:rsidP="0009163F">
            <w:pPr>
              <w:spacing w:after="0" w:line="300" w:lineRule="auto"/>
              <w:jc w:val="right"/>
              <w:rPr>
                <w:rFonts w:cs="Times New Roman"/>
                <w:color w:val="000000"/>
                <w:sz w:val="22"/>
              </w:rPr>
            </w:pPr>
            <w:r w:rsidRPr="00806827">
              <w:rPr>
                <w:rFonts w:cs="Times New Roman"/>
                <w:sz w:val="22"/>
              </w:rPr>
              <w:t>-0.033</w:t>
            </w:r>
          </w:p>
        </w:tc>
        <w:tc>
          <w:tcPr>
            <w:tcW w:w="1055" w:type="dxa"/>
            <w:tcBorders>
              <w:top w:val="nil"/>
              <w:left w:val="nil"/>
              <w:bottom w:val="nil"/>
              <w:right w:val="nil"/>
            </w:tcBorders>
            <w:shd w:val="clear" w:color="auto" w:fill="auto"/>
            <w:noWrap/>
            <w:hideMark/>
          </w:tcPr>
          <w:p w14:paraId="2B684878" w14:textId="24716B8F" w:rsidR="0009163F" w:rsidRPr="00806827" w:rsidRDefault="0009163F" w:rsidP="0009163F">
            <w:pPr>
              <w:spacing w:after="0" w:line="300" w:lineRule="auto"/>
              <w:jc w:val="right"/>
              <w:rPr>
                <w:rFonts w:cs="Times New Roman"/>
                <w:color w:val="000000"/>
                <w:sz w:val="22"/>
              </w:rPr>
            </w:pPr>
            <w:r w:rsidRPr="00806827">
              <w:rPr>
                <w:rFonts w:cs="Times New Roman"/>
                <w:sz w:val="22"/>
              </w:rPr>
              <w:t>-0.016</w:t>
            </w:r>
          </w:p>
        </w:tc>
        <w:tc>
          <w:tcPr>
            <w:tcW w:w="1133" w:type="dxa"/>
            <w:tcBorders>
              <w:top w:val="nil"/>
              <w:left w:val="nil"/>
              <w:bottom w:val="nil"/>
              <w:right w:val="nil"/>
            </w:tcBorders>
            <w:shd w:val="clear" w:color="auto" w:fill="auto"/>
            <w:noWrap/>
            <w:hideMark/>
          </w:tcPr>
          <w:p w14:paraId="5AB0FD35" w14:textId="399417CF" w:rsidR="0009163F" w:rsidRPr="00806827" w:rsidRDefault="0009163F" w:rsidP="0009163F">
            <w:pPr>
              <w:spacing w:after="0" w:line="300" w:lineRule="auto"/>
              <w:jc w:val="right"/>
              <w:rPr>
                <w:rFonts w:cs="Times New Roman"/>
                <w:color w:val="000000"/>
                <w:sz w:val="22"/>
              </w:rPr>
            </w:pPr>
            <w:r w:rsidRPr="00806827">
              <w:rPr>
                <w:rFonts w:cs="Times New Roman"/>
                <w:sz w:val="22"/>
              </w:rPr>
              <w:t>-0.019</w:t>
            </w:r>
          </w:p>
        </w:tc>
        <w:tc>
          <w:tcPr>
            <w:tcW w:w="1054" w:type="dxa"/>
            <w:tcBorders>
              <w:top w:val="nil"/>
              <w:left w:val="nil"/>
              <w:bottom w:val="nil"/>
              <w:right w:val="nil"/>
            </w:tcBorders>
            <w:shd w:val="clear" w:color="auto" w:fill="auto"/>
            <w:noWrap/>
            <w:hideMark/>
          </w:tcPr>
          <w:p w14:paraId="52EEBD62" w14:textId="2DD86025" w:rsidR="0009163F" w:rsidRPr="00806827" w:rsidRDefault="0009163F" w:rsidP="0009163F">
            <w:pPr>
              <w:spacing w:after="0" w:line="300" w:lineRule="auto"/>
              <w:jc w:val="right"/>
              <w:rPr>
                <w:rFonts w:cs="Times New Roman"/>
                <w:color w:val="000000"/>
                <w:sz w:val="22"/>
              </w:rPr>
            </w:pPr>
            <w:r w:rsidRPr="00806827">
              <w:rPr>
                <w:rFonts w:cs="Times New Roman"/>
                <w:sz w:val="22"/>
              </w:rPr>
              <w:t>-0.034</w:t>
            </w:r>
          </w:p>
        </w:tc>
        <w:tc>
          <w:tcPr>
            <w:tcW w:w="1056" w:type="dxa"/>
            <w:tcBorders>
              <w:top w:val="nil"/>
              <w:left w:val="nil"/>
              <w:bottom w:val="nil"/>
              <w:right w:val="nil"/>
            </w:tcBorders>
            <w:shd w:val="clear" w:color="auto" w:fill="auto"/>
            <w:noWrap/>
            <w:hideMark/>
          </w:tcPr>
          <w:p w14:paraId="2BE43E5B" w14:textId="09345C15" w:rsidR="0009163F" w:rsidRPr="00806827" w:rsidRDefault="0009163F" w:rsidP="0009163F">
            <w:pPr>
              <w:spacing w:after="0" w:line="300" w:lineRule="auto"/>
              <w:jc w:val="right"/>
              <w:rPr>
                <w:rFonts w:cs="Times New Roman"/>
                <w:color w:val="000000"/>
                <w:sz w:val="22"/>
              </w:rPr>
            </w:pPr>
            <w:r w:rsidRPr="00806827">
              <w:rPr>
                <w:rFonts w:cs="Times New Roman"/>
                <w:sz w:val="22"/>
              </w:rPr>
              <w:t>-0.004</w:t>
            </w:r>
          </w:p>
        </w:tc>
      </w:tr>
      <w:tr w:rsidR="0009163F" w:rsidRPr="00806827" w14:paraId="39459896" w14:textId="77777777" w:rsidTr="0009163F">
        <w:trPr>
          <w:trHeight w:val="303"/>
        </w:trPr>
        <w:tc>
          <w:tcPr>
            <w:tcW w:w="5563" w:type="dxa"/>
            <w:tcBorders>
              <w:top w:val="nil"/>
              <w:left w:val="nil"/>
              <w:bottom w:val="nil"/>
              <w:right w:val="nil"/>
            </w:tcBorders>
            <w:shd w:val="clear" w:color="auto" w:fill="auto"/>
            <w:noWrap/>
            <w:vAlign w:val="bottom"/>
            <w:hideMark/>
          </w:tcPr>
          <w:p w14:paraId="1A485937" w14:textId="29B23A38" w:rsidR="0009163F" w:rsidRPr="00806827" w:rsidRDefault="0009163F" w:rsidP="0009163F">
            <w:pPr>
              <w:spacing w:after="0" w:line="300" w:lineRule="auto"/>
              <w:rPr>
                <w:color w:val="000000"/>
                <w:sz w:val="22"/>
              </w:rPr>
            </w:pPr>
            <w:r w:rsidRPr="00806827">
              <w:rPr>
                <w:color w:val="000000"/>
                <w:sz w:val="22"/>
              </w:rPr>
              <w:t>Anti</w:t>
            </w:r>
            <w:r w:rsidR="001B64C2" w:rsidRPr="00806827">
              <w:rPr>
                <w:color w:val="000000"/>
                <w:sz w:val="22"/>
              </w:rPr>
              <w:t>-</w:t>
            </w:r>
            <w:r w:rsidRPr="00806827">
              <w:rPr>
                <w:color w:val="000000"/>
                <w:sz w:val="22"/>
              </w:rPr>
              <w:t>hypertensives (yes/no)</w:t>
            </w:r>
          </w:p>
        </w:tc>
        <w:tc>
          <w:tcPr>
            <w:tcW w:w="1132" w:type="dxa"/>
            <w:tcBorders>
              <w:top w:val="nil"/>
              <w:left w:val="nil"/>
              <w:bottom w:val="nil"/>
              <w:right w:val="nil"/>
            </w:tcBorders>
            <w:shd w:val="clear" w:color="auto" w:fill="auto"/>
            <w:noWrap/>
            <w:hideMark/>
          </w:tcPr>
          <w:p w14:paraId="6493500C" w14:textId="52DCAE47" w:rsidR="0009163F" w:rsidRPr="00806827" w:rsidRDefault="0009163F" w:rsidP="0009163F">
            <w:pPr>
              <w:spacing w:after="0" w:line="300" w:lineRule="auto"/>
              <w:jc w:val="right"/>
              <w:rPr>
                <w:rFonts w:cs="Times New Roman"/>
                <w:color w:val="000000"/>
                <w:sz w:val="22"/>
              </w:rPr>
            </w:pPr>
            <w:r w:rsidRPr="00806827">
              <w:rPr>
                <w:rFonts w:cs="Times New Roman"/>
                <w:sz w:val="22"/>
              </w:rPr>
              <w:t>0.192</w:t>
            </w:r>
          </w:p>
        </w:tc>
        <w:tc>
          <w:tcPr>
            <w:tcW w:w="1053" w:type="dxa"/>
            <w:tcBorders>
              <w:top w:val="nil"/>
              <w:left w:val="nil"/>
              <w:bottom w:val="nil"/>
              <w:right w:val="nil"/>
            </w:tcBorders>
            <w:shd w:val="clear" w:color="auto" w:fill="auto"/>
            <w:noWrap/>
            <w:hideMark/>
          </w:tcPr>
          <w:p w14:paraId="0272B7A0" w14:textId="3E57AF9E" w:rsidR="0009163F" w:rsidRPr="00806827" w:rsidRDefault="0009163F" w:rsidP="0009163F">
            <w:pPr>
              <w:spacing w:after="0" w:line="300" w:lineRule="auto"/>
              <w:jc w:val="right"/>
              <w:rPr>
                <w:rFonts w:cs="Times New Roman"/>
                <w:color w:val="000000"/>
                <w:sz w:val="22"/>
              </w:rPr>
            </w:pPr>
            <w:r w:rsidRPr="00806827">
              <w:rPr>
                <w:rFonts w:cs="Times New Roman"/>
                <w:sz w:val="22"/>
              </w:rPr>
              <w:t>0.091</w:t>
            </w:r>
          </w:p>
        </w:tc>
        <w:tc>
          <w:tcPr>
            <w:tcW w:w="1055" w:type="dxa"/>
            <w:tcBorders>
              <w:top w:val="nil"/>
              <w:left w:val="nil"/>
              <w:bottom w:val="nil"/>
              <w:right w:val="nil"/>
            </w:tcBorders>
            <w:shd w:val="clear" w:color="auto" w:fill="auto"/>
            <w:noWrap/>
            <w:hideMark/>
          </w:tcPr>
          <w:p w14:paraId="05FB31BF" w14:textId="2228B694" w:rsidR="0009163F" w:rsidRPr="00806827" w:rsidRDefault="0009163F" w:rsidP="0009163F">
            <w:pPr>
              <w:spacing w:after="0" w:line="300" w:lineRule="auto"/>
              <w:jc w:val="right"/>
              <w:rPr>
                <w:rFonts w:cs="Times New Roman"/>
                <w:color w:val="000000"/>
                <w:sz w:val="22"/>
              </w:rPr>
            </w:pPr>
            <w:r w:rsidRPr="00806827">
              <w:rPr>
                <w:rFonts w:cs="Times New Roman"/>
                <w:sz w:val="22"/>
              </w:rPr>
              <w:t>0.293</w:t>
            </w:r>
          </w:p>
        </w:tc>
        <w:tc>
          <w:tcPr>
            <w:tcW w:w="1133" w:type="dxa"/>
            <w:tcBorders>
              <w:top w:val="nil"/>
              <w:left w:val="nil"/>
              <w:bottom w:val="nil"/>
              <w:right w:val="nil"/>
            </w:tcBorders>
            <w:shd w:val="clear" w:color="auto" w:fill="auto"/>
            <w:noWrap/>
            <w:hideMark/>
          </w:tcPr>
          <w:p w14:paraId="10B01DD8" w14:textId="4FD5AFAD" w:rsidR="0009163F" w:rsidRPr="00806827" w:rsidRDefault="0009163F" w:rsidP="0009163F">
            <w:pPr>
              <w:spacing w:after="0" w:line="300" w:lineRule="auto"/>
              <w:jc w:val="right"/>
              <w:rPr>
                <w:rFonts w:cs="Times New Roman"/>
                <w:color w:val="000000"/>
                <w:sz w:val="22"/>
              </w:rPr>
            </w:pPr>
            <w:r w:rsidRPr="00806827">
              <w:rPr>
                <w:rFonts w:cs="Times New Roman"/>
                <w:sz w:val="22"/>
              </w:rPr>
              <w:t>0.347</w:t>
            </w:r>
          </w:p>
        </w:tc>
        <w:tc>
          <w:tcPr>
            <w:tcW w:w="1054" w:type="dxa"/>
            <w:tcBorders>
              <w:top w:val="nil"/>
              <w:left w:val="nil"/>
              <w:bottom w:val="nil"/>
              <w:right w:val="nil"/>
            </w:tcBorders>
            <w:shd w:val="clear" w:color="auto" w:fill="auto"/>
            <w:noWrap/>
            <w:hideMark/>
          </w:tcPr>
          <w:p w14:paraId="4F75AD71" w14:textId="3C2A4025" w:rsidR="0009163F" w:rsidRPr="00806827" w:rsidRDefault="0009163F" w:rsidP="0009163F">
            <w:pPr>
              <w:spacing w:after="0" w:line="300" w:lineRule="auto"/>
              <w:jc w:val="right"/>
              <w:rPr>
                <w:rFonts w:cs="Times New Roman"/>
                <w:color w:val="000000"/>
                <w:sz w:val="22"/>
              </w:rPr>
            </w:pPr>
            <w:r w:rsidRPr="00806827">
              <w:rPr>
                <w:rFonts w:cs="Times New Roman"/>
                <w:sz w:val="22"/>
              </w:rPr>
              <w:t>0.190</w:t>
            </w:r>
          </w:p>
        </w:tc>
        <w:tc>
          <w:tcPr>
            <w:tcW w:w="1056" w:type="dxa"/>
            <w:tcBorders>
              <w:top w:val="nil"/>
              <w:left w:val="nil"/>
              <w:bottom w:val="nil"/>
              <w:right w:val="nil"/>
            </w:tcBorders>
            <w:shd w:val="clear" w:color="auto" w:fill="auto"/>
            <w:noWrap/>
            <w:hideMark/>
          </w:tcPr>
          <w:p w14:paraId="708BABAA" w14:textId="57FD262D" w:rsidR="0009163F" w:rsidRPr="00806827" w:rsidRDefault="0009163F" w:rsidP="0009163F">
            <w:pPr>
              <w:spacing w:after="0" w:line="300" w:lineRule="auto"/>
              <w:jc w:val="right"/>
              <w:rPr>
                <w:rFonts w:cs="Times New Roman"/>
                <w:color w:val="000000"/>
                <w:sz w:val="22"/>
              </w:rPr>
            </w:pPr>
            <w:r w:rsidRPr="00806827">
              <w:rPr>
                <w:rFonts w:cs="Times New Roman"/>
                <w:sz w:val="22"/>
              </w:rPr>
              <w:t>0.504</w:t>
            </w:r>
          </w:p>
        </w:tc>
      </w:tr>
      <w:tr w:rsidR="0009163F" w:rsidRPr="00806827" w14:paraId="46553B5C" w14:textId="77777777" w:rsidTr="0009163F">
        <w:trPr>
          <w:trHeight w:val="348"/>
        </w:trPr>
        <w:tc>
          <w:tcPr>
            <w:tcW w:w="5563" w:type="dxa"/>
            <w:tcBorders>
              <w:top w:val="nil"/>
              <w:left w:val="nil"/>
              <w:bottom w:val="nil"/>
              <w:right w:val="nil"/>
            </w:tcBorders>
            <w:shd w:val="clear" w:color="auto" w:fill="auto"/>
            <w:noWrap/>
            <w:vAlign w:val="bottom"/>
            <w:hideMark/>
          </w:tcPr>
          <w:p w14:paraId="3DFB87D6" w14:textId="77777777" w:rsidR="0009163F" w:rsidRPr="00806827" w:rsidRDefault="0009163F" w:rsidP="0009163F">
            <w:pPr>
              <w:spacing w:after="0" w:line="300" w:lineRule="auto"/>
              <w:rPr>
                <w:color w:val="000000"/>
                <w:sz w:val="22"/>
              </w:rPr>
            </w:pPr>
            <w:r w:rsidRPr="00806827">
              <w:rPr>
                <w:color w:val="000000"/>
                <w:sz w:val="22"/>
              </w:rPr>
              <w:t>Low HDL-cholesterol</w:t>
            </w:r>
            <w:r w:rsidRPr="00806827">
              <w:rPr>
                <w:color w:val="000000"/>
                <w:sz w:val="22"/>
                <w:vertAlign w:val="superscript"/>
              </w:rPr>
              <w:t>b</w:t>
            </w:r>
            <w:r w:rsidRPr="00806827">
              <w:rPr>
                <w:color w:val="000000"/>
                <w:sz w:val="22"/>
              </w:rPr>
              <w:t xml:space="preserve"> (yes/no)</w:t>
            </w:r>
          </w:p>
        </w:tc>
        <w:tc>
          <w:tcPr>
            <w:tcW w:w="1132" w:type="dxa"/>
            <w:tcBorders>
              <w:top w:val="nil"/>
              <w:left w:val="nil"/>
              <w:bottom w:val="nil"/>
              <w:right w:val="nil"/>
            </w:tcBorders>
            <w:shd w:val="clear" w:color="auto" w:fill="auto"/>
            <w:noWrap/>
            <w:hideMark/>
          </w:tcPr>
          <w:p w14:paraId="7596F24F" w14:textId="2ED24E44" w:rsidR="0009163F" w:rsidRPr="00806827" w:rsidRDefault="0009163F" w:rsidP="0009163F">
            <w:pPr>
              <w:spacing w:after="0" w:line="300" w:lineRule="auto"/>
              <w:jc w:val="right"/>
              <w:rPr>
                <w:rFonts w:cs="Times New Roman"/>
                <w:color w:val="000000"/>
                <w:sz w:val="22"/>
              </w:rPr>
            </w:pPr>
            <w:r w:rsidRPr="00806827">
              <w:rPr>
                <w:rFonts w:cs="Times New Roman"/>
                <w:sz w:val="22"/>
              </w:rPr>
              <w:t>0.324</w:t>
            </w:r>
          </w:p>
        </w:tc>
        <w:tc>
          <w:tcPr>
            <w:tcW w:w="1053" w:type="dxa"/>
            <w:tcBorders>
              <w:top w:val="nil"/>
              <w:left w:val="nil"/>
              <w:bottom w:val="nil"/>
              <w:right w:val="nil"/>
            </w:tcBorders>
            <w:shd w:val="clear" w:color="auto" w:fill="auto"/>
            <w:noWrap/>
            <w:hideMark/>
          </w:tcPr>
          <w:p w14:paraId="3ADAAB2C" w14:textId="14899F00" w:rsidR="0009163F" w:rsidRPr="00806827" w:rsidRDefault="0009163F" w:rsidP="0009163F">
            <w:pPr>
              <w:spacing w:after="0" w:line="300" w:lineRule="auto"/>
              <w:jc w:val="right"/>
              <w:rPr>
                <w:rFonts w:cs="Times New Roman"/>
                <w:color w:val="000000"/>
                <w:sz w:val="22"/>
              </w:rPr>
            </w:pPr>
            <w:r w:rsidRPr="00806827">
              <w:rPr>
                <w:rFonts w:cs="Times New Roman"/>
                <w:sz w:val="22"/>
              </w:rPr>
              <w:t>0.239</w:t>
            </w:r>
          </w:p>
        </w:tc>
        <w:tc>
          <w:tcPr>
            <w:tcW w:w="1055" w:type="dxa"/>
            <w:tcBorders>
              <w:top w:val="nil"/>
              <w:left w:val="nil"/>
              <w:bottom w:val="nil"/>
              <w:right w:val="nil"/>
            </w:tcBorders>
            <w:shd w:val="clear" w:color="auto" w:fill="auto"/>
            <w:noWrap/>
            <w:hideMark/>
          </w:tcPr>
          <w:p w14:paraId="71E5952B" w14:textId="30458F63" w:rsidR="0009163F" w:rsidRPr="00806827" w:rsidRDefault="0009163F" w:rsidP="0009163F">
            <w:pPr>
              <w:spacing w:after="0" w:line="300" w:lineRule="auto"/>
              <w:jc w:val="right"/>
              <w:rPr>
                <w:rFonts w:cs="Times New Roman"/>
                <w:color w:val="000000"/>
                <w:sz w:val="22"/>
              </w:rPr>
            </w:pPr>
            <w:r w:rsidRPr="00806827">
              <w:rPr>
                <w:rFonts w:cs="Times New Roman"/>
                <w:sz w:val="22"/>
              </w:rPr>
              <w:t>0.408</w:t>
            </w:r>
          </w:p>
        </w:tc>
        <w:tc>
          <w:tcPr>
            <w:tcW w:w="1133" w:type="dxa"/>
            <w:tcBorders>
              <w:top w:val="nil"/>
              <w:left w:val="nil"/>
              <w:bottom w:val="nil"/>
              <w:right w:val="nil"/>
            </w:tcBorders>
            <w:shd w:val="clear" w:color="auto" w:fill="auto"/>
            <w:noWrap/>
            <w:hideMark/>
          </w:tcPr>
          <w:p w14:paraId="0F9878D4" w14:textId="7E203BA6" w:rsidR="0009163F" w:rsidRPr="00806827" w:rsidRDefault="0009163F" w:rsidP="0009163F">
            <w:pPr>
              <w:spacing w:after="0" w:line="300" w:lineRule="auto"/>
              <w:jc w:val="right"/>
              <w:rPr>
                <w:rFonts w:cs="Times New Roman"/>
                <w:color w:val="000000"/>
                <w:sz w:val="22"/>
              </w:rPr>
            </w:pPr>
            <w:r w:rsidRPr="00806827">
              <w:rPr>
                <w:rFonts w:cs="Times New Roman"/>
                <w:sz w:val="22"/>
              </w:rPr>
              <w:t>0.499</w:t>
            </w:r>
          </w:p>
        </w:tc>
        <w:tc>
          <w:tcPr>
            <w:tcW w:w="1054" w:type="dxa"/>
            <w:tcBorders>
              <w:top w:val="nil"/>
              <w:left w:val="nil"/>
              <w:bottom w:val="nil"/>
              <w:right w:val="nil"/>
            </w:tcBorders>
            <w:shd w:val="clear" w:color="auto" w:fill="auto"/>
            <w:noWrap/>
            <w:hideMark/>
          </w:tcPr>
          <w:p w14:paraId="67600733" w14:textId="6DEC0C63" w:rsidR="0009163F" w:rsidRPr="00806827" w:rsidRDefault="0009163F" w:rsidP="0009163F">
            <w:pPr>
              <w:spacing w:after="0" w:line="300" w:lineRule="auto"/>
              <w:jc w:val="right"/>
              <w:rPr>
                <w:rFonts w:cs="Times New Roman"/>
                <w:color w:val="000000"/>
                <w:sz w:val="22"/>
              </w:rPr>
            </w:pPr>
            <w:r w:rsidRPr="00806827">
              <w:rPr>
                <w:rFonts w:cs="Times New Roman"/>
                <w:sz w:val="22"/>
              </w:rPr>
              <w:t>0.372</w:t>
            </w:r>
          </w:p>
        </w:tc>
        <w:tc>
          <w:tcPr>
            <w:tcW w:w="1056" w:type="dxa"/>
            <w:tcBorders>
              <w:top w:val="nil"/>
              <w:left w:val="nil"/>
              <w:bottom w:val="nil"/>
              <w:right w:val="nil"/>
            </w:tcBorders>
            <w:shd w:val="clear" w:color="auto" w:fill="auto"/>
            <w:noWrap/>
            <w:hideMark/>
          </w:tcPr>
          <w:p w14:paraId="6A01137B" w14:textId="1A2BAFB7" w:rsidR="0009163F" w:rsidRPr="00806827" w:rsidRDefault="0009163F" w:rsidP="0009163F">
            <w:pPr>
              <w:spacing w:after="0" w:line="300" w:lineRule="auto"/>
              <w:jc w:val="right"/>
              <w:rPr>
                <w:rFonts w:cs="Times New Roman"/>
                <w:color w:val="000000"/>
                <w:sz w:val="22"/>
              </w:rPr>
            </w:pPr>
            <w:r w:rsidRPr="00806827">
              <w:rPr>
                <w:rFonts w:cs="Times New Roman"/>
                <w:sz w:val="22"/>
              </w:rPr>
              <w:t>0.627</w:t>
            </w:r>
          </w:p>
        </w:tc>
      </w:tr>
      <w:tr w:rsidR="0009163F" w:rsidRPr="00806827" w14:paraId="578B5DBC" w14:textId="77777777" w:rsidTr="0009163F">
        <w:trPr>
          <w:trHeight w:val="314"/>
        </w:trPr>
        <w:tc>
          <w:tcPr>
            <w:tcW w:w="5563" w:type="dxa"/>
            <w:tcBorders>
              <w:top w:val="nil"/>
              <w:left w:val="nil"/>
              <w:bottom w:val="nil"/>
              <w:right w:val="nil"/>
            </w:tcBorders>
            <w:shd w:val="clear" w:color="auto" w:fill="auto"/>
            <w:noWrap/>
            <w:vAlign w:val="bottom"/>
            <w:hideMark/>
          </w:tcPr>
          <w:p w14:paraId="4ED324EB" w14:textId="5B65A34B" w:rsidR="0009163F" w:rsidRPr="00806827" w:rsidRDefault="00415B44" w:rsidP="0009163F">
            <w:pPr>
              <w:spacing w:after="0" w:line="300" w:lineRule="auto"/>
              <w:rPr>
                <w:color w:val="000000"/>
                <w:sz w:val="22"/>
              </w:rPr>
            </w:pPr>
            <w:r w:rsidRPr="00806827">
              <w:rPr>
                <w:color w:val="000000"/>
                <w:sz w:val="22"/>
              </w:rPr>
              <w:t xml:space="preserve">Family history of </w:t>
            </w:r>
            <w:r w:rsidR="00664425" w:rsidRPr="00806827">
              <w:rPr>
                <w:color w:val="000000"/>
                <w:sz w:val="22"/>
              </w:rPr>
              <w:t xml:space="preserve">premature </w:t>
            </w:r>
            <w:r w:rsidRPr="00806827">
              <w:rPr>
                <w:color w:val="000000"/>
                <w:sz w:val="22"/>
              </w:rPr>
              <w:t>MI</w:t>
            </w:r>
            <w:r w:rsidR="0009163F" w:rsidRPr="00806827">
              <w:rPr>
                <w:color w:val="000000"/>
                <w:sz w:val="22"/>
                <w:vertAlign w:val="superscript"/>
              </w:rPr>
              <w:t>c</w:t>
            </w:r>
            <w:r w:rsidR="0009163F" w:rsidRPr="00806827">
              <w:rPr>
                <w:color w:val="000000"/>
                <w:sz w:val="22"/>
              </w:rPr>
              <w:t>: One family member</w:t>
            </w:r>
          </w:p>
        </w:tc>
        <w:tc>
          <w:tcPr>
            <w:tcW w:w="1132" w:type="dxa"/>
            <w:tcBorders>
              <w:top w:val="nil"/>
              <w:left w:val="nil"/>
              <w:bottom w:val="nil"/>
              <w:right w:val="nil"/>
            </w:tcBorders>
            <w:shd w:val="clear" w:color="auto" w:fill="auto"/>
            <w:noWrap/>
            <w:hideMark/>
          </w:tcPr>
          <w:p w14:paraId="153C25D0" w14:textId="4F929C7D" w:rsidR="0009163F" w:rsidRPr="00806827" w:rsidRDefault="0009163F" w:rsidP="0009163F">
            <w:pPr>
              <w:spacing w:after="0" w:line="300" w:lineRule="auto"/>
              <w:jc w:val="right"/>
              <w:rPr>
                <w:rFonts w:cs="Times New Roman"/>
                <w:color w:val="000000"/>
                <w:sz w:val="22"/>
              </w:rPr>
            </w:pPr>
            <w:r w:rsidRPr="00806827">
              <w:rPr>
                <w:rFonts w:cs="Times New Roman"/>
                <w:sz w:val="22"/>
              </w:rPr>
              <w:t>0.254</w:t>
            </w:r>
          </w:p>
        </w:tc>
        <w:tc>
          <w:tcPr>
            <w:tcW w:w="1053" w:type="dxa"/>
            <w:tcBorders>
              <w:top w:val="nil"/>
              <w:left w:val="nil"/>
              <w:bottom w:val="nil"/>
              <w:right w:val="nil"/>
            </w:tcBorders>
            <w:shd w:val="clear" w:color="auto" w:fill="auto"/>
            <w:noWrap/>
            <w:hideMark/>
          </w:tcPr>
          <w:p w14:paraId="3F835941" w14:textId="40D66758" w:rsidR="0009163F" w:rsidRPr="00806827" w:rsidRDefault="0009163F" w:rsidP="0009163F">
            <w:pPr>
              <w:spacing w:after="0" w:line="300" w:lineRule="auto"/>
              <w:jc w:val="right"/>
              <w:rPr>
                <w:rFonts w:cs="Times New Roman"/>
                <w:color w:val="000000"/>
                <w:sz w:val="22"/>
              </w:rPr>
            </w:pPr>
            <w:r w:rsidRPr="00806827">
              <w:rPr>
                <w:rFonts w:cs="Times New Roman"/>
                <w:sz w:val="22"/>
              </w:rPr>
              <w:t>0.142</w:t>
            </w:r>
          </w:p>
        </w:tc>
        <w:tc>
          <w:tcPr>
            <w:tcW w:w="1055" w:type="dxa"/>
            <w:tcBorders>
              <w:top w:val="nil"/>
              <w:left w:val="nil"/>
              <w:bottom w:val="nil"/>
              <w:right w:val="nil"/>
            </w:tcBorders>
            <w:shd w:val="clear" w:color="auto" w:fill="auto"/>
            <w:noWrap/>
            <w:hideMark/>
          </w:tcPr>
          <w:p w14:paraId="2D03F166" w14:textId="5D530F9E" w:rsidR="0009163F" w:rsidRPr="00806827" w:rsidRDefault="0009163F" w:rsidP="0009163F">
            <w:pPr>
              <w:spacing w:after="0" w:line="300" w:lineRule="auto"/>
              <w:jc w:val="right"/>
              <w:rPr>
                <w:rFonts w:cs="Times New Roman"/>
                <w:color w:val="000000"/>
                <w:sz w:val="22"/>
              </w:rPr>
            </w:pPr>
            <w:r w:rsidRPr="00806827">
              <w:rPr>
                <w:rFonts w:cs="Times New Roman"/>
                <w:sz w:val="22"/>
              </w:rPr>
              <w:t>0.366</w:t>
            </w:r>
          </w:p>
        </w:tc>
        <w:tc>
          <w:tcPr>
            <w:tcW w:w="1133" w:type="dxa"/>
            <w:vMerge w:val="restart"/>
            <w:tcBorders>
              <w:top w:val="nil"/>
              <w:left w:val="nil"/>
              <w:bottom w:val="nil"/>
              <w:right w:val="nil"/>
            </w:tcBorders>
            <w:shd w:val="clear" w:color="auto" w:fill="auto"/>
            <w:noWrap/>
            <w:hideMark/>
          </w:tcPr>
          <w:p w14:paraId="71237A7A" w14:textId="77777777" w:rsidR="0009163F" w:rsidRPr="00806827" w:rsidRDefault="0009163F" w:rsidP="0009163F">
            <w:pPr>
              <w:spacing w:after="0" w:line="300" w:lineRule="auto"/>
              <w:jc w:val="right"/>
              <w:rPr>
                <w:rFonts w:cs="Times New Roman"/>
                <w:color w:val="000000"/>
                <w:sz w:val="22"/>
              </w:rPr>
            </w:pPr>
          </w:p>
          <w:p w14:paraId="302E24BD" w14:textId="2DB76ED4" w:rsidR="0009163F" w:rsidRPr="00806827" w:rsidRDefault="0009163F" w:rsidP="0009163F">
            <w:pPr>
              <w:spacing w:after="0" w:line="300" w:lineRule="auto"/>
              <w:jc w:val="right"/>
              <w:rPr>
                <w:rFonts w:cs="Times New Roman"/>
                <w:color w:val="000000"/>
                <w:sz w:val="22"/>
              </w:rPr>
            </w:pPr>
          </w:p>
        </w:tc>
        <w:tc>
          <w:tcPr>
            <w:tcW w:w="1054" w:type="dxa"/>
            <w:vMerge w:val="restart"/>
            <w:tcBorders>
              <w:top w:val="nil"/>
              <w:left w:val="nil"/>
              <w:bottom w:val="nil"/>
              <w:right w:val="nil"/>
            </w:tcBorders>
            <w:shd w:val="clear" w:color="auto" w:fill="auto"/>
            <w:noWrap/>
            <w:hideMark/>
          </w:tcPr>
          <w:p w14:paraId="253D8276" w14:textId="77777777" w:rsidR="0009163F" w:rsidRPr="00806827" w:rsidRDefault="0009163F" w:rsidP="0009163F">
            <w:pPr>
              <w:spacing w:after="0" w:line="300" w:lineRule="auto"/>
              <w:jc w:val="right"/>
              <w:rPr>
                <w:rFonts w:cs="Times New Roman"/>
                <w:sz w:val="22"/>
              </w:rPr>
            </w:pPr>
          </w:p>
          <w:p w14:paraId="52A28BC1" w14:textId="791E94C0" w:rsidR="0009163F" w:rsidRPr="00806827" w:rsidRDefault="0009163F" w:rsidP="0009163F">
            <w:pPr>
              <w:spacing w:after="0" w:line="300" w:lineRule="auto"/>
              <w:jc w:val="right"/>
              <w:rPr>
                <w:rFonts w:cs="Times New Roman"/>
                <w:sz w:val="22"/>
              </w:rPr>
            </w:pPr>
          </w:p>
        </w:tc>
        <w:tc>
          <w:tcPr>
            <w:tcW w:w="1056" w:type="dxa"/>
            <w:vMerge w:val="restart"/>
            <w:tcBorders>
              <w:top w:val="nil"/>
              <w:left w:val="nil"/>
              <w:bottom w:val="nil"/>
              <w:right w:val="nil"/>
            </w:tcBorders>
            <w:shd w:val="clear" w:color="auto" w:fill="auto"/>
            <w:noWrap/>
            <w:hideMark/>
          </w:tcPr>
          <w:p w14:paraId="1F8C8442" w14:textId="77777777" w:rsidR="0009163F" w:rsidRPr="00806827" w:rsidRDefault="0009163F" w:rsidP="0009163F">
            <w:pPr>
              <w:spacing w:after="0" w:line="300" w:lineRule="auto"/>
              <w:jc w:val="right"/>
              <w:rPr>
                <w:rFonts w:cs="Times New Roman"/>
                <w:sz w:val="22"/>
              </w:rPr>
            </w:pPr>
          </w:p>
          <w:p w14:paraId="44F3C9A3" w14:textId="43C2B452" w:rsidR="0009163F" w:rsidRPr="00806827" w:rsidRDefault="0009163F" w:rsidP="0009163F">
            <w:pPr>
              <w:spacing w:after="0" w:line="300" w:lineRule="auto"/>
              <w:jc w:val="right"/>
              <w:rPr>
                <w:rFonts w:cs="Times New Roman"/>
                <w:sz w:val="22"/>
              </w:rPr>
            </w:pPr>
          </w:p>
        </w:tc>
      </w:tr>
      <w:tr w:rsidR="0009163F" w:rsidRPr="00806827" w14:paraId="1D534185" w14:textId="77777777" w:rsidTr="0009163F">
        <w:trPr>
          <w:trHeight w:val="303"/>
        </w:trPr>
        <w:tc>
          <w:tcPr>
            <w:tcW w:w="5563" w:type="dxa"/>
            <w:tcBorders>
              <w:top w:val="nil"/>
              <w:left w:val="nil"/>
              <w:bottom w:val="nil"/>
              <w:right w:val="nil"/>
            </w:tcBorders>
            <w:shd w:val="clear" w:color="auto" w:fill="auto"/>
            <w:noWrap/>
            <w:vAlign w:val="bottom"/>
            <w:hideMark/>
          </w:tcPr>
          <w:p w14:paraId="1897E83D" w14:textId="65366935" w:rsidR="0009163F" w:rsidRPr="00806827" w:rsidRDefault="0009163F" w:rsidP="0009163F">
            <w:pPr>
              <w:spacing w:after="0" w:line="300" w:lineRule="auto"/>
              <w:rPr>
                <w:color w:val="000000"/>
                <w:sz w:val="22"/>
              </w:rPr>
            </w:pPr>
            <w:r w:rsidRPr="00806827">
              <w:rPr>
                <w:color w:val="000000"/>
                <w:sz w:val="22"/>
              </w:rPr>
              <w:t xml:space="preserve">Family history of </w:t>
            </w:r>
            <w:r w:rsidR="00664425" w:rsidRPr="00806827">
              <w:rPr>
                <w:color w:val="000000"/>
                <w:sz w:val="22"/>
              </w:rPr>
              <w:t xml:space="preserve">premature </w:t>
            </w:r>
            <w:r w:rsidR="00415B44" w:rsidRPr="00806827">
              <w:rPr>
                <w:color w:val="000000"/>
                <w:sz w:val="22"/>
              </w:rPr>
              <w:t>MI</w:t>
            </w:r>
            <w:r w:rsidRPr="00806827">
              <w:rPr>
                <w:color w:val="000000"/>
                <w:sz w:val="22"/>
                <w:vertAlign w:val="superscript"/>
              </w:rPr>
              <w:t>c</w:t>
            </w:r>
            <w:r w:rsidRPr="00806827">
              <w:rPr>
                <w:color w:val="000000"/>
                <w:sz w:val="22"/>
              </w:rPr>
              <w:t>: At least two family members</w:t>
            </w:r>
          </w:p>
        </w:tc>
        <w:tc>
          <w:tcPr>
            <w:tcW w:w="1132" w:type="dxa"/>
            <w:tcBorders>
              <w:top w:val="nil"/>
              <w:left w:val="nil"/>
              <w:bottom w:val="nil"/>
              <w:right w:val="nil"/>
            </w:tcBorders>
            <w:shd w:val="clear" w:color="auto" w:fill="auto"/>
            <w:noWrap/>
            <w:hideMark/>
          </w:tcPr>
          <w:p w14:paraId="16B53811" w14:textId="30635D28" w:rsidR="0009163F" w:rsidRPr="00806827" w:rsidRDefault="0009163F" w:rsidP="0009163F">
            <w:pPr>
              <w:spacing w:after="0" w:line="300" w:lineRule="auto"/>
              <w:jc w:val="right"/>
              <w:rPr>
                <w:rFonts w:cs="Times New Roman"/>
                <w:color w:val="000000"/>
                <w:sz w:val="22"/>
              </w:rPr>
            </w:pPr>
            <w:r w:rsidRPr="00806827">
              <w:rPr>
                <w:rFonts w:cs="Times New Roman"/>
                <w:sz w:val="22"/>
              </w:rPr>
              <w:t>0.549</w:t>
            </w:r>
          </w:p>
        </w:tc>
        <w:tc>
          <w:tcPr>
            <w:tcW w:w="1053" w:type="dxa"/>
            <w:tcBorders>
              <w:top w:val="nil"/>
              <w:left w:val="nil"/>
              <w:bottom w:val="nil"/>
              <w:right w:val="nil"/>
            </w:tcBorders>
            <w:shd w:val="clear" w:color="auto" w:fill="auto"/>
            <w:noWrap/>
            <w:hideMark/>
          </w:tcPr>
          <w:p w14:paraId="413497BA" w14:textId="770A29B4" w:rsidR="0009163F" w:rsidRPr="00806827" w:rsidRDefault="0009163F" w:rsidP="0009163F">
            <w:pPr>
              <w:spacing w:after="0" w:line="300" w:lineRule="auto"/>
              <w:jc w:val="right"/>
              <w:rPr>
                <w:rFonts w:cs="Times New Roman"/>
                <w:color w:val="000000"/>
                <w:sz w:val="22"/>
              </w:rPr>
            </w:pPr>
            <w:r w:rsidRPr="00806827">
              <w:rPr>
                <w:rFonts w:cs="Times New Roman"/>
                <w:sz w:val="22"/>
              </w:rPr>
              <w:t>0.321</w:t>
            </w:r>
          </w:p>
        </w:tc>
        <w:tc>
          <w:tcPr>
            <w:tcW w:w="1055" w:type="dxa"/>
            <w:tcBorders>
              <w:top w:val="nil"/>
              <w:left w:val="nil"/>
              <w:bottom w:val="nil"/>
              <w:right w:val="nil"/>
            </w:tcBorders>
            <w:shd w:val="clear" w:color="auto" w:fill="auto"/>
            <w:noWrap/>
            <w:hideMark/>
          </w:tcPr>
          <w:p w14:paraId="19AD9337" w14:textId="72186A6B" w:rsidR="0009163F" w:rsidRPr="00806827" w:rsidRDefault="0009163F" w:rsidP="0009163F">
            <w:pPr>
              <w:spacing w:after="0" w:line="300" w:lineRule="auto"/>
              <w:jc w:val="right"/>
              <w:rPr>
                <w:rFonts w:cs="Times New Roman"/>
                <w:color w:val="000000"/>
                <w:sz w:val="22"/>
              </w:rPr>
            </w:pPr>
            <w:r w:rsidRPr="00806827">
              <w:rPr>
                <w:rFonts w:cs="Times New Roman"/>
                <w:sz w:val="22"/>
              </w:rPr>
              <w:t>0.777</w:t>
            </w:r>
          </w:p>
        </w:tc>
        <w:tc>
          <w:tcPr>
            <w:tcW w:w="1133" w:type="dxa"/>
            <w:vMerge/>
            <w:tcBorders>
              <w:top w:val="nil"/>
              <w:left w:val="nil"/>
              <w:bottom w:val="nil"/>
              <w:right w:val="nil"/>
            </w:tcBorders>
            <w:hideMark/>
          </w:tcPr>
          <w:p w14:paraId="32F553E3" w14:textId="77777777" w:rsidR="0009163F" w:rsidRPr="00806827" w:rsidRDefault="0009163F" w:rsidP="0009163F">
            <w:pPr>
              <w:spacing w:after="0" w:line="300" w:lineRule="auto"/>
              <w:jc w:val="right"/>
              <w:rPr>
                <w:rFonts w:cs="Times New Roman"/>
                <w:color w:val="000000"/>
                <w:sz w:val="22"/>
              </w:rPr>
            </w:pPr>
          </w:p>
        </w:tc>
        <w:tc>
          <w:tcPr>
            <w:tcW w:w="1054" w:type="dxa"/>
            <w:vMerge/>
            <w:tcBorders>
              <w:top w:val="nil"/>
              <w:left w:val="nil"/>
              <w:bottom w:val="nil"/>
              <w:right w:val="nil"/>
            </w:tcBorders>
            <w:hideMark/>
          </w:tcPr>
          <w:p w14:paraId="089FFA11" w14:textId="77777777" w:rsidR="0009163F" w:rsidRPr="00806827" w:rsidRDefault="0009163F" w:rsidP="0009163F">
            <w:pPr>
              <w:spacing w:after="0" w:line="300" w:lineRule="auto"/>
              <w:jc w:val="right"/>
              <w:rPr>
                <w:rFonts w:cs="Times New Roman"/>
                <w:sz w:val="22"/>
              </w:rPr>
            </w:pPr>
          </w:p>
        </w:tc>
        <w:tc>
          <w:tcPr>
            <w:tcW w:w="1056" w:type="dxa"/>
            <w:vMerge/>
            <w:tcBorders>
              <w:top w:val="nil"/>
              <w:left w:val="nil"/>
              <w:bottom w:val="nil"/>
              <w:right w:val="nil"/>
            </w:tcBorders>
            <w:hideMark/>
          </w:tcPr>
          <w:p w14:paraId="7C492667" w14:textId="77777777" w:rsidR="0009163F" w:rsidRPr="00806827" w:rsidRDefault="0009163F" w:rsidP="0009163F">
            <w:pPr>
              <w:spacing w:after="0" w:line="300" w:lineRule="auto"/>
              <w:jc w:val="right"/>
              <w:rPr>
                <w:rFonts w:cs="Times New Roman"/>
                <w:sz w:val="22"/>
              </w:rPr>
            </w:pPr>
          </w:p>
        </w:tc>
      </w:tr>
      <w:tr w:rsidR="0009163F" w:rsidRPr="00806827" w14:paraId="069807D6" w14:textId="77777777" w:rsidTr="0009163F">
        <w:trPr>
          <w:trHeight w:val="296"/>
        </w:trPr>
        <w:tc>
          <w:tcPr>
            <w:tcW w:w="5563" w:type="dxa"/>
            <w:tcBorders>
              <w:top w:val="nil"/>
              <w:left w:val="nil"/>
              <w:bottom w:val="nil"/>
              <w:right w:val="nil"/>
            </w:tcBorders>
            <w:shd w:val="clear" w:color="auto" w:fill="auto"/>
            <w:noWrap/>
            <w:vAlign w:val="bottom"/>
            <w:hideMark/>
          </w:tcPr>
          <w:p w14:paraId="1E0547C9" w14:textId="736F04D8" w:rsidR="0009163F" w:rsidRPr="00806827" w:rsidRDefault="0009163F" w:rsidP="0009163F">
            <w:pPr>
              <w:spacing w:after="0" w:line="300" w:lineRule="auto"/>
              <w:rPr>
                <w:color w:val="000000"/>
                <w:sz w:val="22"/>
              </w:rPr>
            </w:pPr>
            <w:r w:rsidRPr="00806827">
              <w:rPr>
                <w:color w:val="000000"/>
                <w:sz w:val="22"/>
              </w:rPr>
              <w:t xml:space="preserve">Family history of </w:t>
            </w:r>
            <w:r w:rsidR="00664425" w:rsidRPr="00806827">
              <w:rPr>
                <w:color w:val="000000"/>
                <w:sz w:val="22"/>
              </w:rPr>
              <w:t xml:space="preserve">premature </w:t>
            </w:r>
            <w:r w:rsidR="00415B44" w:rsidRPr="00806827">
              <w:rPr>
                <w:color w:val="000000"/>
                <w:sz w:val="22"/>
              </w:rPr>
              <w:t>MI</w:t>
            </w:r>
            <w:r w:rsidRPr="00806827">
              <w:rPr>
                <w:color w:val="000000"/>
                <w:sz w:val="22"/>
                <w:vertAlign w:val="superscript"/>
              </w:rPr>
              <w:t xml:space="preserve">c </w:t>
            </w:r>
            <w:r w:rsidRPr="00806827">
              <w:rPr>
                <w:color w:val="000000"/>
                <w:sz w:val="22"/>
              </w:rPr>
              <w:t>(yes/no)</w:t>
            </w:r>
            <w:r w:rsidRPr="00806827">
              <w:rPr>
                <w:color w:val="000000"/>
                <w:sz w:val="22"/>
                <w:vertAlign w:val="superscript"/>
              </w:rPr>
              <w:t xml:space="preserve"> </w:t>
            </w:r>
          </w:p>
        </w:tc>
        <w:tc>
          <w:tcPr>
            <w:tcW w:w="1132" w:type="dxa"/>
            <w:tcBorders>
              <w:top w:val="nil"/>
              <w:left w:val="nil"/>
              <w:bottom w:val="nil"/>
              <w:right w:val="nil"/>
            </w:tcBorders>
            <w:shd w:val="clear" w:color="auto" w:fill="auto"/>
            <w:noWrap/>
            <w:hideMark/>
          </w:tcPr>
          <w:p w14:paraId="4B9FB3E6" w14:textId="77777777" w:rsidR="0009163F" w:rsidRPr="00806827" w:rsidRDefault="0009163F" w:rsidP="0009163F">
            <w:pPr>
              <w:spacing w:after="0" w:line="300" w:lineRule="auto"/>
              <w:rPr>
                <w:rFonts w:cs="Times New Roman"/>
                <w:color w:val="000000"/>
                <w:sz w:val="22"/>
              </w:rPr>
            </w:pPr>
          </w:p>
        </w:tc>
        <w:tc>
          <w:tcPr>
            <w:tcW w:w="1053" w:type="dxa"/>
            <w:tcBorders>
              <w:top w:val="nil"/>
              <w:left w:val="nil"/>
              <w:bottom w:val="nil"/>
              <w:right w:val="nil"/>
            </w:tcBorders>
            <w:shd w:val="clear" w:color="auto" w:fill="auto"/>
            <w:noWrap/>
            <w:hideMark/>
          </w:tcPr>
          <w:p w14:paraId="48C55C24" w14:textId="77777777" w:rsidR="0009163F" w:rsidRPr="00806827" w:rsidRDefault="0009163F" w:rsidP="0009163F">
            <w:pPr>
              <w:spacing w:after="0" w:line="300" w:lineRule="auto"/>
              <w:rPr>
                <w:rFonts w:cs="Times New Roman"/>
                <w:sz w:val="22"/>
              </w:rPr>
            </w:pPr>
          </w:p>
        </w:tc>
        <w:tc>
          <w:tcPr>
            <w:tcW w:w="1055" w:type="dxa"/>
            <w:tcBorders>
              <w:top w:val="nil"/>
              <w:left w:val="nil"/>
              <w:bottom w:val="nil"/>
              <w:right w:val="nil"/>
            </w:tcBorders>
            <w:shd w:val="clear" w:color="auto" w:fill="auto"/>
            <w:noWrap/>
            <w:hideMark/>
          </w:tcPr>
          <w:p w14:paraId="566CA5E5" w14:textId="77777777" w:rsidR="0009163F" w:rsidRPr="00806827" w:rsidRDefault="0009163F" w:rsidP="0009163F">
            <w:pPr>
              <w:spacing w:after="0" w:line="300" w:lineRule="auto"/>
              <w:rPr>
                <w:rFonts w:cs="Times New Roman"/>
                <w:sz w:val="22"/>
              </w:rPr>
            </w:pPr>
          </w:p>
        </w:tc>
        <w:tc>
          <w:tcPr>
            <w:tcW w:w="1133" w:type="dxa"/>
            <w:tcBorders>
              <w:top w:val="nil"/>
              <w:left w:val="nil"/>
              <w:bottom w:val="nil"/>
              <w:right w:val="nil"/>
            </w:tcBorders>
            <w:shd w:val="clear" w:color="auto" w:fill="auto"/>
            <w:noWrap/>
            <w:hideMark/>
          </w:tcPr>
          <w:p w14:paraId="212533B6" w14:textId="4F0B4A34" w:rsidR="0009163F" w:rsidRPr="00806827" w:rsidRDefault="0009163F" w:rsidP="0009163F">
            <w:pPr>
              <w:spacing w:after="0" w:line="300" w:lineRule="auto"/>
              <w:jc w:val="right"/>
              <w:rPr>
                <w:rFonts w:cs="Times New Roman"/>
                <w:color w:val="000000"/>
                <w:sz w:val="22"/>
              </w:rPr>
            </w:pPr>
            <w:r w:rsidRPr="00806827">
              <w:rPr>
                <w:rFonts w:cs="Times New Roman"/>
                <w:sz w:val="22"/>
              </w:rPr>
              <w:t>0.422</w:t>
            </w:r>
          </w:p>
        </w:tc>
        <w:tc>
          <w:tcPr>
            <w:tcW w:w="1054" w:type="dxa"/>
            <w:tcBorders>
              <w:top w:val="nil"/>
              <w:left w:val="nil"/>
              <w:bottom w:val="nil"/>
              <w:right w:val="nil"/>
            </w:tcBorders>
            <w:shd w:val="clear" w:color="auto" w:fill="auto"/>
            <w:noWrap/>
            <w:hideMark/>
          </w:tcPr>
          <w:p w14:paraId="2B3D87B6" w14:textId="1EFAF489" w:rsidR="0009163F" w:rsidRPr="00806827" w:rsidRDefault="0009163F" w:rsidP="0009163F">
            <w:pPr>
              <w:spacing w:after="0" w:line="300" w:lineRule="auto"/>
              <w:jc w:val="right"/>
              <w:rPr>
                <w:rFonts w:cs="Times New Roman"/>
                <w:color w:val="000000"/>
                <w:sz w:val="22"/>
              </w:rPr>
            </w:pPr>
            <w:r w:rsidRPr="00806827">
              <w:rPr>
                <w:rFonts w:cs="Times New Roman"/>
                <w:sz w:val="22"/>
              </w:rPr>
              <w:t>0.272</w:t>
            </w:r>
          </w:p>
        </w:tc>
        <w:tc>
          <w:tcPr>
            <w:tcW w:w="1056" w:type="dxa"/>
            <w:tcBorders>
              <w:top w:val="nil"/>
              <w:left w:val="nil"/>
              <w:bottom w:val="nil"/>
              <w:right w:val="nil"/>
            </w:tcBorders>
            <w:shd w:val="clear" w:color="auto" w:fill="auto"/>
            <w:noWrap/>
            <w:hideMark/>
          </w:tcPr>
          <w:p w14:paraId="728C2C9A" w14:textId="0EC40FC3" w:rsidR="0009163F" w:rsidRPr="00806827" w:rsidRDefault="0009163F" w:rsidP="0009163F">
            <w:pPr>
              <w:spacing w:after="0" w:line="300" w:lineRule="auto"/>
              <w:jc w:val="right"/>
              <w:rPr>
                <w:rFonts w:cs="Times New Roman"/>
                <w:color w:val="000000"/>
                <w:sz w:val="22"/>
              </w:rPr>
            </w:pPr>
            <w:r w:rsidRPr="00806827">
              <w:rPr>
                <w:rFonts w:cs="Times New Roman"/>
                <w:sz w:val="22"/>
              </w:rPr>
              <w:t>0.573</w:t>
            </w:r>
          </w:p>
        </w:tc>
      </w:tr>
      <w:tr w:rsidR="0009163F" w:rsidRPr="00806827" w14:paraId="7681C2A7" w14:textId="77777777" w:rsidTr="0009163F">
        <w:trPr>
          <w:trHeight w:val="94"/>
        </w:trPr>
        <w:tc>
          <w:tcPr>
            <w:tcW w:w="5563" w:type="dxa"/>
            <w:tcBorders>
              <w:top w:val="nil"/>
              <w:left w:val="nil"/>
              <w:bottom w:val="nil"/>
              <w:right w:val="nil"/>
            </w:tcBorders>
            <w:shd w:val="clear" w:color="auto" w:fill="auto"/>
            <w:noWrap/>
            <w:vAlign w:val="bottom"/>
            <w:hideMark/>
          </w:tcPr>
          <w:p w14:paraId="117141D6" w14:textId="77777777" w:rsidR="0009163F" w:rsidRPr="00806827" w:rsidRDefault="0009163F" w:rsidP="0009163F">
            <w:pPr>
              <w:spacing w:after="0" w:line="300" w:lineRule="auto"/>
              <w:jc w:val="right"/>
              <w:rPr>
                <w:color w:val="000000"/>
                <w:sz w:val="22"/>
              </w:rPr>
            </w:pPr>
          </w:p>
        </w:tc>
        <w:tc>
          <w:tcPr>
            <w:tcW w:w="1132" w:type="dxa"/>
            <w:tcBorders>
              <w:top w:val="nil"/>
              <w:left w:val="nil"/>
              <w:bottom w:val="nil"/>
              <w:right w:val="nil"/>
            </w:tcBorders>
            <w:shd w:val="clear" w:color="auto" w:fill="auto"/>
            <w:noWrap/>
            <w:hideMark/>
          </w:tcPr>
          <w:p w14:paraId="40F75ED9" w14:textId="77777777" w:rsidR="0009163F" w:rsidRPr="00806827" w:rsidRDefault="0009163F" w:rsidP="0009163F">
            <w:pPr>
              <w:spacing w:after="0" w:line="300" w:lineRule="auto"/>
              <w:rPr>
                <w:rFonts w:cs="Times New Roman"/>
                <w:sz w:val="22"/>
              </w:rPr>
            </w:pPr>
          </w:p>
        </w:tc>
        <w:tc>
          <w:tcPr>
            <w:tcW w:w="1053" w:type="dxa"/>
            <w:tcBorders>
              <w:top w:val="nil"/>
              <w:left w:val="nil"/>
              <w:bottom w:val="nil"/>
              <w:right w:val="nil"/>
            </w:tcBorders>
            <w:shd w:val="clear" w:color="auto" w:fill="auto"/>
            <w:noWrap/>
            <w:hideMark/>
          </w:tcPr>
          <w:p w14:paraId="6CFE75D5" w14:textId="77777777" w:rsidR="0009163F" w:rsidRPr="00806827" w:rsidRDefault="0009163F" w:rsidP="0009163F">
            <w:pPr>
              <w:spacing w:after="0" w:line="300" w:lineRule="auto"/>
              <w:rPr>
                <w:rFonts w:cs="Times New Roman"/>
                <w:sz w:val="22"/>
              </w:rPr>
            </w:pPr>
          </w:p>
        </w:tc>
        <w:tc>
          <w:tcPr>
            <w:tcW w:w="1055" w:type="dxa"/>
            <w:tcBorders>
              <w:top w:val="nil"/>
              <w:left w:val="nil"/>
              <w:bottom w:val="nil"/>
              <w:right w:val="nil"/>
            </w:tcBorders>
            <w:shd w:val="clear" w:color="auto" w:fill="auto"/>
            <w:noWrap/>
            <w:hideMark/>
          </w:tcPr>
          <w:p w14:paraId="78FB65C2" w14:textId="77777777" w:rsidR="0009163F" w:rsidRPr="00806827" w:rsidRDefault="0009163F" w:rsidP="0009163F">
            <w:pPr>
              <w:spacing w:after="0" w:line="300" w:lineRule="auto"/>
              <w:rPr>
                <w:rFonts w:cs="Times New Roman"/>
                <w:sz w:val="22"/>
              </w:rPr>
            </w:pPr>
          </w:p>
        </w:tc>
        <w:tc>
          <w:tcPr>
            <w:tcW w:w="1133" w:type="dxa"/>
            <w:tcBorders>
              <w:top w:val="nil"/>
              <w:left w:val="nil"/>
              <w:bottom w:val="nil"/>
              <w:right w:val="nil"/>
            </w:tcBorders>
            <w:shd w:val="clear" w:color="auto" w:fill="auto"/>
            <w:noWrap/>
            <w:hideMark/>
          </w:tcPr>
          <w:p w14:paraId="5F7BCD91" w14:textId="77777777" w:rsidR="0009163F" w:rsidRPr="00806827" w:rsidRDefault="0009163F" w:rsidP="0009163F">
            <w:pPr>
              <w:spacing w:after="0" w:line="300" w:lineRule="auto"/>
              <w:rPr>
                <w:rFonts w:cs="Times New Roman"/>
                <w:sz w:val="22"/>
              </w:rPr>
            </w:pPr>
          </w:p>
        </w:tc>
        <w:tc>
          <w:tcPr>
            <w:tcW w:w="1054" w:type="dxa"/>
            <w:tcBorders>
              <w:top w:val="nil"/>
              <w:left w:val="nil"/>
              <w:bottom w:val="nil"/>
              <w:right w:val="nil"/>
            </w:tcBorders>
            <w:shd w:val="clear" w:color="auto" w:fill="auto"/>
            <w:noWrap/>
            <w:hideMark/>
          </w:tcPr>
          <w:p w14:paraId="2B8A2AE3" w14:textId="77777777" w:rsidR="0009163F" w:rsidRPr="00806827" w:rsidRDefault="0009163F" w:rsidP="0009163F">
            <w:pPr>
              <w:spacing w:after="0" w:line="300" w:lineRule="auto"/>
              <w:rPr>
                <w:rFonts w:cs="Times New Roman"/>
                <w:sz w:val="22"/>
              </w:rPr>
            </w:pPr>
          </w:p>
        </w:tc>
        <w:tc>
          <w:tcPr>
            <w:tcW w:w="1056" w:type="dxa"/>
            <w:tcBorders>
              <w:top w:val="nil"/>
              <w:left w:val="nil"/>
              <w:bottom w:val="nil"/>
              <w:right w:val="nil"/>
            </w:tcBorders>
            <w:shd w:val="clear" w:color="auto" w:fill="auto"/>
            <w:noWrap/>
            <w:hideMark/>
          </w:tcPr>
          <w:p w14:paraId="6E9C1FED" w14:textId="77777777" w:rsidR="0009163F" w:rsidRPr="00806827" w:rsidRDefault="0009163F" w:rsidP="0009163F">
            <w:pPr>
              <w:spacing w:after="0" w:line="300" w:lineRule="auto"/>
              <w:rPr>
                <w:rFonts w:cs="Times New Roman"/>
                <w:sz w:val="22"/>
              </w:rPr>
            </w:pPr>
          </w:p>
        </w:tc>
      </w:tr>
      <w:tr w:rsidR="0009163F" w:rsidRPr="00806827" w14:paraId="3AA21C5F" w14:textId="77777777" w:rsidTr="0009163F">
        <w:trPr>
          <w:trHeight w:val="379"/>
        </w:trPr>
        <w:tc>
          <w:tcPr>
            <w:tcW w:w="5563" w:type="dxa"/>
            <w:tcBorders>
              <w:top w:val="nil"/>
              <w:left w:val="nil"/>
              <w:bottom w:val="nil"/>
              <w:right w:val="nil"/>
            </w:tcBorders>
            <w:shd w:val="clear" w:color="auto" w:fill="auto"/>
            <w:noWrap/>
            <w:vAlign w:val="bottom"/>
            <w:hideMark/>
          </w:tcPr>
          <w:p w14:paraId="6B156EBC" w14:textId="77777777" w:rsidR="0009163F" w:rsidRPr="00806827" w:rsidRDefault="0009163F" w:rsidP="0009163F">
            <w:pPr>
              <w:spacing w:after="0" w:line="300" w:lineRule="auto"/>
              <w:rPr>
                <w:color w:val="000000"/>
                <w:sz w:val="22"/>
              </w:rPr>
            </w:pPr>
            <w:r w:rsidRPr="00806827">
              <w:rPr>
                <w:color w:val="000000"/>
                <w:sz w:val="22"/>
              </w:rPr>
              <w:t>Λ</w:t>
            </w:r>
            <w:r w:rsidRPr="00806827">
              <w:rPr>
                <w:color w:val="000000"/>
                <w:sz w:val="22"/>
                <w:vertAlign w:val="subscript"/>
              </w:rPr>
              <w:t>0</w:t>
            </w:r>
            <w:r w:rsidRPr="00806827">
              <w:rPr>
                <w:color w:val="000000"/>
                <w:sz w:val="22"/>
              </w:rPr>
              <w:t>(5)</w:t>
            </w:r>
            <w:r w:rsidRPr="00806827">
              <w:rPr>
                <w:color w:val="000000"/>
                <w:sz w:val="22"/>
                <w:vertAlign w:val="superscript"/>
              </w:rPr>
              <w:t>d</w:t>
            </w:r>
          </w:p>
        </w:tc>
        <w:tc>
          <w:tcPr>
            <w:tcW w:w="1132" w:type="dxa"/>
            <w:tcBorders>
              <w:top w:val="nil"/>
              <w:left w:val="nil"/>
              <w:bottom w:val="nil"/>
              <w:right w:val="nil"/>
            </w:tcBorders>
            <w:shd w:val="clear" w:color="auto" w:fill="auto"/>
            <w:noWrap/>
            <w:hideMark/>
          </w:tcPr>
          <w:p w14:paraId="30461C0E" w14:textId="3C19242F" w:rsidR="0009163F" w:rsidRPr="00806827" w:rsidRDefault="0009163F" w:rsidP="0009163F">
            <w:pPr>
              <w:spacing w:after="0" w:line="300" w:lineRule="auto"/>
              <w:jc w:val="right"/>
              <w:rPr>
                <w:rFonts w:cs="Times New Roman"/>
                <w:color w:val="000000"/>
                <w:sz w:val="22"/>
              </w:rPr>
            </w:pPr>
            <w:r w:rsidRPr="00806827">
              <w:rPr>
                <w:rFonts w:cs="Times New Roman"/>
                <w:sz w:val="22"/>
              </w:rPr>
              <w:t>0.0010</w:t>
            </w:r>
          </w:p>
        </w:tc>
        <w:tc>
          <w:tcPr>
            <w:tcW w:w="1053" w:type="dxa"/>
            <w:tcBorders>
              <w:top w:val="nil"/>
              <w:left w:val="nil"/>
              <w:bottom w:val="nil"/>
              <w:right w:val="nil"/>
            </w:tcBorders>
            <w:shd w:val="clear" w:color="auto" w:fill="auto"/>
            <w:noWrap/>
            <w:hideMark/>
          </w:tcPr>
          <w:p w14:paraId="0CAF255F" w14:textId="77777777" w:rsidR="0009163F" w:rsidRPr="00806827" w:rsidRDefault="0009163F" w:rsidP="0009163F">
            <w:pPr>
              <w:spacing w:after="0" w:line="300" w:lineRule="auto"/>
              <w:jc w:val="right"/>
              <w:rPr>
                <w:rFonts w:cs="Times New Roman"/>
                <w:color w:val="000000"/>
                <w:sz w:val="22"/>
              </w:rPr>
            </w:pPr>
          </w:p>
        </w:tc>
        <w:tc>
          <w:tcPr>
            <w:tcW w:w="1055" w:type="dxa"/>
            <w:tcBorders>
              <w:top w:val="nil"/>
              <w:left w:val="nil"/>
              <w:bottom w:val="nil"/>
              <w:right w:val="nil"/>
            </w:tcBorders>
            <w:shd w:val="clear" w:color="auto" w:fill="auto"/>
            <w:noWrap/>
            <w:hideMark/>
          </w:tcPr>
          <w:p w14:paraId="363970A6" w14:textId="77777777" w:rsidR="0009163F" w:rsidRPr="00806827" w:rsidRDefault="0009163F" w:rsidP="0009163F">
            <w:pPr>
              <w:spacing w:after="0" w:line="300" w:lineRule="auto"/>
              <w:jc w:val="right"/>
              <w:rPr>
                <w:rFonts w:cs="Times New Roman"/>
                <w:sz w:val="22"/>
              </w:rPr>
            </w:pPr>
          </w:p>
        </w:tc>
        <w:tc>
          <w:tcPr>
            <w:tcW w:w="1133" w:type="dxa"/>
            <w:tcBorders>
              <w:top w:val="nil"/>
              <w:left w:val="nil"/>
              <w:bottom w:val="nil"/>
              <w:right w:val="nil"/>
            </w:tcBorders>
            <w:shd w:val="clear" w:color="auto" w:fill="auto"/>
            <w:noWrap/>
            <w:hideMark/>
          </w:tcPr>
          <w:p w14:paraId="54A3608D" w14:textId="7D629F68" w:rsidR="0009163F" w:rsidRPr="00806827" w:rsidRDefault="0009163F" w:rsidP="0009163F">
            <w:pPr>
              <w:spacing w:after="0" w:line="300" w:lineRule="auto"/>
              <w:jc w:val="right"/>
              <w:rPr>
                <w:rFonts w:cs="Times New Roman"/>
                <w:color w:val="000000"/>
                <w:sz w:val="22"/>
              </w:rPr>
            </w:pPr>
            <w:r w:rsidRPr="00806827">
              <w:rPr>
                <w:rFonts w:cs="Times New Roman"/>
                <w:sz w:val="22"/>
              </w:rPr>
              <w:t>0.0010</w:t>
            </w:r>
          </w:p>
        </w:tc>
        <w:tc>
          <w:tcPr>
            <w:tcW w:w="1054" w:type="dxa"/>
            <w:tcBorders>
              <w:top w:val="nil"/>
              <w:left w:val="nil"/>
              <w:bottom w:val="nil"/>
              <w:right w:val="nil"/>
            </w:tcBorders>
            <w:shd w:val="clear" w:color="auto" w:fill="auto"/>
            <w:noWrap/>
            <w:hideMark/>
          </w:tcPr>
          <w:p w14:paraId="1ABBEFAB" w14:textId="77777777" w:rsidR="0009163F" w:rsidRPr="00806827" w:rsidRDefault="0009163F" w:rsidP="0009163F">
            <w:pPr>
              <w:spacing w:after="0" w:line="300" w:lineRule="auto"/>
              <w:jc w:val="right"/>
              <w:rPr>
                <w:rFonts w:cs="Times New Roman"/>
                <w:color w:val="000000"/>
                <w:sz w:val="22"/>
              </w:rPr>
            </w:pPr>
          </w:p>
        </w:tc>
        <w:tc>
          <w:tcPr>
            <w:tcW w:w="1056" w:type="dxa"/>
            <w:tcBorders>
              <w:top w:val="nil"/>
              <w:left w:val="nil"/>
              <w:bottom w:val="nil"/>
              <w:right w:val="nil"/>
            </w:tcBorders>
            <w:shd w:val="clear" w:color="auto" w:fill="auto"/>
            <w:noWrap/>
            <w:hideMark/>
          </w:tcPr>
          <w:p w14:paraId="36E642EC" w14:textId="77777777" w:rsidR="0009163F" w:rsidRPr="00806827" w:rsidRDefault="0009163F" w:rsidP="0009163F">
            <w:pPr>
              <w:spacing w:after="0" w:line="300" w:lineRule="auto"/>
              <w:rPr>
                <w:rFonts w:cs="Times New Roman"/>
                <w:sz w:val="22"/>
              </w:rPr>
            </w:pPr>
          </w:p>
        </w:tc>
      </w:tr>
      <w:tr w:rsidR="0009163F" w:rsidRPr="00806827" w14:paraId="531576E6" w14:textId="77777777" w:rsidTr="0009163F">
        <w:trPr>
          <w:trHeight w:val="379"/>
        </w:trPr>
        <w:tc>
          <w:tcPr>
            <w:tcW w:w="5563" w:type="dxa"/>
            <w:tcBorders>
              <w:top w:val="nil"/>
              <w:left w:val="nil"/>
              <w:right w:val="nil"/>
            </w:tcBorders>
            <w:shd w:val="clear" w:color="auto" w:fill="auto"/>
            <w:noWrap/>
            <w:vAlign w:val="bottom"/>
            <w:hideMark/>
          </w:tcPr>
          <w:p w14:paraId="78272AAC" w14:textId="77777777" w:rsidR="0009163F" w:rsidRPr="00806827" w:rsidRDefault="0009163F" w:rsidP="0009163F">
            <w:pPr>
              <w:spacing w:after="0" w:line="300" w:lineRule="auto"/>
              <w:rPr>
                <w:color w:val="000000"/>
                <w:sz w:val="22"/>
              </w:rPr>
            </w:pPr>
            <w:r w:rsidRPr="00806827">
              <w:rPr>
                <w:color w:val="000000"/>
                <w:sz w:val="22"/>
              </w:rPr>
              <w:t>Λ</w:t>
            </w:r>
            <w:r w:rsidRPr="00806827">
              <w:rPr>
                <w:color w:val="000000"/>
                <w:sz w:val="22"/>
                <w:vertAlign w:val="subscript"/>
              </w:rPr>
              <w:t>0</w:t>
            </w:r>
            <w:r w:rsidRPr="00806827">
              <w:rPr>
                <w:color w:val="000000"/>
                <w:sz w:val="22"/>
              </w:rPr>
              <w:t>(8)</w:t>
            </w:r>
            <w:r w:rsidRPr="00806827">
              <w:rPr>
                <w:color w:val="000000"/>
                <w:sz w:val="22"/>
                <w:vertAlign w:val="superscript"/>
              </w:rPr>
              <w:t>d</w:t>
            </w:r>
          </w:p>
        </w:tc>
        <w:tc>
          <w:tcPr>
            <w:tcW w:w="1132" w:type="dxa"/>
            <w:tcBorders>
              <w:top w:val="nil"/>
              <w:left w:val="nil"/>
              <w:right w:val="nil"/>
            </w:tcBorders>
            <w:shd w:val="clear" w:color="auto" w:fill="auto"/>
            <w:noWrap/>
            <w:hideMark/>
          </w:tcPr>
          <w:p w14:paraId="119CF13D" w14:textId="129EEEAA" w:rsidR="0009163F" w:rsidRPr="00806827" w:rsidRDefault="0009163F" w:rsidP="0009163F">
            <w:pPr>
              <w:spacing w:after="0" w:line="300" w:lineRule="auto"/>
              <w:jc w:val="right"/>
              <w:rPr>
                <w:rFonts w:cs="Times New Roman"/>
                <w:color w:val="000000"/>
                <w:sz w:val="22"/>
              </w:rPr>
            </w:pPr>
            <w:r w:rsidRPr="00806827">
              <w:rPr>
                <w:rFonts w:cs="Times New Roman"/>
                <w:sz w:val="22"/>
              </w:rPr>
              <w:t>0.0017</w:t>
            </w:r>
          </w:p>
        </w:tc>
        <w:tc>
          <w:tcPr>
            <w:tcW w:w="1053" w:type="dxa"/>
            <w:tcBorders>
              <w:top w:val="nil"/>
              <w:left w:val="nil"/>
              <w:right w:val="nil"/>
            </w:tcBorders>
            <w:shd w:val="clear" w:color="auto" w:fill="auto"/>
            <w:noWrap/>
            <w:hideMark/>
          </w:tcPr>
          <w:p w14:paraId="4CDF623D" w14:textId="77777777" w:rsidR="0009163F" w:rsidRPr="00806827" w:rsidRDefault="0009163F" w:rsidP="0009163F">
            <w:pPr>
              <w:spacing w:after="0" w:line="300" w:lineRule="auto"/>
              <w:jc w:val="right"/>
              <w:rPr>
                <w:rFonts w:cs="Times New Roman"/>
                <w:color w:val="000000"/>
                <w:sz w:val="22"/>
              </w:rPr>
            </w:pPr>
          </w:p>
        </w:tc>
        <w:tc>
          <w:tcPr>
            <w:tcW w:w="1055" w:type="dxa"/>
            <w:tcBorders>
              <w:top w:val="nil"/>
              <w:left w:val="nil"/>
              <w:right w:val="nil"/>
            </w:tcBorders>
            <w:shd w:val="clear" w:color="auto" w:fill="auto"/>
            <w:noWrap/>
            <w:hideMark/>
          </w:tcPr>
          <w:p w14:paraId="30C89707" w14:textId="77777777" w:rsidR="0009163F" w:rsidRPr="00806827" w:rsidRDefault="0009163F" w:rsidP="0009163F">
            <w:pPr>
              <w:spacing w:after="0" w:line="300" w:lineRule="auto"/>
              <w:jc w:val="right"/>
              <w:rPr>
                <w:rFonts w:cs="Times New Roman"/>
                <w:sz w:val="22"/>
              </w:rPr>
            </w:pPr>
          </w:p>
        </w:tc>
        <w:tc>
          <w:tcPr>
            <w:tcW w:w="1133" w:type="dxa"/>
            <w:tcBorders>
              <w:top w:val="nil"/>
              <w:left w:val="nil"/>
              <w:right w:val="nil"/>
            </w:tcBorders>
            <w:shd w:val="clear" w:color="auto" w:fill="auto"/>
            <w:noWrap/>
            <w:hideMark/>
          </w:tcPr>
          <w:p w14:paraId="1A56AB5B" w14:textId="28776E1A" w:rsidR="0009163F" w:rsidRPr="00806827" w:rsidRDefault="0009163F" w:rsidP="0009163F">
            <w:pPr>
              <w:spacing w:after="0" w:line="300" w:lineRule="auto"/>
              <w:jc w:val="right"/>
              <w:rPr>
                <w:rFonts w:cs="Times New Roman"/>
                <w:color w:val="000000"/>
                <w:sz w:val="22"/>
              </w:rPr>
            </w:pPr>
            <w:r w:rsidRPr="00806827">
              <w:rPr>
                <w:rFonts w:cs="Times New Roman"/>
                <w:sz w:val="22"/>
              </w:rPr>
              <w:t>0.0018</w:t>
            </w:r>
          </w:p>
        </w:tc>
        <w:tc>
          <w:tcPr>
            <w:tcW w:w="1054" w:type="dxa"/>
            <w:tcBorders>
              <w:top w:val="nil"/>
              <w:left w:val="nil"/>
              <w:right w:val="nil"/>
            </w:tcBorders>
            <w:shd w:val="clear" w:color="auto" w:fill="auto"/>
            <w:noWrap/>
            <w:hideMark/>
          </w:tcPr>
          <w:p w14:paraId="09F8844D" w14:textId="77777777" w:rsidR="0009163F" w:rsidRPr="00806827" w:rsidRDefault="0009163F" w:rsidP="0009163F">
            <w:pPr>
              <w:spacing w:after="0" w:line="300" w:lineRule="auto"/>
              <w:jc w:val="right"/>
              <w:rPr>
                <w:rFonts w:cs="Times New Roman"/>
                <w:color w:val="000000"/>
                <w:sz w:val="22"/>
              </w:rPr>
            </w:pPr>
          </w:p>
        </w:tc>
        <w:tc>
          <w:tcPr>
            <w:tcW w:w="1056" w:type="dxa"/>
            <w:tcBorders>
              <w:top w:val="nil"/>
              <w:left w:val="nil"/>
              <w:right w:val="nil"/>
            </w:tcBorders>
            <w:shd w:val="clear" w:color="auto" w:fill="auto"/>
            <w:noWrap/>
            <w:hideMark/>
          </w:tcPr>
          <w:p w14:paraId="1DF820F7" w14:textId="77777777" w:rsidR="0009163F" w:rsidRPr="00806827" w:rsidRDefault="0009163F" w:rsidP="0009163F">
            <w:pPr>
              <w:spacing w:after="0" w:line="300" w:lineRule="auto"/>
              <w:rPr>
                <w:rFonts w:cs="Times New Roman"/>
                <w:sz w:val="22"/>
              </w:rPr>
            </w:pPr>
          </w:p>
        </w:tc>
      </w:tr>
      <w:tr w:rsidR="0009163F" w:rsidRPr="00806827" w14:paraId="22D71389" w14:textId="77777777" w:rsidTr="0009163F">
        <w:trPr>
          <w:trHeight w:val="379"/>
        </w:trPr>
        <w:tc>
          <w:tcPr>
            <w:tcW w:w="5563" w:type="dxa"/>
            <w:tcBorders>
              <w:top w:val="nil"/>
              <w:left w:val="nil"/>
              <w:bottom w:val="single" w:sz="4" w:space="0" w:color="auto"/>
              <w:right w:val="nil"/>
            </w:tcBorders>
            <w:shd w:val="clear" w:color="auto" w:fill="auto"/>
            <w:noWrap/>
            <w:vAlign w:val="bottom"/>
            <w:hideMark/>
          </w:tcPr>
          <w:p w14:paraId="797F4738" w14:textId="77777777" w:rsidR="0009163F" w:rsidRPr="00806827" w:rsidRDefault="0009163F" w:rsidP="0009163F">
            <w:pPr>
              <w:spacing w:after="0" w:line="300" w:lineRule="auto"/>
              <w:rPr>
                <w:color w:val="000000"/>
                <w:sz w:val="22"/>
              </w:rPr>
            </w:pPr>
            <w:r w:rsidRPr="00806827">
              <w:rPr>
                <w:color w:val="000000"/>
                <w:sz w:val="22"/>
              </w:rPr>
              <w:t>Λ</w:t>
            </w:r>
            <w:r w:rsidRPr="00806827">
              <w:rPr>
                <w:color w:val="000000"/>
                <w:sz w:val="22"/>
                <w:vertAlign w:val="subscript"/>
              </w:rPr>
              <w:t>0</w:t>
            </w:r>
            <w:r w:rsidRPr="00806827">
              <w:rPr>
                <w:color w:val="000000"/>
                <w:sz w:val="22"/>
              </w:rPr>
              <w:t>(10)</w:t>
            </w:r>
            <w:r w:rsidRPr="00806827">
              <w:rPr>
                <w:color w:val="000000"/>
                <w:sz w:val="22"/>
                <w:vertAlign w:val="superscript"/>
              </w:rPr>
              <w:t>d</w:t>
            </w:r>
          </w:p>
        </w:tc>
        <w:tc>
          <w:tcPr>
            <w:tcW w:w="1132" w:type="dxa"/>
            <w:tcBorders>
              <w:top w:val="nil"/>
              <w:left w:val="nil"/>
              <w:bottom w:val="single" w:sz="4" w:space="0" w:color="auto"/>
              <w:right w:val="nil"/>
            </w:tcBorders>
            <w:shd w:val="clear" w:color="auto" w:fill="auto"/>
            <w:noWrap/>
            <w:hideMark/>
          </w:tcPr>
          <w:p w14:paraId="22DC1E3D" w14:textId="6CA5AFAD" w:rsidR="0009163F" w:rsidRPr="00806827" w:rsidRDefault="0009163F" w:rsidP="0009163F">
            <w:pPr>
              <w:spacing w:after="0" w:line="300" w:lineRule="auto"/>
              <w:jc w:val="right"/>
              <w:rPr>
                <w:rFonts w:cs="Times New Roman"/>
                <w:color w:val="000000"/>
                <w:sz w:val="22"/>
              </w:rPr>
            </w:pPr>
            <w:r w:rsidRPr="00806827">
              <w:rPr>
                <w:rFonts w:cs="Times New Roman"/>
                <w:sz w:val="22"/>
              </w:rPr>
              <w:t>0.0023</w:t>
            </w:r>
          </w:p>
        </w:tc>
        <w:tc>
          <w:tcPr>
            <w:tcW w:w="1053" w:type="dxa"/>
            <w:tcBorders>
              <w:top w:val="nil"/>
              <w:left w:val="nil"/>
              <w:bottom w:val="single" w:sz="4" w:space="0" w:color="auto"/>
              <w:right w:val="nil"/>
            </w:tcBorders>
            <w:shd w:val="clear" w:color="auto" w:fill="auto"/>
            <w:noWrap/>
            <w:hideMark/>
          </w:tcPr>
          <w:p w14:paraId="7180DD67" w14:textId="77777777" w:rsidR="0009163F" w:rsidRPr="00806827" w:rsidRDefault="0009163F" w:rsidP="0009163F">
            <w:pPr>
              <w:spacing w:after="0" w:line="300" w:lineRule="auto"/>
              <w:jc w:val="right"/>
              <w:rPr>
                <w:rFonts w:cs="Times New Roman"/>
                <w:color w:val="000000"/>
                <w:sz w:val="22"/>
              </w:rPr>
            </w:pPr>
          </w:p>
        </w:tc>
        <w:tc>
          <w:tcPr>
            <w:tcW w:w="1055" w:type="dxa"/>
            <w:tcBorders>
              <w:top w:val="nil"/>
              <w:left w:val="nil"/>
              <w:bottom w:val="single" w:sz="4" w:space="0" w:color="auto"/>
              <w:right w:val="nil"/>
            </w:tcBorders>
            <w:shd w:val="clear" w:color="auto" w:fill="auto"/>
            <w:noWrap/>
            <w:hideMark/>
          </w:tcPr>
          <w:p w14:paraId="77BAB10D" w14:textId="77777777" w:rsidR="0009163F" w:rsidRPr="00806827" w:rsidRDefault="0009163F" w:rsidP="0009163F">
            <w:pPr>
              <w:spacing w:after="0" w:line="300" w:lineRule="auto"/>
              <w:jc w:val="right"/>
              <w:rPr>
                <w:rFonts w:cs="Times New Roman"/>
                <w:sz w:val="22"/>
              </w:rPr>
            </w:pPr>
          </w:p>
        </w:tc>
        <w:tc>
          <w:tcPr>
            <w:tcW w:w="1133" w:type="dxa"/>
            <w:tcBorders>
              <w:top w:val="nil"/>
              <w:left w:val="nil"/>
              <w:bottom w:val="single" w:sz="4" w:space="0" w:color="auto"/>
              <w:right w:val="nil"/>
            </w:tcBorders>
            <w:shd w:val="clear" w:color="auto" w:fill="auto"/>
            <w:noWrap/>
            <w:hideMark/>
          </w:tcPr>
          <w:p w14:paraId="50272AA5" w14:textId="70540859" w:rsidR="0009163F" w:rsidRPr="00806827" w:rsidRDefault="0009163F" w:rsidP="0009163F">
            <w:pPr>
              <w:spacing w:after="0" w:line="300" w:lineRule="auto"/>
              <w:jc w:val="right"/>
              <w:rPr>
                <w:rFonts w:cs="Times New Roman"/>
                <w:color w:val="000000"/>
                <w:sz w:val="22"/>
              </w:rPr>
            </w:pPr>
            <w:r w:rsidRPr="00806827">
              <w:rPr>
                <w:rFonts w:cs="Times New Roman"/>
                <w:sz w:val="22"/>
              </w:rPr>
              <w:t>0.0027</w:t>
            </w:r>
          </w:p>
        </w:tc>
        <w:tc>
          <w:tcPr>
            <w:tcW w:w="1054" w:type="dxa"/>
            <w:tcBorders>
              <w:top w:val="nil"/>
              <w:left w:val="nil"/>
              <w:bottom w:val="single" w:sz="4" w:space="0" w:color="auto"/>
              <w:right w:val="nil"/>
            </w:tcBorders>
            <w:shd w:val="clear" w:color="auto" w:fill="auto"/>
            <w:noWrap/>
            <w:hideMark/>
          </w:tcPr>
          <w:p w14:paraId="099BDD94" w14:textId="77777777" w:rsidR="0009163F" w:rsidRPr="00806827" w:rsidRDefault="0009163F" w:rsidP="0009163F">
            <w:pPr>
              <w:spacing w:after="0" w:line="300" w:lineRule="auto"/>
              <w:jc w:val="right"/>
              <w:rPr>
                <w:rFonts w:cs="Times New Roman"/>
                <w:color w:val="000000"/>
                <w:sz w:val="22"/>
              </w:rPr>
            </w:pPr>
          </w:p>
        </w:tc>
        <w:tc>
          <w:tcPr>
            <w:tcW w:w="1056" w:type="dxa"/>
            <w:tcBorders>
              <w:top w:val="nil"/>
              <w:left w:val="nil"/>
              <w:bottom w:val="single" w:sz="4" w:space="0" w:color="auto"/>
              <w:right w:val="nil"/>
            </w:tcBorders>
            <w:shd w:val="clear" w:color="auto" w:fill="auto"/>
            <w:noWrap/>
            <w:hideMark/>
          </w:tcPr>
          <w:p w14:paraId="3B901DE1" w14:textId="77777777" w:rsidR="0009163F" w:rsidRPr="00806827" w:rsidRDefault="0009163F" w:rsidP="0009163F">
            <w:pPr>
              <w:spacing w:after="0" w:line="300" w:lineRule="auto"/>
              <w:rPr>
                <w:rFonts w:cs="Times New Roman"/>
                <w:sz w:val="22"/>
              </w:rPr>
            </w:pPr>
          </w:p>
        </w:tc>
      </w:tr>
    </w:tbl>
    <w:p w14:paraId="30153D98" w14:textId="77777777" w:rsidR="00167E3B" w:rsidRPr="00806827" w:rsidRDefault="00167E3B" w:rsidP="009F0B5A">
      <w:pPr>
        <w:spacing w:before="120" w:after="0"/>
        <w:rPr>
          <w:sz w:val="20"/>
        </w:rPr>
      </w:pPr>
      <w:r w:rsidRPr="00806827">
        <w:rPr>
          <w:sz w:val="20"/>
          <w:vertAlign w:val="superscript"/>
        </w:rPr>
        <w:t>a</w:t>
      </w:r>
      <w:r w:rsidRPr="00806827">
        <w:rPr>
          <w:sz w:val="20"/>
        </w:rPr>
        <w:t xml:space="preserve"> Age is centered at 40. Systolic blood pressure is centered at 120. Serum total cholesterol is centered at 4</w:t>
      </w:r>
    </w:p>
    <w:p w14:paraId="39E8CD5B" w14:textId="77777777" w:rsidR="00167E3B" w:rsidRPr="00806827" w:rsidRDefault="00167E3B" w:rsidP="009F0B5A">
      <w:pPr>
        <w:spacing w:after="0"/>
        <w:rPr>
          <w:sz w:val="20"/>
        </w:rPr>
      </w:pPr>
      <w:r w:rsidRPr="00806827">
        <w:rPr>
          <w:sz w:val="20"/>
          <w:vertAlign w:val="superscript"/>
        </w:rPr>
        <w:t>b</w:t>
      </w:r>
      <w:r w:rsidRPr="00806827">
        <w:rPr>
          <w:sz w:val="20"/>
        </w:rPr>
        <w:t xml:space="preserve"> Low HDL-cholesterol: &lt; 1.3 mmol/L</w:t>
      </w:r>
    </w:p>
    <w:p w14:paraId="331AED6F" w14:textId="77777777" w:rsidR="00167E3B" w:rsidRPr="00806827" w:rsidRDefault="00167E3B" w:rsidP="009F0B5A">
      <w:pPr>
        <w:spacing w:after="0"/>
        <w:rPr>
          <w:sz w:val="20"/>
        </w:rPr>
      </w:pPr>
      <w:r w:rsidRPr="00806827">
        <w:rPr>
          <w:sz w:val="20"/>
          <w:vertAlign w:val="superscript"/>
        </w:rPr>
        <w:t>c</w:t>
      </w:r>
      <w:r w:rsidRPr="00806827">
        <w:rPr>
          <w:sz w:val="20"/>
        </w:rPr>
        <w:t xml:space="preserve"> First degree family member suffered MI before the age of 60 years</w:t>
      </w:r>
    </w:p>
    <w:p w14:paraId="0F70F854" w14:textId="77777777" w:rsidR="00BD48D5" w:rsidRPr="00806827" w:rsidRDefault="00167E3B" w:rsidP="009F0B5A">
      <w:pPr>
        <w:spacing w:after="0"/>
        <w:rPr>
          <w:sz w:val="20"/>
        </w:rPr>
      </w:pPr>
      <w:r w:rsidRPr="00806827">
        <w:rPr>
          <w:sz w:val="20"/>
          <w:vertAlign w:val="superscript"/>
        </w:rPr>
        <w:t>d</w:t>
      </w:r>
      <w:r w:rsidRPr="00806827">
        <w:rPr>
          <w:sz w:val="20"/>
        </w:rPr>
        <w:t xml:space="preserve"> Λ0(5), Λ0(8) and Λ0(10) are baseline cumulative sub distribution hazards at 5, 8 and 10 years for age 40, systolic blood pressure 120 mmHg, serum total cholesterol 4 mmol/L, no smoking, HDL not low, no family history and not current user of antihypertensives.</w:t>
      </w:r>
    </w:p>
    <w:p w14:paraId="65B2522E" w14:textId="609F9F83" w:rsidR="00167E3B" w:rsidRPr="00806827" w:rsidRDefault="00167E3B" w:rsidP="009F0B5A">
      <w:pPr>
        <w:spacing w:after="0"/>
        <w:rPr>
          <w:sz w:val="20"/>
        </w:rPr>
        <w:sectPr w:rsidR="00167E3B" w:rsidRPr="00806827" w:rsidSect="00AC0C21">
          <w:type w:val="continuous"/>
          <w:pgSz w:w="15840" w:h="12240" w:orient="landscape"/>
          <w:pgMar w:top="1440" w:right="1440" w:bottom="1440" w:left="1440" w:header="720" w:footer="720" w:gutter="0"/>
          <w:cols w:space="720"/>
          <w:docGrid w:linePitch="360"/>
        </w:sectPr>
      </w:pPr>
      <w:r w:rsidRPr="00806827">
        <w:rPr>
          <w:sz w:val="20"/>
          <w:szCs w:val="20"/>
          <w:vertAlign w:val="superscript"/>
          <w:lang w:val="nb-NO"/>
        </w:rPr>
        <w:t>1</w:t>
      </w:r>
      <w:r w:rsidR="001D02E3" w:rsidRPr="00806827">
        <w:rPr>
          <w:sz w:val="20"/>
          <w:szCs w:val="20"/>
          <w:lang w:val="nb-NO"/>
        </w:rPr>
        <w:t xml:space="preserve"> Selmer R, Igland J, Ariansen I, Tverdal A, Njølstad I, Furu K, Tell GS, Klemsdal TO. NORRISK 2: A Norwegian risk model for acute cerebral stroke and myocardial infarction. Eur J Prev Cardiol 2017;24:773–782.</w:t>
      </w:r>
    </w:p>
    <w:p w14:paraId="67AA2EAF" w14:textId="4CF39287" w:rsidR="00167E3B" w:rsidRPr="00806827" w:rsidRDefault="00167E3B" w:rsidP="00167E3B">
      <w:pPr>
        <w:rPr>
          <w:b/>
        </w:rPr>
      </w:pPr>
      <w:r w:rsidRPr="00806827">
        <w:rPr>
          <w:b/>
        </w:rPr>
        <w:lastRenderedPageBreak/>
        <w:t>A</w:t>
      </w:r>
      <w:r w:rsidR="005535C8" w:rsidRPr="00806827">
        <w:rPr>
          <w:rFonts w:eastAsia="Times New Roman" w:cs="Times New Roman"/>
          <w:snapToGrid w:val="0"/>
          <w:color w:val="000000"/>
          <w:w w:val="0"/>
          <w:sz w:val="0"/>
          <w:szCs w:val="0"/>
          <w:u w:color="000000"/>
          <w:bdr w:val="none" w:sz="0" w:space="0" w:color="000000"/>
          <w:shd w:val="clear" w:color="000000" w:fill="000000"/>
          <w:lang w:eastAsia="x-none" w:bidi="x-none"/>
        </w:rPr>
        <w:t xml:space="preserve"> </w:t>
      </w:r>
      <w:r w:rsidR="00423807" w:rsidRPr="00806827">
        <w:rPr>
          <w:rFonts w:eastAsia="Times New Roman" w:cs="Times New Roman"/>
          <w:noProof/>
          <w:snapToGrid w:val="0"/>
          <w:color w:val="000000"/>
          <w:w w:val="0"/>
          <w:sz w:val="0"/>
          <w:szCs w:val="0"/>
          <w:u w:color="000000"/>
          <w:bdr w:val="none" w:sz="0" w:space="0" w:color="000000"/>
          <w:shd w:val="clear" w:color="000000" w:fill="000000"/>
        </w:rPr>
        <w:drawing>
          <wp:inline distT="0" distB="0" distL="0" distR="0" wp14:anchorId="5E2B8CFA" wp14:editId="71C136A0">
            <wp:extent cx="5943600" cy="3200400"/>
            <wp:effectExtent l="0" t="0" r="0" b="0"/>
            <wp:docPr id="17" name="Picture 17" descr="A:\preeclampsia\calibrationplot_est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preeclampsia\calibrationplot_estr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00400"/>
                    </a:xfrm>
                    <a:prstGeom prst="rect">
                      <a:avLst/>
                    </a:prstGeom>
                    <a:noFill/>
                    <a:ln>
                      <a:noFill/>
                    </a:ln>
                  </pic:spPr>
                </pic:pic>
              </a:graphicData>
            </a:graphic>
          </wp:inline>
        </w:drawing>
      </w:r>
    </w:p>
    <w:p w14:paraId="366FBCDA" w14:textId="77777777" w:rsidR="00167E3B" w:rsidRPr="00806827" w:rsidRDefault="00167E3B" w:rsidP="00167E3B">
      <w:pPr>
        <w:rPr>
          <w:b/>
        </w:rPr>
      </w:pPr>
    </w:p>
    <w:p w14:paraId="33EC91B8" w14:textId="623418E1" w:rsidR="0094581F" w:rsidRPr="00806827" w:rsidRDefault="00167E3B" w:rsidP="00167E3B">
      <w:pPr>
        <w:rPr>
          <w:b/>
        </w:rPr>
      </w:pPr>
      <w:r w:rsidRPr="00806827">
        <w:rPr>
          <w:b/>
        </w:rPr>
        <w:t>B</w:t>
      </w:r>
      <w:r w:rsidR="005535C8" w:rsidRPr="00806827">
        <w:rPr>
          <w:rFonts w:eastAsia="Times New Roman" w:cs="Times New Roman"/>
          <w:snapToGrid w:val="0"/>
          <w:color w:val="000000"/>
          <w:w w:val="0"/>
          <w:sz w:val="0"/>
          <w:szCs w:val="0"/>
          <w:u w:color="000000"/>
          <w:bdr w:val="none" w:sz="0" w:space="0" w:color="000000"/>
          <w:shd w:val="clear" w:color="000000" w:fill="000000"/>
          <w:lang w:eastAsia="x-none" w:bidi="x-none"/>
        </w:rPr>
        <w:t xml:space="preserve"> </w:t>
      </w:r>
      <w:r w:rsidR="0033478B" w:rsidRPr="00806827">
        <w:rPr>
          <w:b/>
          <w:noProof/>
        </w:rPr>
        <w:drawing>
          <wp:inline distT="0" distB="0" distL="0" distR="0" wp14:anchorId="648A88A5" wp14:editId="7423E2C2">
            <wp:extent cx="5943600" cy="3200400"/>
            <wp:effectExtent l="0" t="0" r="0" b="0"/>
            <wp:docPr id="5" name="Picture 5" descr="A:\preeclampsia\calibrationplot_newr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reeclampsia\calibrationplot_newrf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00400"/>
                    </a:xfrm>
                    <a:prstGeom prst="rect">
                      <a:avLst/>
                    </a:prstGeom>
                    <a:noFill/>
                    <a:ln>
                      <a:noFill/>
                    </a:ln>
                  </pic:spPr>
                </pic:pic>
              </a:graphicData>
            </a:graphic>
          </wp:inline>
        </w:drawing>
      </w:r>
    </w:p>
    <w:p w14:paraId="31C365A8" w14:textId="77777777" w:rsidR="0033478B" w:rsidRPr="00806827" w:rsidRDefault="0033478B" w:rsidP="003106A2">
      <w:pPr>
        <w:pStyle w:val="Figure"/>
        <w:rPr>
          <w:b/>
        </w:rPr>
      </w:pPr>
      <w:bookmarkStart w:id="5" w:name="_Toc511729357"/>
    </w:p>
    <w:p w14:paraId="2595E318" w14:textId="220B9798" w:rsidR="00167E3B" w:rsidRPr="00806827" w:rsidRDefault="00167E3B" w:rsidP="003106A2">
      <w:pPr>
        <w:pStyle w:val="Figure"/>
        <w:rPr>
          <w:b/>
        </w:rPr>
      </w:pPr>
      <w:r w:rsidRPr="00806827">
        <w:rPr>
          <w:b/>
        </w:rPr>
        <w:t xml:space="preserve">Supplemental </w:t>
      </w:r>
      <w:r w:rsidR="009C4DA9" w:rsidRPr="00806827">
        <w:rPr>
          <w:b/>
        </w:rPr>
        <w:t xml:space="preserve">Figure </w:t>
      </w:r>
      <w:r w:rsidRPr="00806827">
        <w:rPr>
          <w:b/>
        </w:rPr>
        <w:t>1.</w:t>
      </w:r>
      <w:r w:rsidRPr="00806827">
        <w:t xml:space="preserve"> Calibration plots for A) the established risk factor model and B) the established risk factor model with addition of pregnancy complications</w:t>
      </w:r>
      <w:bookmarkEnd w:id="5"/>
    </w:p>
    <w:p w14:paraId="39E7CAFD" w14:textId="77777777" w:rsidR="00167E3B" w:rsidRPr="00806827" w:rsidRDefault="00167E3B" w:rsidP="00167E3B">
      <w:pPr>
        <w:rPr>
          <w:b/>
        </w:rPr>
        <w:sectPr w:rsidR="00167E3B" w:rsidRPr="00806827" w:rsidSect="00AC0C21">
          <w:pgSz w:w="12240" w:h="15840"/>
          <w:pgMar w:top="1440" w:right="1440" w:bottom="1440" w:left="1440" w:header="720" w:footer="720" w:gutter="0"/>
          <w:cols w:space="720"/>
          <w:docGrid w:linePitch="360"/>
        </w:sectPr>
      </w:pPr>
    </w:p>
    <w:p w14:paraId="0C630DB3" w14:textId="483D0F34" w:rsidR="00167E3B" w:rsidRPr="00806827" w:rsidRDefault="0033478B" w:rsidP="00167E3B">
      <w:r w:rsidRPr="00806827">
        <w:rPr>
          <w:rFonts w:eastAsia="Times New Roman" w:cs="Times New Roman"/>
          <w:noProof/>
          <w:snapToGrid w:val="0"/>
          <w:color w:val="000000"/>
          <w:w w:val="0"/>
          <w:sz w:val="0"/>
          <w:szCs w:val="0"/>
          <w:u w:color="000000"/>
          <w:bdr w:val="none" w:sz="0" w:space="0" w:color="000000"/>
          <w:shd w:val="clear" w:color="000000" w:fill="000000"/>
        </w:rPr>
        <w:lastRenderedPageBreak/>
        <w:drawing>
          <wp:anchor distT="0" distB="0" distL="114300" distR="114300" simplePos="0" relativeHeight="251661824" behindDoc="1" locked="0" layoutInCell="1" allowOverlap="1" wp14:anchorId="5DF38EA2" wp14:editId="5E8EEA49">
            <wp:simplePos x="0" y="0"/>
            <wp:positionH relativeFrom="margin">
              <wp:align>right</wp:align>
            </wp:positionH>
            <wp:positionV relativeFrom="paragraph">
              <wp:posOffset>9525</wp:posOffset>
            </wp:positionV>
            <wp:extent cx="3810000" cy="3810000"/>
            <wp:effectExtent l="0" t="0" r="0" b="0"/>
            <wp:wrapNone/>
            <wp:docPr id="6" name="Picture 6" descr="A:\preeclampsia\reclassplot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reeclampsia\reclassplot_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anchor>
        </w:drawing>
      </w:r>
      <w:r w:rsidR="000C4EAE" w:rsidRPr="00806827">
        <w:rPr>
          <w:rFonts w:eastAsia="Times New Roman" w:cs="Times New Roman"/>
          <w:snapToGrid w:val="0"/>
          <w:color w:val="000000"/>
          <w:w w:val="0"/>
          <w:sz w:val="0"/>
          <w:szCs w:val="0"/>
          <w:u w:color="000000"/>
          <w:bdr w:val="none" w:sz="0" w:space="0" w:color="000000"/>
          <w:shd w:val="clear" w:color="000000" w:fill="000000"/>
          <w:lang w:eastAsia="x-none" w:bidi="x-none"/>
        </w:rPr>
        <w:t xml:space="preserve"> </w:t>
      </w:r>
      <w:r w:rsidRPr="00806827">
        <w:rPr>
          <w:rFonts w:eastAsia="Times New Roman" w:cs="Times New Roman"/>
          <w:noProof/>
          <w:snapToGrid w:val="0"/>
          <w:color w:val="000000"/>
          <w:w w:val="0"/>
          <w:sz w:val="0"/>
          <w:szCs w:val="0"/>
          <w:u w:color="000000"/>
          <w:bdr w:val="none" w:sz="0" w:space="0" w:color="000000"/>
          <w:shd w:val="clear" w:color="000000" w:fill="000000"/>
        </w:rPr>
        <w:drawing>
          <wp:anchor distT="0" distB="0" distL="114300" distR="114300" simplePos="0" relativeHeight="251662848" behindDoc="1" locked="0" layoutInCell="1" allowOverlap="1" wp14:anchorId="76FE5AD7" wp14:editId="17C8336F">
            <wp:simplePos x="0" y="0"/>
            <wp:positionH relativeFrom="column">
              <wp:posOffset>0</wp:posOffset>
            </wp:positionH>
            <wp:positionV relativeFrom="paragraph">
              <wp:posOffset>0</wp:posOffset>
            </wp:positionV>
            <wp:extent cx="3810000" cy="3810000"/>
            <wp:effectExtent l="0" t="0" r="0" b="0"/>
            <wp:wrapNone/>
            <wp:docPr id="7" name="Picture 7" descr="A:\preeclampsia\reclassplot_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reeclampsia\reclassplot_n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anchor>
        </w:drawing>
      </w:r>
      <w:r w:rsidR="00167E3B" w:rsidRPr="00806827">
        <w:rPr>
          <w:b/>
        </w:rPr>
        <w:t>A</w:t>
      </w:r>
      <w:r w:rsidR="00167E3B" w:rsidRPr="00806827">
        <w:tab/>
      </w:r>
      <w:r w:rsidR="00167E3B" w:rsidRPr="00806827">
        <w:tab/>
      </w:r>
      <w:r w:rsidR="00167E3B" w:rsidRPr="00806827">
        <w:tab/>
      </w:r>
      <w:r w:rsidR="00167E3B" w:rsidRPr="00806827">
        <w:tab/>
      </w:r>
      <w:r w:rsidR="00167E3B" w:rsidRPr="00806827">
        <w:tab/>
      </w:r>
      <w:r w:rsidR="00167E3B" w:rsidRPr="00806827">
        <w:tab/>
      </w:r>
      <w:r w:rsidR="00167E3B" w:rsidRPr="00806827">
        <w:tab/>
      </w:r>
      <w:r w:rsidR="00167E3B" w:rsidRPr="00806827">
        <w:tab/>
      </w:r>
      <w:r w:rsidR="00167E3B" w:rsidRPr="00806827">
        <w:tab/>
      </w:r>
      <w:r w:rsidR="00167E3B" w:rsidRPr="00806827">
        <w:tab/>
      </w:r>
      <w:r w:rsidR="00167E3B" w:rsidRPr="00806827">
        <w:rPr>
          <w:b/>
        </w:rPr>
        <w:t>B</w:t>
      </w:r>
    </w:p>
    <w:p w14:paraId="4F1151EF" w14:textId="77777777" w:rsidR="00167E3B" w:rsidRPr="00806827" w:rsidRDefault="00167E3B" w:rsidP="00167E3B">
      <w:pPr>
        <w:rPr>
          <w:b/>
        </w:rPr>
      </w:pPr>
    </w:p>
    <w:p w14:paraId="668129B8" w14:textId="6930B9A8" w:rsidR="00167E3B" w:rsidRPr="00806827" w:rsidRDefault="00167E3B" w:rsidP="00167E3B">
      <w:pPr>
        <w:rPr>
          <w:b/>
        </w:rPr>
      </w:pPr>
    </w:p>
    <w:p w14:paraId="042A6744" w14:textId="1A2BCC75" w:rsidR="00167E3B" w:rsidRPr="00806827" w:rsidRDefault="00423807" w:rsidP="00167E3B">
      <w:pPr>
        <w:rPr>
          <w:b/>
        </w:rPr>
      </w:pPr>
      <w:r w:rsidRPr="00806827">
        <w:rPr>
          <w:b/>
          <w:noProof/>
        </w:rPr>
        <mc:AlternateContent>
          <mc:Choice Requires="wps">
            <w:drawing>
              <wp:anchor distT="45720" distB="45720" distL="114300" distR="114300" simplePos="0" relativeHeight="251656704" behindDoc="0" locked="0" layoutInCell="1" allowOverlap="1" wp14:anchorId="648C6835" wp14:editId="610F3027">
                <wp:simplePos x="0" y="0"/>
                <wp:positionH relativeFrom="column">
                  <wp:posOffset>5191125</wp:posOffset>
                </wp:positionH>
                <wp:positionV relativeFrom="paragraph">
                  <wp:posOffset>170815</wp:posOffset>
                </wp:positionV>
                <wp:extent cx="1600200" cy="314325"/>
                <wp:effectExtent l="0" t="0" r="0"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w="9525">
                          <a:noFill/>
                          <a:miter lim="800000"/>
                          <a:headEnd/>
                          <a:tailEnd/>
                        </a:ln>
                      </wps:spPr>
                      <wps:txbx>
                        <w:txbxContent>
                          <w:p w14:paraId="1ECE9D84" w14:textId="77777777" w:rsidR="008C60A7" w:rsidRDefault="008C60A7" w:rsidP="00167E3B">
                            <w:r>
                              <w:t>Improved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C6835" id="_x0000_t202" coordsize="21600,21600" o:spt="202" path="m,l,21600r21600,l21600,xe">
                <v:stroke joinstyle="miter"/>
                <v:path gradientshapeok="t" o:connecttype="rect"/>
              </v:shapetype>
              <v:shape id="Text Box 2" o:spid="_x0000_s1026" type="#_x0000_t202" style="position:absolute;margin-left:408.75pt;margin-top:13.45pt;width:126pt;height:24.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" stroked="f">
                <v:textbox>
                  <w:txbxContent>
                    <w:p w14:paraId="1ECE9D84" w14:textId="77777777" w:rsidR="008C60A7" w:rsidRDefault="008C60A7" w:rsidP="00167E3B">
                      <w:r>
                        <w:t>Improved performance</w:t>
                      </w:r>
                    </w:p>
                  </w:txbxContent>
                </v:textbox>
                <w10:wrap type="square"/>
              </v:shape>
            </w:pict>
          </mc:Fallback>
        </mc:AlternateContent>
      </w:r>
    </w:p>
    <w:p w14:paraId="69C852FF" w14:textId="5199F3D3" w:rsidR="00167E3B" w:rsidRPr="00806827" w:rsidRDefault="00167E3B" w:rsidP="00167E3B">
      <w:pPr>
        <w:rPr>
          <w:b/>
        </w:rPr>
      </w:pPr>
    </w:p>
    <w:p w14:paraId="452502CA" w14:textId="77777777" w:rsidR="00167E3B" w:rsidRPr="00806827" w:rsidRDefault="00167E3B" w:rsidP="00167E3B">
      <w:pPr>
        <w:rPr>
          <w:b/>
        </w:rPr>
      </w:pPr>
    </w:p>
    <w:p w14:paraId="37E8C66A" w14:textId="77777777" w:rsidR="00167E3B" w:rsidRPr="00806827" w:rsidRDefault="00167E3B" w:rsidP="00167E3B">
      <w:pPr>
        <w:rPr>
          <w:b/>
        </w:rPr>
      </w:pPr>
    </w:p>
    <w:p w14:paraId="7810B1D6" w14:textId="1380234B" w:rsidR="00167E3B" w:rsidRPr="00806827" w:rsidRDefault="00167E3B" w:rsidP="00167E3B">
      <w:pPr>
        <w:rPr>
          <w:b/>
        </w:rPr>
      </w:pPr>
    </w:p>
    <w:p w14:paraId="33835D13" w14:textId="35D69D15" w:rsidR="00167E3B" w:rsidRPr="00806827" w:rsidRDefault="00005712" w:rsidP="00167E3B">
      <w:pPr>
        <w:rPr>
          <w:b/>
        </w:rPr>
      </w:pPr>
      <w:r w:rsidRPr="00806827">
        <w:rPr>
          <w:b/>
          <w:noProof/>
        </w:rPr>
        <mc:AlternateContent>
          <mc:Choice Requires="wps">
            <w:drawing>
              <wp:anchor distT="45720" distB="45720" distL="114300" distR="114300" simplePos="0" relativeHeight="251655680" behindDoc="0" locked="0" layoutInCell="1" allowOverlap="1" wp14:anchorId="3DA2D06A" wp14:editId="747AD9E5">
                <wp:simplePos x="0" y="0"/>
                <wp:positionH relativeFrom="column">
                  <wp:posOffset>2021840</wp:posOffset>
                </wp:positionH>
                <wp:positionV relativeFrom="paragraph">
                  <wp:posOffset>145415</wp:posOffset>
                </wp:positionV>
                <wp:extent cx="16002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w="9525">
                          <a:noFill/>
                          <a:miter lim="800000"/>
                          <a:headEnd/>
                          <a:tailEnd/>
                        </a:ln>
                      </wps:spPr>
                      <wps:txbx>
                        <w:txbxContent>
                          <w:p w14:paraId="254E41A2" w14:textId="77777777" w:rsidR="008C60A7" w:rsidRDefault="008C60A7" w:rsidP="00167E3B">
                            <w:r>
                              <w:t>Improved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2D06A" id="_x0000_s1027" type="#_x0000_t202" style="position:absolute;margin-left:159.2pt;margin-top:11.45pt;width:126pt;height:24.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" stroked="f">
                <v:textbox>
                  <w:txbxContent>
                    <w:p w14:paraId="254E41A2" w14:textId="77777777" w:rsidR="008C60A7" w:rsidRDefault="008C60A7" w:rsidP="00167E3B">
                      <w:r>
                        <w:t>Improved performance</w:t>
                      </w:r>
                    </w:p>
                  </w:txbxContent>
                </v:textbox>
                <w10:wrap type="square"/>
              </v:shape>
            </w:pict>
          </mc:Fallback>
        </mc:AlternateContent>
      </w:r>
    </w:p>
    <w:p w14:paraId="51965EF8" w14:textId="4B816C0F" w:rsidR="00167E3B" w:rsidRPr="00806827" w:rsidRDefault="00167E3B" w:rsidP="00167E3B">
      <w:pPr>
        <w:rPr>
          <w:b/>
        </w:rPr>
      </w:pPr>
    </w:p>
    <w:p w14:paraId="10C62B5C" w14:textId="77777777" w:rsidR="00167E3B" w:rsidRPr="00806827" w:rsidRDefault="00167E3B" w:rsidP="00167E3B">
      <w:pPr>
        <w:rPr>
          <w:b/>
        </w:rPr>
      </w:pPr>
    </w:p>
    <w:p w14:paraId="1D7A250B" w14:textId="3D24BEFF" w:rsidR="00167E3B" w:rsidRPr="00806827" w:rsidRDefault="00167E3B" w:rsidP="00167E3B">
      <w:pPr>
        <w:rPr>
          <w:b/>
        </w:rPr>
      </w:pPr>
    </w:p>
    <w:p w14:paraId="71EBC872" w14:textId="02C9FE6A" w:rsidR="00167E3B" w:rsidRPr="00806827" w:rsidRDefault="00167E3B" w:rsidP="00167E3B">
      <w:pPr>
        <w:rPr>
          <w:b/>
        </w:rPr>
      </w:pPr>
    </w:p>
    <w:p w14:paraId="7D75B91E" w14:textId="77777777" w:rsidR="00167E3B" w:rsidRPr="00806827" w:rsidRDefault="00167E3B" w:rsidP="00167E3B">
      <w:pPr>
        <w:rPr>
          <w:b/>
        </w:rPr>
      </w:pPr>
    </w:p>
    <w:p w14:paraId="7030E6D5" w14:textId="77777777" w:rsidR="00167E3B" w:rsidRPr="00806827" w:rsidRDefault="00167E3B" w:rsidP="00167E3B">
      <w:pPr>
        <w:rPr>
          <w:b/>
        </w:rPr>
      </w:pPr>
    </w:p>
    <w:p w14:paraId="57A44167" w14:textId="492B8BD6" w:rsidR="00781F56" w:rsidRPr="00806827" w:rsidRDefault="008B2CDC" w:rsidP="007F6FEB">
      <w:pPr>
        <w:pStyle w:val="Figure"/>
      </w:pPr>
      <w:bookmarkStart w:id="6" w:name="_Toc511729358"/>
      <w:r w:rsidRPr="00806827">
        <w:rPr>
          <w:b/>
        </w:rPr>
        <w:t>Supplemental Figure 2.</w:t>
      </w:r>
      <w:r w:rsidRPr="00806827">
        <w:t xml:space="preserve"> </w:t>
      </w:r>
      <w:r w:rsidR="00167E3B" w:rsidRPr="00806827">
        <w:t>Reclassification plots of predicted probability before and after inclusion of pregnancy complications among A) observations where</w:t>
      </w:r>
      <w:r w:rsidR="000C4EAE" w:rsidRPr="00806827">
        <w:t xml:space="preserve"> no </w:t>
      </w:r>
      <w:r w:rsidR="00010FF8" w:rsidRPr="00806827">
        <w:t>CVD</w:t>
      </w:r>
      <w:r w:rsidR="000C4EAE" w:rsidRPr="00806827">
        <w:t xml:space="preserve"> event occurred (n= 25,</w:t>
      </w:r>
      <w:r w:rsidR="00E13DF1" w:rsidRPr="00806827">
        <w:t>579</w:t>
      </w:r>
      <w:r w:rsidR="00167E3B" w:rsidRPr="00806827">
        <w:t>), here observations below the dashed line indicate improved model performance and B) observations whe</w:t>
      </w:r>
      <w:r w:rsidR="000C4EAE" w:rsidRPr="00806827">
        <w:t xml:space="preserve">re a </w:t>
      </w:r>
      <w:r w:rsidR="00010FF8" w:rsidRPr="00806827">
        <w:t>CVD</w:t>
      </w:r>
      <w:r w:rsidR="000C4EAE" w:rsidRPr="00806827">
        <w:t xml:space="preserve"> event occurred (n=</w:t>
      </w:r>
      <w:r w:rsidR="00E13DF1" w:rsidRPr="00806827">
        <w:t>965</w:t>
      </w:r>
      <w:r w:rsidR="00167E3B" w:rsidRPr="00806827">
        <w:t>), here observations above the dashed line indicate improved model performance</w:t>
      </w:r>
      <w:bookmarkEnd w:id="6"/>
      <w:r w:rsidR="00F84D75" w:rsidRPr="00806827">
        <w:t xml:space="preserve">. The cluster of women on or near the dashed line represent women without pregnancy complications, whose predicted probability remained similar in both models. The cluster of women well above the line represent women with preeclampsia, whose predicted probability increased and women well below the line represent women with </w:t>
      </w:r>
      <w:r w:rsidR="00FF6496" w:rsidRPr="00806827">
        <w:t>gestational hypertension, whose predicted probability decreased after adding pregnancy complications to the model.</w:t>
      </w:r>
      <w:r w:rsidR="00781F56" w:rsidRPr="00806827">
        <w:br w:type="page"/>
      </w:r>
    </w:p>
    <w:p w14:paraId="20791545" w14:textId="6F2AEFE5" w:rsidR="00781F56" w:rsidRPr="00806827" w:rsidRDefault="00781F56" w:rsidP="00781F56">
      <w:pPr>
        <w:pStyle w:val="Table"/>
      </w:pPr>
      <w:r w:rsidRPr="00806827">
        <w:rPr>
          <w:b/>
        </w:rPr>
        <w:lastRenderedPageBreak/>
        <w:t>Supplemental Table 4.</w:t>
      </w:r>
      <w:r w:rsidRPr="00806827">
        <w:t xml:space="preserve"> Reclassification of CVD risk category after including preeclampsia history</w:t>
      </w:r>
      <w:r w:rsidRPr="00806827">
        <w:rPr>
          <w:vertAlign w:val="superscript"/>
        </w:rPr>
        <w:t xml:space="preserve"> a</w:t>
      </w:r>
    </w:p>
    <w:tbl>
      <w:tblPr>
        <w:tblW w:w="12361" w:type="dxa"/>
        <w:tblLook w:val="04A0" w:firstRow="1" w:lastRow="0" w:firstColumn="1" w:lastColumn="0" w:noHBand="0" w:noVBand="1"/>
      </w:tblPr>
      <w:tblGrid>
        <w:gridCol w:w="4292"/>
        <w:gridCol w:w="1008"/>
        <w:gridCol w:w="1009"/>
        <w:gridCol w:w="1008"/>
        <w:gridCol w:w="1009"/>
        <w:gridCol w:w="1008"/>
        <w:gridCol w:w="1009"/>
        <w:gridCol w:w="1008"/>
        <w:gridCol w:w="1010"/>
      </w:tblGrid>
      <w:tr w:rsidR="00781F56" w:rsidRPr="00806827" w14:paraId="337B45CB" w14:textId="77777777" w:rsidTr="00D43505">
        <w:trPr>
          <w:trHeight w:val="287"/>
        </w:trPr>
        <w:tc>
          <w:tcPr>
            <w:tcW w:w="4292" w:type="dxa"/>
            <w:tcBorders>
              <w:top w:val="single" w:sz="4" w:space="0" w:color="auto"/>
              <w:left w:val="nil"/>
              <w:bottom w:val="nil"/>
              <w:right w:val="nil"/>
            </w:tcBorders>
            <w:shd w:val="clear" w:color="auto" w:fill="auto"/>
            <w:noWrap/>
            <w:vAlign w:val="bottom"/>
            <w:hideMark/>
          </w:tcPr>
          <w:p w14:paraId="6031CC95" w14:textId="77777777" w:rsidR="00781F56" w:rsidRPr="00806827" w:rsidRDefault="00781F56" w:rsidP="00D43505">
            <w:pPr>
              <w:spacing w:before="120" w:after="0" w:line="300" w:lineRule="auto"/>
              <w:rPr>
                <w:color w:val="000000"/>
                <w:szCs w:val="24"/>
              </w:rPr>
            </w:pPr>
            <w:r w:rsidRPr="00806827">
              <w:rPr>
                <w:color w:val="000000"/>
                <w:szCs w:val="24"/>
              </w:rPr>
              <w:t> </w:t>
            </w:r>
          </w:p>
        </w:tc>
        <w:tc>
          <w:tcPr>
            <w:tcW w:w="8069" w:type="dxa"/>
            <w:gridSpan w:val="8"/>
            <w:tcBorders>
              <w:top w:val="single" w:sz="4" w:space="0" w:color="auto"/>
              <w:left w:val="nil"/>
              <w:bottom w:val="nil"/>
              <w:right w:val="nil"/>
            </w:tcBorders>
            <w:shd w:val="clear" w:color="auto" w:fill="auto"/>
            <w:vAlign w:val="bottom"/>
            <w:hideMark/>
          </w:tcPr>
          <w:p w14:paraId="71826C22" w14:textId="5709F082" w:rsidR="00781F56" w:rsidRPr="00806827" w:rsidRDefault="00781F56" w:rsidP="00D43505">
            <w:pPr>
              <w:spacing w:before="120" w:after="0" w:line="300" w:lineRule="auto"/>
              <w:jc w:val="center"/>
              <w:rPr>
                <w:color w:val="000000"/>
                <w:szCs w:val="24"/>
              </w:rPr>
            </w:pPr>
            <w:r w:rsidRPr="00806827">
              <w:rPr>
                <w:color w:val="000000"/>
                <w:szCs w:val="24"/>
              </w:rPr>
              <w:t xml:space="preserve">Established CVD risk factor model + </w:t>
            </w:r>
            <w:r w:rsidRPr="00806827">
              <w:rPr>
                <w:szCs w:val="24"/>
              </w:rPr>
              <w:t>preeclampsia history</w:t>
            </w:r>
          </w:p>
        </w:tc>
      </w:tr>
      <w:tr w:rsidR="00781F56" w:rsidRPr="00806827" w14:paraId="572C517F" w14:textId="77777777" w:rsidTr="00D43505">
        <w:trPr>
          <w:trHeight w:val="705"/>
        </w:trPr>
        <w:tc>
          <w:tcPr>
            <w:tcW w:w="4292" w:type="dxa"/>
            <w:tcBorders>
              <w:top w:val="nil"/>
              <w:left w:val="nil"/>
              <w:bottom w:val="nil"/>
              <w:right w:val="nil"/>
            </w:tcBorders>
            <w:shd w:val="clear" w:color="auto" w:fill="auto"/>
            <w:vAlign w:val="bottom"/>
            <w:hideMark/>
          </w:tcPr>
          <w:p w14:paraId="1B3156E3" w14:textId="77777777" w:rsidR="00781F56" w:rsidRPr="00806827" w:rsidRDefault="00781F56" w:rsidP="00D43505">
            <w:pPr>
              <w:spacing w:before="120" w:after="0" w:line="300" w:lineRule="auto"/>
              <w:jc w:val="center"/>
              <w:rPr>
                <w:color w:val="000000"/>
                <w:szCs w:val="24"/>
              </w:rPr>
            </w:pPr>
          </w:p>
        </w:tc>
        <w:tc>
          <w:tcPr>
            <w:tcW w:w="2017" w:type="dxa"/>
            <w:gridSpan w:val="2"/>
            <w:tcBorders>
              <w:top w:val="nil"/>
              <w:left w:val="nil"/>
              <w:bottom w:val="nil"/>
              <w:right w:val="nil"/>
            </w:tcBorders>
            <w:shd w:val="clear" w:color="auto" w:fill="auto"/>
            <w:vAlign w:val="bottom"/>
            <w:hideMark/>
          </w:tcPr>
          <w:p w14:paraId="4EDF09A5" w14:textId="77777777" w:rsidR="00781F56" w:rsidRPr="00806827" w:rsidRDefault="00781F56" w:rsidP="00D43505">
            <w:pPr>
              <w:spacing w:before="120" w:after="0" w:line="300" w:lineRule="auto"/>
              <w:jc w:val="center"/>
              <w:rPr>
                <w:color w:val="000000"/>
                <w:szCs w:val="24"/>
              </w:rPr>
            </w:pPr>
            <w:r w:rsidRPr="00806827">
              <w:rPr>
                <w:color w:val="000000"/>
                <w:szCs w:val="24"/>
              </w:rPr>
              <w:t xml:space="preserve">Low risk </w:t>
            </w:r>
            <w:r w:rsidRPr="00806827">
              <w:rPr>
                <w:color w:val="000000"/>
                <w:szCs w:val="24"/>
              </w:rPr>
              <w:br/>
              <w:t>(0-&lt;5%)</w:t>
            </w:r>
          </w:p>
        </w:tc>
        <w:tc>
          <w:tcPr>
            <w:tcW w:w="2017" w:type="dxa"/>
            <w:gridSpan w:val="2"/>
            <w:tcBorders>
              <w:top w:val="nil"/>
              <w:left w:val="nil"/>
              <w:bottom w:val="nil"/>
              <w:right w:val="nil"/>
            </w:tcBorders>
            <w:shd w:val="clear" w:color="auto" w:fill="auto"/>
            <w:vAlign w:val="bottom"/>
            <w:hideMark/>
          </w:tcPr>
          <w:p w14:paraId="5D81EE35" w14:textId="77777777" w:rsidR="00781F56" w:rsidRPr="00806827" w:rsidRDefault="00781F56" w:rsidP="00D43505">
            <w:pPr>
              <w:spacing w:before="120" w:after="0" w:line="300" w:lineRule="auto"/>
              <w:jc w:val="center"/>
              <w:rPr>
                <w:color w:val="000000"/>
                <w:szCs w:val="24"/>
              </w:rPr>
            </w:pPr>
            <w:r w:rsidRPr="00806827">
              <w:rPr>
                <w:color w:val="000000"/>
                <w:szCs w:val="24"/>
              </w:rPr>
              <w:t xml:space="preserve">Intermediate risk </w:t>
            </w:r>
            <w:r w:rsidRPr="00806827">
              <w:rPr>
                <w:color w:val="000000"/>
                <w:szCs w:val="24"/>
              </w:rPr>
              <w:br/>
              <w:t>(5-&lt;10%)</w:t>
            </w:r>
          </w:p>
        </w:tc>
        <w:tc>
          <w:tcPr>
            <w:tcW w:w="2017" w:type="dxa"/>
            <w:gridSpan w:val="2"/>
            <w:tcBorders>
              <w:top w:val="nil"/>
              <w:left w:val="nil"/>
              <w:bottom w:val="nil"/>
              <w:right w:val="nil"/>
            </w:tcBorders>
            <w:shd w:val="clear" w:color="auto" w:fill="auto"/>
            <w:vAlign w:val="bottom"/>
            <w:hideMark/>
          </w:tcPr>
          <w:p w14:paraId="5C9C5D57" w14:textId="77777777" w:rsidR="00781F56" w:rsidRPr="00806827" w:rsidRDefault="00781F56" w:rsidP="00D43505">
            <w:pPr>
              <w:spacing w:before="120" w:after="0" w:line="300" w:lineRule="auto"/>
              <w:jc w:val="center"/>
              <w:rPr>
                <w:color w:val="000000"/>
                <w:szCs w:val="24"/>
              </w:rPr>
            </w:pPr>
            <w:r w:rsidRPr="00806827">
              <w:rPr>
                <w:color w:val="000000"/>
                <w:szCs w:val="24"/>
              </w:rPr>
              <w:t xml:space="preserve">High risk </w:t>
            </w:r>
            <w:r w:rsidRPr="00806827">
              <w:rPr>
                <w:color w:val="000000"/>
                <w:szCs w:val="24"/>
              </w:rPr>
              <w:br/>
              <w:t>(</w:t>
            </w:r>
            <w:r w:rsidRPr="00806827">
              <w:rPr>
                <w:szCs w:val="24"/>
              </w:rPr>
              <w:t>≥10%</w:t>
            </w:r>
            <w:r w:rsidRPr="00806827">
              <w:rPr>
                <w:color w:val="000000"/>
                <w:szCs w:val="24"/>
              </w:rPr>
              <w:t>)</w:t>
            </w:r>
          </w:p>
        </w:tc>
        <w:tc>
          <w:tcPr>
            <w:tcW w:w="2018" w:type="dxa"/>
            <w:gridSpan w:val="2"/>
            <w:tcBorders>
              <w:top w:val="nil"/>
              <w:left w:val="nil"/>
              <w:bottom w:val="nil"/>
              <w:right w:val="nil"/>
            </w:tcBorders>
            <w:shd w:val="clear" w:color="auto" w:fill="auto"/>
            <w:vAlign w:val="bottom"/>
            <w:hideMark/>
          </w:tcPr>
          <w:p w14:paraId="75B5B6A2" w14:textId="77777777" w:rsidR="00781F56" w:rsidRPr="00806827" w:rsidRDefault="00781F56" w:rsidP="00D43505">
            <w:pPr>
              <w:spacing w:before="120" w:after="0" w:line="300" w:lineRule="auto"/>
              <w:jc w:val="center"/>
              <w:rPr>
                <w:color w:val="000000"/>
                <w:szCs w:val="24"/>
              </w:rPr>
            </w:pPr>
            <w:r w:rsidRPr="00806827">
              <w:rPr>
                <w:color w:val="000000"/>
                <w:szCs w:val="24"/>
              </w:rPr>
              <w:t>Total</w:t>
            </w:r>
          </w:p>
        </w:tc>
      </w:tr>
      <w:tr w:rsidR="00781F56" w:rsidRPr="00806827" w14:paraId="02B94BD2" w14:textId="77777777" w:rsidTr="00D43505">
        <w:trPr>
          <w:trHeight w:val="287"/>
        </w:trPr>
        <w:tc>
          <w:tcPr>
            <w:tcW w:w="4292" w:type="dxa"/>
            <w:tcBorders>
              <w:top w:val="nil"/>
              <w:left w:val="nil"/>
              <w:bottom w:val="single" w:sz="4" w:space="0" w:color="auto"/>
              <w:right w:val="nil"/>
            </w:tcBorders>
            <w:shd w:val="clear" w:color="auto" w:fill="auto"/>
            <w:noWrap/>
            <w:vAlign w:val="bottom"/>
            <w:hideMark/>
          </w:tcPr>
          <w:p w14:paraId="5A3F5DA9" w14:textId="77777777" w:rsidR="00781F56" w:rsidRPr="00806827" w:rsidRDefault="00781F56" w:rsidP="00D43505">
            <w:pPr>
              <w:spacing w:before="120" w:after="0" w:line="300" w:lineRule="auto"/>
              <w:rPr>
                <w:color w:val="000000"/>
                <w:szCs w:val="24"/>
              </w:rPr>
            </w:pPr>
            <w:r w:rsidRPr="00806827">
              <w:rPr>
                <w:color w:val="000000"/>
                <w:szCs w:val="24"/>
              </w:rPr>
              <w:t>Established CVD risk factor model</w:t>
            </w:r>
          </w:p>
        </w:tc>
        <w:tc>
          <w:tcPr>
            <w:tcW w:w="1008" w:type="dxa"/>
            <w:tcBorders>
              <w:top w:val="nil"/>
              <w:left w:val="nil"/>
              <w:bottom w:val="single" w:sz="4" w:space="0" w:color="auto"/>
              <w:right w:val="nil"/>
            </w:tcBorders>
            <w:shd w:val="clear" w:color="auto" w:fill="auto"/>
            <w:vAlign w:val="bottom"/>
            <w:hideMark/>
          </w:tcPr>
          <w:p w14:paraId="4BF90525" w14:textId="77777777" w:rsidR="00781F56" w:rsidRPr="00806827" w:rsidRDefault="00781F56" w:rsidP="00D43505">
            <w:pPr>
              <w:spacing w:before="120" w:after="0" w:line="300" w:lineRule="auto"/>
              <w:jc w:val="center"/>
              <w:rPr>
                <w:color w:val="000000"/>
                <w:szCs w:val="24"/>
              </w:rPr>
            </w:pPr>
            <w:r w:rsidRPr="00806827">
              <w:rPr>
                <w:color w:val="000000"/>
                <w:szCs w:val="24"/>
              </w:rPr>
              <w:t>N</w:t>
            </w:r>
          </w:p>
        </w:tc>
        <w:tc>
          <w:tcPr>
            <w:tcW w:w="1009" w:type="dxa"/>
            <w:tcBorders>
              <w:top w:val="nil"/>
              <w:left w:val="nil"/>
              <w:bottom w:val="single" w:sz="4" w:space="0" w:color="auto"/>
              <w:right w:val="nil"/>
            </w:tcBorders>
            <w:shd w:val="clear" w:color="auto" w:fill="auto"/>
            <w:vAlign w:val="bottom"/>
            <w:hideMark/>
          </w:tcPr>
          <w:p w14:paraId="2B4733BC" w14:textId="77777777" w:rsidR="00781F56" w:rsidRPr="00806827" w:rsidRDefault="00781F56" w:rsidP="00D43505">
            <w:pPr>
              <w:spacing w:before="120" w:after="0" w:line="300" w:lineRule="auto"/>
              <w:jc w:val="center"/>
              <w:rPr>
                <w:color w:val="000000"/>
                <w:szCs w:val="24"/>
              </w:rPr>
            </w:pPr>
            <w:r w:rsidRPr="00806827">
              <w:rPr>
                <w:color w:val="000000"/>
                <w:szCs w:val="24"/>
              </w:rPr>
              <w:t>%</w:t>
            </w:r>
          </w:p>
        </w:tc>
        <w:tc>
          <w:tcPr>
            <w:tcW w:w="1008" w:type="dxa"/>
            <w:tcBorders>
              <w:top w:val="nil"/>
              <w:left w:val="nil"/>
              <w:bottom w:val="single" w:sz="4" w:space="0" w:color="auto"/>
              <w:right w:val="nil"/>
            </w:tcBorders>
            <w:shd w:val="clear" w:color="auto" w:fill="auto"/>
            <w:vAlign w:val="bottom"/>
            <w:hideMark/>
          </w:tcPr>
          <w:p w14:paraId="65987E39" w14:textId="77777777" w:rsidR="00781F56" w:rsidRPr="00806827" w:rsidRDefault="00781F56" w:rsidP="00D43505">
            <w:pPr>
              <w:spacing w:before="120" w:after="0" w:line="300" w:lineRule="auto"/>
              <w:jc w:val="center"/>
              <w:rPr>
                <w:color w:val="000000"/>
                <w:szCs w:val="24"/>
              </w:rPr>
            </w:pPr>
            <w:r w:rsidRPr="00806827">
              <w:rPr>
                <w:color w:val="000000"/>
                <w:szCs w:val="24"/>
              </w:rPr>
              <w:t>N</w:t>
            </w:r>
          </w:p>
        </w:tc>
        <w:tc>
          <w:tcPr>
            <w:tcW w:w="1009" w:type="dxa"/>
            <w:tcBorders>
              <w:top w:val="nil"/>
              <w:left w:val="nil"/>
              <w:bottom w:val="single" w:sz="4" w:space="0" w:color="auto"/>
              <w:right w:val="nil"/>
            </w:tcBorders>
            <w:shd w:val="clear" w:color="auto" w:fill="auto"/>
            <w:vAlign w:val="bottom"/>
            <w:hideMark/>
          </w:tcPr>
          <w:p w14:paraId="262F4320" w14:textId="77777777" w:rsidR="00781F56" w:rsidRPr="00806827" w:rsidRDefault="00781F56" w:rsidP="00D43505">
            <w:pPr>
              <w:spacing w:before="120" w:after="0" w:line="300" w:lineRule="auto"/>
              <w:jc w:val="center"/>
              <w:rPr>
                <w:color w:val="000000"/>
                <w:szCs w:val="24"/>
              </w:rPr>
            </w:pPr>
            <w:r w:rsidRPr="00806827">
              <w:rPr>
                <w:color w:val="000000"/>
                <w:szCs w:val="24"/>
              </w:rPr>
              <w:t>%</w:t>
            </w:r>
          </w:p>
        </w:tc>
        <w:tc>
          <w:tcPr>
            <w:tcW w:w="1008" w:type="dxa"/>
            <w:tcBorders>
              <w:top w:val="nil"/>
              <w:left w:val="nil"/>
              <w:bottom w:val="single" w:sz="4" w:space="0" w:color="auto"/>
              <w:right w:val="nil"/>
            </w:tcBorders>
            <w:shd w:val="clear" w:color="auto" w:fill="auto"/>
            <w:vAlign w:val="bottom"/>
            <w:hideMark/>
          </w:tcPr>
          <w:p w14:paraId="7E2EE41C" w14:textId="77777777" w:rsidR="00781F56" w:rsidRPr="00806827" w:rsidRDefault="00781F56" w:rsidP="00D43505">
            <w:pPr>
              <w:spacing w:before="120" w:after="0" w:line="300" w:lineRule="auto"/>
              <w:jc w:val="center"/>
              <w:rPr>
                <w:color w:val="000000"/>
                <w:szCs w:val="24"/>
              </w:rPr>
            </w:pPr>
            <w:r w:rsidRPr="00806827">
              <w:rPr>
                <w:color w:val="000000"/>
                <w:szCs w:val="24"/>
              </w:rPr>
              <w:t>N</w:t>
            </w:r>
          </w:p>
        </w:tc>
        <w:tc>
          <w:tcPr>
            <w:tcW w:w="1009" w:type="dxa"/>
            <w:tcBorders>
              <w:top w:val="nil"/>
              <w:left w:val="nil"/>
              <w:bottom w:val="single" w:sz="4" w:space="0" w:color="auto"/>
              <w:right w:val="nil"/>
            </w:tcBorders>
            <w:shd w:val="clear" w:color="auto" w:fill="auto"/>
            <w:vAlign w:val="bottom"/>
            <w:hideMark/>
          </w:tcPr>
          <w:p w14:paraId="67F1FCEE" w14:textId="77777777" w:rsidR="00781F56" w:rsidRPr="00806827" w:rsidRDefault="00781F56" w:rsidP="00D43505">
            <w:pPr>
              <w:spacing w:before="120" w:after="0" w:line="300" w:lineRule="auto"/>
              <w:jc w:val="center"/>
              <w:rPr>
                <w:color w:val="000000"/>
                <w:szCs w:val="24"/>
              </w:rPr>
            </w:pPr>
            <w:r w:rsidRPr="00806827">
              <w:rPr>
                <w:color w:val="000000"/>
                <w:szCs w:val="24"/>
              </w:rPr>
              <w:t>%</w:t>
            </w:r>
          </w:p>
        </w:tc>
        <w:tc>
          <w:tcPr>
            <w:tcW w:w="1008" w:type="dxa"/>
            <w:tcBorders>
              <w:top w:val="nil"/>
              <w:left w:val="nil"/>
              <w:bottom w:val="single" w:sz="4" w:space="0" w:color="auto"/>
              <w:right w:val="nil"/>
            </w:tcBorders>
            <w:shd w:val="clear" w:color="auto" w:fill="auto"/>
            <w:vAlign w:val="bottom"/>
            <w:hideMark/>
          </w:tcPr>
          <w:p w14:paraId="498132EB" w14:textId="77777777" w:rsidR="00781F56" w:rsidRPr="00806827" w:rsidRDefault="00781F56" w:rsidP="00D43505">
            <w:pPr>
              <w:spacing w:before="120" w:after="0" w:line="300" w:lineRule="auto"/>
              <w:jc w:val="center"/>
              <w:rPr>
                <w:color w:val="000000"/>
                <w:szCs w:val="24"/>
              </w:rPr>
            </w:pPr>
            <w:r w:rsidRPr="00806827">
              <w:rPr>
                <w:color w:val="000000"/>
                <w:szCs w:val="24"/>
              </w:rPr>
              <w:t>N</w:t>
            </w:r>
          </w:p>
        </w:tc>
        <w:tc>
          <w:tcPr>
            <w:tcW w:w="1010" w:type="dxa"/>
            <w:tcBorders>
              <w:top w:val="nil"/>
              <w:left w:val="nil"/>
              <w:bottom w:val="single" w:sz="4" w:space="0" w:color="auto"/>
              <w:right w:val="nil"/>
            </w:tcBorders>
            <w:shd w:val="clear" w:color="auto" w:fill="auto"/>
            <w:vAlign w:val="bottom"/>
            <w:hideMark/>
          </w:tcPr>
          <w:p w14:paraId="7C8B2FE4" w14:textId="77777777" w:rsidR="00781F56" w:rsidRPr="00806827" w:rsidRDefault="00781F56" w:rsidP="00D43505">
            <w:pPr>
              <w:spacing w:before="120" w:after="0" w:line="300" w:lineRule="auto"/>
              <w:jc w:val="center"/>
              <w:rPr>
                <w:color w:val="000000"/>
                <w:szCs w:val="24"/>
              </w:rPr>
            </w:pPr>
            <w:r w:rsidRPr="00806827">
              <w:rPr>
                <w:color w:val="000000"/>
                <w:szCs w:val="24"/>
              </w:rPr>
              <w:t>%</w:t>
            </w:r>
          </w:p>
        </w:tc>
      </w:tr>
      <w:tr w:rsidR="008D799C" w:rsidRPr="00806827" w14:paraId="351BC952" w14:textId="77777777" w:rsidTr="008D799C">
        <w:trPr>
          <w:trHeight w:val="287"/>
        </w:trPr>
        <w:tc>
          <w:tcPr>
            <w:tcW w:w="4292" w:type="dxa"/>
            <w:tcBorders>
              <w:top w:val="nil"/>
              <w:left w:val="nil"/>
              <w:bottom w:val="nil"/>
              <w:right w:val="nil"/>
            </w:tcBorders>
            <w:shd w:val="clear" w:color="auto" w:fill="auto"/>
            <w:noWrap/>
            <w:vAlign w:val="bottom"/>
            <w:hideMark/>
          </w:tcPr>
          <w:p w14:paraId="199E72DC" w14:textId="77777777" w:rsidR="008D799C" w:rsidRPr="00806827" w:rsidRDefault="008D799C" w:rsidP="008D799C">
            <w:pPr>
              <w:spacing w:before="120" w:after="0" w:line="300" w:lineRule="auto"/>
              <w:rPr>
                <w:i/>
                <w:iCs/>
                <w:color w:val="000000"/>
                <w:szCs w:val="24"/>
              </w:rPr>
            </w:pPr>
            <w:r w:rsidRPr="00806827">
              <w:rPr>
                <w:i/>
                <w:iCs/>
                <w:color w:val="000000"/>
                <w:szCs w:val="24"/>
              </w:rPr>
              <w:t>Observations with incident CVD event</w:t>
            </w:r>
          </w:p>
        </w:tc>
        <w:tc>
          <w:tcPr>
            <w:tcW w:w="1008" w:type="dxa"/>
            <w:tcBorders>
              <w:top w:val="nil"/>
              <w:left w:val="nil"/>
              <w:bottom w:val="nil"/>
              <w:right w:val="nil"/>
            </w:tcBorders>
            <w:shd w:val="clear" w:color="auto" w:fill="auto"/>
            <w:hideMark/>
          </w:tcPr>
          <w:p w14:paraId="6EA924E8" w14:textId="1DFC95C0" w:rsidR="008D799C" w:rsidRPr="00806827" w:rsidRDefault="008D799C" w:rsidP="008D799C">
            <w:pPr>
              <w:spacing w:before="120" w:after="0" w:line="300" w:lineRule="auto"/>
              <w:rPr>
                <w:color w:val="000000"/>
                <w:szCs w:val="24"/>
              </w:rPr>
            </w:pPr>
          </w:p>
        </w:tc>
        <w:tc>
          <w:tcPr>
            <w:tcW w:w="1009" w:type="dxa"/>
            <w:tcBorders>
              <w:top w:val="nil"/>
              <w:left w:val="nil"/>
              <w:bottom w:val="nil"/>
              <w:right w:val="nil"/>
            </w:tcBorders>
            <w:shd w:val="clear" w:color="auto" w:fill="auto"/>
            <w:hideMark/>
          </w:tcPr>
          <w:p w14:paraId="69F9D7F5" w14:textId="7E099ABF" w:rsidR="008D799C" w:rsidRPr="00806827" w:rsidRDefault="008D799C" w:rsidP="008D799C">
            <w:pPr>
              <w:spacing w:before="120" w:after="0" w:line="300" w:lineRule="auto"/>
              <w:rPr>
                <w:color w:val="000000"/>
                <w:szCs w:val="24"/>
              </w:rPr>
            </w:pPr>
          </w:p>
        </w:tc>
        <w:tc>
          <w:tcPr>
            <w:tcW w:w="1008" w:type="dxa"/>
            <w:tcBorders>
              <w:top w:val="nil"/>
              <w:left w:val="nil"/>
              <w:bottom w:val="nil"/>
              <w:right w:val="nil"/>
            </w:tcBorders>
            <w:shd w:val="clear" w:color="auto" w:fill="auto"/>
            <w:hideMark/>
          </w:tcPr>
          <w:p w14:paraId="30DEBFA0" w14:textId="518293D6" w:rsidR="008D799C" w:rsidRPr="00806827" w:rsidRDefault="008D799C" w:rsidP="008D799C">
            <w:pPr>
              <w:spacing w:before="120" w:after="0" w:line="300" w:lineRule="auto"/>
              <w:rPr>
                <w:color w:val="000000"/>
                <w:szCs w:val="24"/>
              </w:rPr>
            </w:pPr>
          </w:p>
        </w:tc>
        <w:tc>
          <w:tcPr>
            <w:tcW w:w="1009" w:type="dxa"/>
            <w:tcBorders>
              <w:top w:val="nil"/>
              <w:left w:val="nil"/>
              <w:bottom w:val="nil"/>
              <w:right w:val="nil"/>
            </w:tcBorders>
            <w:shd w:val="clear" w:color="auto" w:fill="auto"/>
            <w:hideMark/>
          </w:tcPr>
          <w:p w14:paraId="6C6A2CFF" w14:textId="196E5BBA" w:rsidR="008D799C" w:rsidRPr="00806827" w:rsidRDefault="008D799C" w:rsidP="008D799C">
            <w:pPr>
              <w:spacing w:before="120" w:after="0" w:line="300" w:lineRule="auto"/>
              <w:rPr>
                <w:color w:val="000000"/>
                <w:szCs w:val="24"/>
              </w:rPr>
            </w:pPr>
          </w:p>
        </w:tc>
        <w:tc>
          <w:tcPr>
            <w:tcW w:w="1008" w:type="dxa"/>
            <w:tcBorders>
              <w:top w:val="nil"/>
              <w:left w:val="nil"/>
              <w:bottom w:val="nil"/>
              <w:right w:val="nil"/>
            </w:tcBorders>
            <w:shd w:val="clear" w:color="auto" w:fill="auto"/>
            <w:hideMark/>
          </w:tcPr>
          <w:p w14:paraId="404D249A" w14:textId="39C1A006" w:rsidR="008D799C" w:rsidRPr="00806827" w:rsidRDefault="008D799C" w:rsidP="008D799C">
            <w:pPr>
              <w:spacing w:before="120" w:after="0" w:line="300" w:lineRule="auto"/>
              <w:rPr>
                <w:color w:val="000000"/>
                <w:szCs w:val="24"/>
              </w:rPr>
            </w:pPr>
          </w:p>
        </w:tc>
        <w:tc>
          <w:tcPr>
            <w:tcW w:w="1009" w:type="dxa"/>
            <w:tcBorders>
              <w:top w:val="nil"/>
              <w:left w:val="nil"/>
              <w:bottom w:val="nil"/>
              <w:right w:val="nil"/>
            </w:tcBorders>
            <w:shd w:val="clear" w:color="auto" w:fill="auto"/>
            <w:hideMark/>
          </w:tcPr>
          <w:p w14:paraId="6A820C6C" w14:textId="5424DB86" w:rsidR="008D799C" w:rsidRPr="00806827" w:rsidRDefault="008D799C" w:rsidP="008D799C">
            <w:pPr>
              <w:spacing w:before="120" w:after="0" w:line="300" w:lineRule="auto"/>
              <w:rPr>
                <w:color w:val="000000"/>
                <w:szCs w:val="24"/>
              </w:rPr>
            </w:pPr>
          </w:p>
        </w:tc>
        <w:tc>
          <w:tcPr>
            <w:tcW w:w="1008" w:type="dxa"/>
            <w:tcBorders>
              <w:top w:val="nil"/>
              <w:left w:val="nil"/>
              <w:bottom w:val="nil"/>
              <w:right w:val="nil"/>
            </w:tcBorders>
            <w:shd w:val="clear" w:color="auto" w:fill="auto"/>
            <w:hideMark/>
          </w:tcPr>
          <w:p w14:paraId="1A237B54" w14:textId="25067940" w:rsidR="008D799C" w:rsidRPr="00806827" w:rsidRDefault="008D799C" w:rsidP="008D799C">
            <w:pPr>
              <w:spacing w:before="120" w:after="0" w:line="300" w:lineRule="auto"/>
              <w:rPr>
                <w:color w:val="000000"/>
                <w:szCs w:val="24"/>
              </w:rPr>
            </w:pPr>
          </w:p>
        </w:tc>
        <w:tc>
          <w:tcPr>
            <w:tcW w:w="1010" w:type="dxa"/>
            <w:tcBorders>
              <w:top w:val="nil"/>
              <w:left w:val="nil"/>
              <w:bottom w:val="nil"/>
              <w:right w:val="nil"/>
            </w:tcBorders>
            <w:shd w:val="clear" w:color="auto" w:fill="auto"/>
            <w:hideMark/>
          </w:tcPr>
          <w:p w14:paraId="5E3F152A" w14:textId="0466505D" w:rsidR="008D799C" w:rsidRPr="00806827" w:rsidRDefault="008D799C" w:rsidP="008D799C">
            <w:pPr>
              <w:spacing w:before="120" w:after="0" w:line="300" w:lineRule="auto"/>
              <w:rPr>
                <w:color w:val="000000"/>
                <w:szCs w:val="24"/>
              </w:rPr>
            </w:pPr>
          </w:p>
        </w:tc>
      </w:tr>
      <w:tr w:rsidR="008D799C" w:rsidRPr="00806827" w14:paraId="1C2CF099" w14:textId="77777777" w:rsidTr="00D43505">
        <w:trPr>
          <w:trHeight w:val="287"/>
        </w:trPr>
        <w:tc>
          <w:tcPr>
            <w:tcW w:w="4292" w:type="dxa"/>
            <w:tcBorders>
              <w:top w:val="nil"/>
              <w:left w:val="nil"/>
              <w:bottom w:val="nil"/>
              <w:right w:val="nil"/>
            </w:tcBorders>
            <w:shd w:val="clear" w:color="auto" w:fill="auto"/>
            <w:noWrap/>
            <w:vAlign w:val="bottom"/>
            <w:hideMark/>
          </w:tcPr>
          <w:p w14:paraId="06071932" w14:textId="77777777" w:rsidR="008D799C" w:rsidRPr="00806827" w:rsidRDefault="008D799C" w:rsidP="008D799C">
            <w:pPr>
              <w:spacing w:after="0" w:line="300" w:lineRule="auto"/>
              <w:rPr>
                <w:color w:val="000000"/>
                <w:szCs w:val="24"/>
              </w:rPr>
            </w:pPr>
            <w:r w:rsidRPr="00806827">
              <w:rPr>
                <w:color w:val="000000"/>
                <w:szCs w:val="24"/>
              </w:rPr>
              <w:t>0-&lt;5%</w:t>
            </w:r>
          </w:p>
        </w:tc>
        <w:tc>
          <w:tcPr>
            <w:tcW w:w="1008" w:type="dxa"/>
            <w:tcBorders>
              <w:top w:val="nil"/>
              <w:left w:val="nil"/>
              <w:bottom w:val="nil"/>
              <w:right w:val="nil"/>
            </w:tcBorders>
            <w:shd w:val="clear" w:color="auto" w:fill="auto"/>
            <w:hideMark/>
          </w:tcPr>
          <w:p w14:paraId="595E54CD" w14:textId="15FEBBA5" w:rsidR="008D799C" w:rsidRPr="00806827" w:rsidRDefault="008D799C" w:rsidP="008D799C">
            <w:pPr>
              <w:spacing w:after="0" w:line="300" w:lineRule="auto"/>
              <w:jc w:val="right"/>
              <w:rPr>
                <w:color w:val="000000"/>
                <w:szCs w:val="24"/>
              </w:rPr>
            </w:pPr>
            <w:r w:rsidRPr="00806827">
              <w:t>388</w:t>
            </w:r>
          </w:p>
        </w:tc>
        <w:tc>
          <w:tcPr>
            <w:tcW w:w="1009" w:type="dxa"/>
            <w:tcBorders>
              <w:top w:val="nil"/>
              <w:left w:val="nil"/>
              <w:bottom w:val="nil"/>
              <w:right w:val="nil"/>
            </w:tcBorders>
            <w:shd w:val="clear" w:color="auto" w:fill="auto"/>
            <w:hideMark/>
          </w:tcPr>
          <w:p w14:paraId="12E81ACF" w14:textId="5F2CEF77" w:rsidR="008D799C" w:rsidRPr="00806827" w:rsidRDefault="008D799C" w:rsidP="008D799C">
            <w:pPr>
              <w:spacing w:after="0" w:line="300" w:lineRule="auto"/>
              <w:jc w:val="right"/>
              <w:rPr>
                <w:color w:val="000000"/>
                <w:szCs w:val="24"/>
              </w:rPr>
            </w:pPr>
            <w:r w:rsidRPr="00806827">
              <w:t>97%</w:t>
            </w:r>
          </w:p>
        </w:tc>
        <w:tc>
          <w:tcPr>
            <w:tcW w:w="1008" w:type="dxa"/>
            <w:tcBorders>
              <w:top w:val="nil"/>
              <w:left w:val="nil"/>
              <w:bottom w:val="nil"/>
              <w:right w:val="nil"/>
            </w:tcBorders>
            <w:shd w:val="clear" w:color="auto" w:fill="D9D9D9" w:themeFill="background1" w:themeFillShade="D9"/>
            <w:hideMark/>
          </w:tcPr>
          <w:p w14:paraId="6D5944F9" w14:textId="3D3703B3" w:rsidR="008D799C" w:rsidRPr="00806827" w:rsidRDefault="008D799C" w:rsidP="008D799C">
            <w:pPr>
              <w:spacing w:after="0" w:line="300" w:lineRule="auto"/>
              <w:jc w:val="right"/>
              <w:rPr>
                <w:color w:val="000000"/>
                <w:szCs w:val="24"/>
              </w:rPr>
            </w:pPr>
            <w:r w:rsidRPr="00806827">
              <w:t>17</w:t>
            </w:r>
          </w:p>
        </w:tc>
        <w:tc>
          <w:tcPr>
            <w:tcW w:w="1009" w:type="dxa"/>
            <w:tcBorders>
              <w:top w:val="nil"/>
              <w:left w:val="nil"/>
              <w:bottom w:val="nil"/>
              <w:right w:val="nil"/>
            </w:tcBorders>
            <w:shd w:val="clear" w:color="auto" w:fill="D9D9D9" w:themeFill="background1" w:themeFillShade="D9"/>
            <w:hideMark/>
          </w:tcPr>
          <w:p w14:paraId="14B7F321" w14:textId="46570F85" w:rsidR="008D799C" w:rsidRPr="00806827" w:rsidRDefault="008D799C" w:rsidP="008D799C">
            <w:pPr>
              <w:spacing w:after="0" w:line="300" w:lineRule="auto"/>
              <w:jc w:val="right"/>
              <w:rPr>
                <w:color w:val="000000"/>
                <w:szCs w:val="24"/>
              </w:rPr>
            </w:pPr>
            <w:r w:rsidRPr="00806827">
              <w:t>6%</w:t>
            </w:r>
          </w:p>
        </w:tc>
        <w:tc>
          <w:tcPr>
            <w:tcW w:w="1008" w:type="dxa"/>
            <w:tcBorders>
              <w:top w:val="nil"/>
              <w:left w:val="nil"/>
              <w:bottom w:val="nil"/>
              <w:right w:val="nil"/>
            </w:tcBorders>
            <w:shd w:val="clear" w:color="auto" w:fill="D9D9D9" w:themeFill="background1" w:themeFillShade="D9"/>
            <w:hideMark/>
          </w:tcPr>
          <w:p w14:paraId="6FF6F767" w14:textId="0408427F" w:rsidR="008D799C" w:rsidRPr="00806827" w:rsidRDefault="008D799C" w:rsidP="008D799C">
            <w:pPr>
              <w:spacing w:after="0" w:line="300" w:lineRule="auto"/>
              <w:jc w:val="right"/>
              <w:rPr>
                <w:color w:val="000000"/>
                <w:szCs w:val="24"/>
              </w:rPr>
            </w:pPr>
            <w:r w:rsidRPr="00806827">
              <w:t>0</w:t>
            </w:r>
          </w:p>
        </w:tc>
        <w:tc>
          <w:tcPr>
            <w:tcW w:w="1009" w:type="dxa"/>
            <w:tcBorders>
              <w:top w:val="nil"/>
              <w:left w:val="nil"/>
              <w:bottom w:val="nil"/>
              <w:right w:val="nil"/>
            </w:tcBorders>
            <w:shd w:val="clear" w:color="auto" w:fill="D9D9D9" w:themeFill="background1" w:themeFillShade="D9"/>
            <w:hideMark/>
          </w:tcPr>
          <w:p w14:paraId="707E1005" w14:textId="2C63DC8E" w:rsidR="008D799C" w:rsidRPr="00806827" w:rsidRDefault="008D799C" w:rsidP="008D799C">
            <w:pPr>
              <w:spacing w:after="0" w:line="300" w:lineRule="auto"/>
              <w:jc w:val="right"/>
              <w:rPr>
                <w:color w:val="000000"/>
                <w:szCs w:val="24"/>
              </w:rPr>
            </w:pPr>
            <w:r w:rsidRPr="00806827">
              <w:t>0%</w:t>
            </w:r>
          </w:p>
        </w:tc>
        <w:tc>
          <w:tcPr>
            <w:tcW w:w="1008" w:type="dxa"/>
            <w:tcBorders>
              <w:top w:val="nil"/>
              <w:left w:val="nil"/>
              <w:bottom w:val="nil"/>
              <w:right w:val="nil"/>
            </w:tcBorders>
            <w:shd w:val="clear" w:color="auto" w:fill="auto"/>
            <w:hideMark/>
          </w:tcPr>
          <w:p w14:paraId="2F397558" w14:textId="3B828B35" w:rsidR="008D799C" w:rsidRPr="00806827" w:rsidRDefault="008D799C" w:rsidP="008D799C">
            <w:pPr>
              <w:spacing w:after="0" w:line="300" w:lineRule="auto"/>
              <w:jc w:val="right"/>
              <w:rPr>
                <w:color w:val="000000"/>
                <w:szCs w:val="24"/>
              </w:rPr>
            </w:pPr>
            <w:r w:rsidRPr="00806827">
              <w:t>405</w:t>
            </w:r>
          </w:p>
        </w:tc>
        <w:tc>
          <w:tcPr>
            <w:tcW w:w="1010" w:type="dxa"/>
            <w:tcBorders>
              <w:top w:val="nil"/>
              <w:left w:val="nil"/>
              <w:bottom w:val="nil"/>
              <w:right w:val="nil"/>
            </w:tcBorders>
            <w:shd w:val="clear" w:color="auto" w:fill="auto"/>
            <w:hideMark/>
          </w:tcPr>
          <w:p w14:paraId="4A578F9A" w14:textId="54DEA369" w:rsidR="008D799C" w:rsidRPr="00806827" w:rsidRDefault="008D799C" w:rsidP="008D799C">
            <w:pPr>
              <w:spacing w:after="0" w:line="300" w:lineRule="auto"/>
              <w:jc w:val="right"/>
              <w:rPr>
                <w:color w:val="000000"/>
                <w:szCs w:val="24"/>
              </w:rPr>
            </w:pPr>
            <w:r w:rsidRPr="00806827">
              <w:t>42%</w:t>
            </w:r>
          </w:p>
        </w:tc>
      </w:tr>
      <w:tr w:rsidR="008D799C" w:rsidRPr="00806827" w14:paraId="13F9F3DE" w14:textId="77777777" w:rsidTr="00D43505">
        <w:trPr>
          <w:trHeight w:val="287"/>
        </w:trPr>
        <w:tc>
          <w:tcPr>
            <w:tcW w:w="4292" w:type="dxa"/>
            <w:tcBorders>
              <w:top w:val="nil"/>
              <w:left w:val="nil"/>
              <w:bottom w:val="nil"/>
              <w:right w:val="nil"/>
            </w:tcBorders>
            <w:shd w:val="clear" w:color="auto" w:fill="auto"/>
            <w:noWrap/>
            <w:vAlign w:val="bottom"/>
            <w:hideMark/>
          </w:tcPr>
          <w:p w14:paraId="0316D568" w14:textId="77777777" w:rsidR="008D799C" w:rsidRPr="00806827" w:rsidRDefault="008D799C" w:rsidP="008D799C">
            <w:pPr>
              <w:spacing w:after="0" w:line="300" w:lineRule="auto"/>
              <w:rPr>
                <w:color w:val="000000"/>
                <w:szCs w:val="24"/>
              </w:rPr>
            </w:pPr>
            <w:r w:rsidRPr="00806827">
              <w:rPr>
                <w:color w:val="000000"/>
                <w:szCs w:val="24"/>
              </w:rPr>
              <w:t>5-&lt;10%</w:t>
            </w:r>
          </w:p>
        </w:tc>
        <w:tc>
          <w:tcPr>
            <w:tcW w:w="1008" w:type="dxa"/>
            <w:tcBorders>
              <w:top w:val="nil"/>
              <w:left w:val="nil"/>
              <w:bottom w:val="nil"/>
              <w:right w:val="nil"/>
            </w:tcBorders>
            <w:shd w:val="clear" w:color="auto" w:fill="auto"/>
            <w:hideMark/>
          </w:tcPr>
          <w:p w14:paraId="1E05B69F" w14:textId="5178A9FA" w:rsidR="008D799C" w:rsidRPr="00806827" w:rsidRDefault="008D799C" w:rsidP="008D799C">
            <w:pPr>
              <w:spacing w:after="0" w:line="300" w:lineRule="auto"/>
              <w:jc w:val="right"/>
              <w:rPr>
                <w:color w:val="000000"/>
                <w:szCs w:val="24"/>
              </w:rPr>
            </w:pPr>
            <w:r w:rsidRPr="00806827">
              <w:t>10</w:t>
            </w:r>
          </w:p>
        </w:tc>
        <w:tc>
          <w:tcPr>
            <w:tcW w:w="1009" w:type="dxa"/>
            <w:tcBorders>
              <w:top w:val="nil"/>
              <w:left w:val="nil"/>
              <w:bottom w:val="nil"/>
              <w:right w:val="nil"/>
            </w:tcBorders>
            <w:shd w:val="clear" w:color="auto" w:fill="auto"/>
            <w:hideMark/>
          </w:tcPr>
          <w:p w14:paraId="5C3BC250" w14:textId="17AC679F" w:rsidR="008D799C" w:rsidRPr="00806827" w:rsidRDefault="008D799C" w:rsidP="008D799C">
            <w:pPr>
              <w:spacing w:after="0" w:line="300" w:lineRule="auto"/>
              <w:jc w:val="right"/>
              <w:rPr>
                <w:color w:val="000000"/>
                <w:szCs w:val="24"/>
              </w:rPr>
            </w:pPr>
            <w:r w:rsidRPr="00806827">
              <w:t>3%</w:t>
            </w:r>
          </w:p>
        </w:tc>
        <w:tc>
          <w:tcPr>
            <w:tcW w:w="1008" w:type="dxa"/>
            <w:tcBorders>
              <w:top w:val="nil"/>
              <w:left w:val="nil"/>
              <w:bottom w:val="nil"/>
              <w:right w:val="nil"/>
            </w:tcBorders>
            <w:shd w:val="clear" w:color="auto" w:fill="auto"/>
            <w:hideMark/>
          </w:tcPr>
          <w:p w14:paraId="7B9A4BA7" w14:textId="1C650D78" w:rsidR="008D799C" w:rsidRPr="00806827" w:rsidRDefault="008D799C" w:rsidP="008D799C">
            <w:pPr>
              <w:spacing w:after="0" w:line="300" w:lineRule="auto"/>
              <w:jc w:val="right"/>
              <w:rPr>
                <w:color w:val="000000"/>
                <w:szCs w:val="24"/>
              </w:rPr>
            </w:pPr>
            <w:r w:rsidRPr="00806827">
              <w:t>263</w:t>
            </w:r>
          </w:p>
        </w:tc>
        <w:tc>
          <w:tcPr>
            <w:tcW w:w="1009" w:type="dxa"/>
            <w:tcBorders>
              <w:top w:val="nil"/>
              <w:left w:val="nil"/>
              <w:bottom w:val="nil"/>
              <w:right w:val="nil"/>
            </w:tcBorders>
            <w:shd w:val="clear" w:color="auto" w:fill="auto"/>
            <w:hideMark/>
          </w:tcPr>
          <w:p w14:paraId="695548A4" w14:textId="20581B96" w:rsidR="008D799C" w:rsidRPr="00806827" w:rsidRDefault="008D799C" w:rsidP="008D799C">
            <w:pPr>
              <w:spacing w:after="0" w:line="300" w:lineRule="auto"/>
              <w:jc w:val="right"/>
              <w:rPr>
                <w:color w:val="000000"/>
                <w:szCs w:val="24"/>
              </w:rPr>
            </w:pPr>
            <w:r w:rsidRPr="00806827">
              <w:t>92%</w:t>
            </w:r>
          </w:p>
        </w:tc>
        <w:tc>
          <w:tcPr>
            <w:tcW w:w="1008" w:type="dxa"/>
            <w:tcBorders>
              <w:top w:val="nil"/>
              <w:left w:val="nil"/>
              <w:bottom w:val="nil"/>
              <w:right w:val="nil"/>
            </w:tcBorders>
            <w:shd w:val="clear" w:color="auto" w:fill="D9D9D9" w:themeFill="background1" w:themeFillShade="D9"/>
            <w:hideMark/>
          </w:tcPr>
          <w:p w14:paraId="07D0A8E7" w14:textId="4938DFEF" w:rsidR="008D799C" w:rsidRPr="00806827" w:rsidRDefault="008D799C" w:rsidP="008D799C">
            <w:pPr>
              <w:spacing w:after="0" w:line="300" w:lineRule="auto"/>
              <w:jc w:val="right"/>
              <w:rPr>
                <w:color w:val="000000"/>
                <w:szCs w:val="24"/>
              </w:rPr>
            </w:pPr>
            <w:r w:rsidRPr="00806827">
              <w:t>15</w:t>
            </w:r>
          </w:p>
        </w:tc>
        <w:tc>
          <w:tcPr>
            <w:tcW w:w="1009" w:type="dxa"/>
            <w:tcBorders>
              <w:top w:val="nil"/>
              <w:left w:val="nil"/>
              <w:bottom w:val="nil"/>
              <w:right w:val="nil"/>
            </w:tcBorders>
            <w:shd w:val="clear" w:color="auto" w:fill="D9D9D9" w:themeFill="background1" w:themeFillShade="D9"/>
            <w:hideMark/>
          </w:tcPr>
          <w:p w14:paraId="6AEC59EA" w14:textId="0FD02AA4" w:rsidR="008D799C" w:rsidRPr="00806827" w:rsidRDefault="008D799C" w:rsidP="008D799C">
            <w:pPr>
              <w:spacing w:after="0" w:line="300" w:lineRule="auto"/>
              <w:jc w:val="right"/>
              <w:rPr>
                <w:color w:val="000000"/>
                <w:szCs w:val="24"/>
              </w:rPr>
            </w:pPr>
            <w:r w:rsidRPr="00806827">
              <w:t>5%</w:t>
            </w:r>
          </w:p>
        </w:tc>
        <w:tc>
          <w:tcPr>
            <w:tcW w:w="1008" w:type="dxa"/>
            <w:tcBorders>
              <w:top w:val="nil"/>
              <w:left w:val="nil"/>
              <w:bottom w:val="nil"/>
              <w:right w:val="nil"/>
            </w:tcBorders>
            <w:shd w:val="clear" w:color="auto" w:fill="auto"/>
            <w:hideMark/>
          </w:tcPr>
          <w:p w14:paraId="08426876" w14:textId="706B662F" w:rsidR="008D799C" w:rsidRPr="00806827" w:rsidRDefault="008D799C" w:rsidP="008D799C">
            <w:pPr>
              <w:spacing w:after="0" w:line="300" w:lineRule="auto"/>
              <w:jc w:val="right"/>
              <w:rPr>
                <w:color w:val="000000"/>
                <w:szCs w:val="24"/>
              </w:rPr>
            </w:pPr>
            <w:r w:rsidRPr="00806827">
              <w:t>288</w:t>
            </w:r>
          </w:p>
        </w:tc>
        <w:tc>
          <w:tcPr>
            <w:tcW w:w="1010" w:type="dxa"/>
            <w:tcBorders>
              <w:top w:val="nil"/>
              <w:left w:val="nil"/>
              <w:bottom w:val="nil"/>
              <w:right w:val="nil"/>
            </w:tcBorders>
            <w:shd w:val="clear" w:color="auto" w:fill="auto"/>
            <w:hideMark/>
          </w:tcPr>
          <w:p w14:paraId="76AE337B" w14:textId="13DC07F5" w:rsidR="008D799C" w:rsidRPr="00806827" w:rsidRDefault="008D799C" w:rsidP="008D799C">
            <w:pPr>
              <w:spacing w:after="0" w:line="300" w:lineRule="auto"/>
              <w:jc w:val="right"/>
              <w:rPr>
                <w:color w:val="000000"/>
                <w:szCs w:val="24"/>
              </w:rPr>
            </w:pPr>
            <w:r w:rsidRPr="00806827">
              <w:t>30%</w:t>
            </w:r>
          </w:p>
        </w:tc>
      </w:tr>
      <w:tr w:rsidR="008D799C" w:rsidRPr="00806827" w14:paraId="1AD91A70" w14:textId="77777777" w:rsidTr="00D43505">
        <w:trPr>
          <w:trHeight w:val="287"/>
        </w:trPr>
        <w:tc>
          <w:tcPr>
            <w:tcW w:w="4292" w:type="dxa"/>
            <w:tcBorders>
              <w:top w:val="nil"/>
              <w:left w:val="nil"/>
              <w:bottom w:val="nil"/>
              <w:right w:val="nil"/>
            </w:tcBorders>
            <w:shd w:val="clear" w:color="auto" w:fill="auto"/>
            <w:noWrap/>
            <w:vAlign w:val="bottom"/>
            <w:hideMark/>
          </w:tcPr>
          <w:p w14:paraId="770D3AA0" w14:textId="77777777" w:rsidR="008D799C" w:rsidRPr="00806827" w:rsidRDefault="008D799C" w:rsidP="008D799C">
            <w:pPr>
              <w:spacing w:after="0" w:line="300" w:lineRule="auto"/>
              <w:rPr>
                <w:color w:val="000000"/>
                <w:szCs w:val="24"/>
              </w:rPr>
            </w:pPr>
            <w:r w:rsidRPr="00806827">
              <w:rPr>
                <w:szCs w:val="24"/>
              </w:rPr>
              <w:t>≥10%</w:t>
            </w:r>
          </w:p>
        </w:tc>
        <w:tc>
          <w:tcPr>
            <w:tcW w:w="1008" w:type="dxa"/>
            <w:tcBorders>
              <w:top w:val="nil"/>
              <w:left w:val="nil"/>
              <w:bottom w:val="nil"/>
              <w:right w:val="nil"/>
            </w:tcBorders>
            <w:shd w:val="clear" w:color="auto" w:fill="auto"/>
            <w:hideMark/>
          </w:tcPr>
          <w:p w14:paraId="518F080E" w14:textId="13DADFF0" w:rsidR="008D799C" w:rsidRPr="00806827" w:rsidRDefault="008D799C" w:rsidP="008D799C">
            <w:pPr>
              <w:spacing w:after="0" w:line="300" w:lineRule="auto"/>
              <w:jc w:val="right"/>
              <w:rPr>
                <w:color w:val="000000"/>
                <w:szCs w:val="24"/>
              </w:rPr>
            </w:pPr>
            <w:r w:rsidRPr="00806827">
              <w:t>0</w:t>
            </w:r>
          </w:p>
        </w:tc>
        <w:tc>
          <w:tcPr>
            <w:tcW w:w="1009" w:type="dxa"/>
            <w:tcBorders>
              <w:top w:val="nil"/>
              <w:left w:val="nil"/>
              <w:bottom w:val="nil"/>
              <w:right w:val="nil"/>
            </w:tcBorders>
            <w:shd w:val="clear" w:color="auto" w:fill="auto"/>
            <w:hideMark/>
          </w:tcPr>
          <w:p w14:paraId="7734EBB5" w14:textId="4272711B" w:rsidR="008D799C" w:rsidRPr="00806827" w:rsidRDefault="008D799C" w:rsidP="008D799C">
            <w:pPr>
              <w:spacing w:after="0" w:line="300" w:lineRule="auto"/>
              <w:jc w:val="right"/>
              <w:rPr>
                <w:color w:val="000000"/>
                <w:szCs w:val="24"/>
              </w:rPr>
            </w:pPr>
            <w:r w:rsidRPr="00806827">
              <w:t>0%</w:t>
            </w:r>
          </w:p>
        </w:tc>
        <w:tc>
          <w:tcPr>
            <w:tcW w:w="1008" w:type="dxa"/>
            <w:tcBorders>
              <w:top w:val="nil"/>
              <w:left w:val="nil"/>
              <w:bottom w:val="nil"/>
              <w:right w:val="nil"/>
            </w:tcBorders>
            <w:shd w:val="clear" w:color="auto" w:fill="auto"/>
            <w:hideMark/>
          </w:tcPr>
          <w:p w14:paraId="44436ACD" w14:textId="67C5BC0C" w:rsidR="008D799C" w:rsidRPr="00806827" w:rsidRDefault="008D799C" w:rsidP="008D799C">
            <w:pPr>
              <w:spacing w:after="0" w:line="300" w:lineRule="auto"/>
              <w:jc w:val="right"/>
              <w:rPr>
                <w:color w:val="000000"/>
                <w:szCs w:val="24"/>
              </w:rPr>
            </w:pPr>
            <w:r w:rsidRPr="00806827">
              <w:t>6</w:t>
            </w:r>
          </w:p>
        </w:tc>
        <w:tc>
          <w:tcPr>
            <w:tcW w:w="1009" w:type="dxa"/>
            <w:tcBorders>
              <w:top w:val="nil"/>
              <w:left w:val="nil"/>
              <w:bottom w:val="nil"/>
              <w:right w:val="nil"/>
            </w:tcBorders>
            <w:shd w:val="clear" w:color="auto" w:fill="auto"/>
            <w:hideMark/>
          </w:tcPr>
          <w:p w14:paraId="6965119D" w14:textId="59B4F68E" w:rsidR="008D799C" w:rsidRPr="00806827" w:rsidRDefault="008D799C" w:rsidP="008D799C">
            <w:pPr>
              <w:spacing w:after="0" w:line="300" w:lineRule="auto"/>
              <w:jc w:val="right"/>
              <w:rPr>
                <w:color w:val="000000"/>
                <w:szCs w:val="24"/>
              </w:rPr>
            </w:pPr>
            <w:r w:rsidRPr="00806827">
              <w:t>2%</w:t>
            </w:r>
          </w:p>
        </w:tc>
        <w:tc>
          <w:tcPr>
            <w:tcW w:w="1008" w:type="dxa"/>
            <w:tcBorders>
              <w:top w:val="nil"/>
              <w:left w:val="nil"/>
              <w:bottom w:val="nil"/>
              <w:right w:val="nil"/>
            </w:tcBorders>
            <w:shd w:val="clear" w:color="auto" w:fill="auto"/>
            <w:hideMark/>
          </w:tcPr>
          <w:p w14:paraId="65619763" w14:textId="1C66AFE4" w:rsidR="008D799C" w:rsidRPr="00806827" w:rsidRDefault="008D799C" w:rsidP="008D799C">
            <w:pPr>
              <w:spacing w:after="0" w:line="300" w:lineRule="auto"/>
              <w:jc w:val="right"/>
              <w:rPr>
                <w:color w:val="000000"/>
                <w:szCs w:val="24"/>
              </w:rPr>
            </w:pPr>
            <w:r w:rsidRPr="00806827">
              <w:t>266</w:t>
            </w:r>
          </w:p>
        </w:tc>
        <w:tc>
          <w:tcPr>
            <w:tcW w:w="1009" w:type="dxa"/>
            <w:tcBorders>
              <w:top w:val="nil"/>
              <w:left w:val="nil"/>
              <w:bottom w:val="nil"/>
              <w:right w:val="nil"/>
            </w:tcBorders>
            <w:shd w:val="clear" w:color="auto" w:fill="auto"/>
            <w:hideMark/>
          </w:tcPr>
          <w:p w14:paraId="6BF9AB9F" w14:textId="1D52CA19" w:rsidR="008D799C" w:rsidRPr="00806827" w:rsidRDefault="008D799C" w:rsidP="008D799C">
            <w:pPr>
              <w:spacing w:after="0" w:line="300" w:lineRule="auto"/>
              <w:jc w:val="right"/>
              <w:rPr>
                <w:color w:val="000000"/>
                <w:szCs w:val="24"/>
              </w:rPr>
            </w:pPr>
            <w:r w:rsidRPr="00806827">
              <w:t>95%</w:t>
            </w:r>
          </w:p>
        </w:tc>
        <w:tc>
          <w:tcPr>
            <w:tcW w:w="1008" w:type="dxa"/>
            <w:tcBorders>
              <w:top w:val="nil"/>
              <w:left w:val="nil"/>
              <w:bottom w:val="nil"/>
              <w:right w:val="nil"/>
            </w:tcBorders>
            <w:shd w:val="clear" w:color="auto" w:fill="auto"/>
            <w:hideMark/>
          </w:tcPr>
          <w:p w14:paraId="6439D9DC" w14:textId="3BA049D4" w:rsidR="008D799C" w:rsidRPr="00806827" w:rsidRDefault="008D799C" w:rsidP="008D799C">
            <w:pPr>
              <w:spacing w:after="0" w:line="300" w:lineRule="auto"/>
              <w:jc w:val="right"/>
              <w:rPr>
                <w:color w:val="000000"/>
                <w:szCs w:val="24"/>
              </w:rPr>
            </w:pPr>
            <w:r w:rsidRPr="00806827">
              <w:t>272</w:t>
            </w:r>
          </w:p>
        </w:tc>
        <w:tc>
          <w:tcPr>
            <w:tcW w:w="1010" w:type="dxa"/>
            <w:tcBorders>
              <w:top w:val="nil"/>
              <w:left w:val="nil"/>
              <w:bottom w:val="nil"/>
              <w:right w:val="nil"/>
            </w:tcBorders>
            <w:shd w:val="clear" w:color="auto" w:fill="auto"/>
            <w:hideMark/>
          </w:tcPr>
          <w:p w14:paraId="1A67CABB" w14:textId="386A10A9" w:rsidR="008D799C" w:rsidRPr="00806827" w:rsidRDefault="008D799C" w:rsidP="008D799C">
            <w:pPr>
              <w:spacing w:after="0" w:line="300" w:lineRule="auto"/>
              <w:jc w:val="right"/>
              <w:rPr>
                <w:color w:val="000000"/>
                <w:szCs w:val="24"/>
              </w:rPr>
            </w:pPr>
            <w:r w:rsidRPr="00806827">
              <w:t>28%</w:t>
            </w:r>
          </w:p>
        </w:tc>
      </w:tr>
      <w:tr w:rsidR="008D799C" w:rsidRPr="00806827" w14:paraId="4C70AED3" w14:textId="77777777" w:rsidTr="00D43505">
        <w:trPr>
          <w:trHeight w:val="287"/>
        </w:trPr>
        <w:tc>
          <w:tcPr>
            <w:tcW w:w="4292" w:type="dxa"/>
            <w:tcBorders>
              <w:top w:val="nil"/>
              <w:left w:val="nil"/>
              <w:bottom w:val="nil"/>
              <w:right w:val="nil"/>
            </w:tcBorders>
            <w:shd w:val="clear" w:color="auto" w:fill="auto"/>
            <w:noWrap/>
            <w:vAlign w:val="bottom"/>
            <w:hideMark/>
          </w:tcPr>
          <w:p w14:paraId="15D7FE80" w14:textId="77777777" w:rsidR="008D799C" w:rsidRPr="00806827" w:rsidRDefault="008D799C" w:rsidP="008D799C">
            <w:pPr>
              <w:spacing w:after="0" w:line="300" w:lineRule="auto"/>
              <w:rPr>
                <w:b/>
                <w:bCs/>
                <w:color w:val="000000"/>
                <w:szCs w:val="24"/>
              </w:rPr>
            </w:pPr>
            <w:r w:rsidRPr="00806827">
              <w:rPr>
                <w:b/>
                <w:bCs/>
                <w:color w:val="000000"/>
                <w:szCs w:val="24"/>
              </w:rPr>
              <w:t>Total</w:t>
            </w:r>
          </w:p>
        </w:tc>
        <w:tc>
          <w:tcPr>
            <w:tcW w:w="1008" w:type="dxa"/>
            <w:tcBorders>
              <w:top w:val="nil"/>
              <w:left w:val="nil"/>
              <w:bottom w:val="nil"/>
              <w:right w:val="nil"/>
            </w:tcBorders>
            <w:shd w:val="clear" w:color="auto" w:fill="auto"/>
            <w:hideMark/>
          </w:tcPr>
          <w:p w14:paraId="1A4B36BD" w14:textId="2BF235E2" w:rsidR="008D799C" w:rsidRPr="00806827" w:rsidRDefault="008D799C" w:rsidP="008D799C">
            <w:pPr>
              <w:spacing w:after="0" w:line="300" w:lineRule="auto"/>
              <w:jc w:val="right"/>
              <w:rPr>
                <w:color w:val="000000"/>
                <w:szCs w:val="24"/>
              </w:rPr>
            </w:pPr>
            <w:r w:rsidRPr="00806827">
              <w:t>398</w:t>
            </w:r>
          </w:p>
        </w:tc>
        <w:tc>
          <w:tcPr>
            <w:tcW w:w="1009" w:type="dxa"/>
            <w:tcBorders>
              <w:top w:val="nil"/>
              <w:left w:val="nil"/>
              <w:bottom w:val="nil"/>
              <w:right w:val="nil"/>
            </w:tcBorders>
            <w:shd w:val="clear" w:color="auto" w:fill="auto"/>
            <w:hideMark/>
          </w:tcPr>
          <w:p w14:paraId="527FBA04" w14:textId="77777777" w:rsidR="008D799C" w:rsidRPr="00806827" w:rsidRDefault="008D799C" w:rsidP="008D799C">
            <w:pPr>
              <w:spacing w:after="0" w:line="300" w:lineRule="auto"/>
              <w:jc w:val="right"/>
              <w:rPr>
                <w:color w:val="000000"/>
                <w:szCs w:val="24"/>
              </w:rPr>
            </w:pPr>
          </w:p>
        </w:tc>
        <w:tc>
          <w:tcPr>
            <w:tcW w:w="1008" w:type="dxa"/>
            <w:tcBorders>
              <w:top w:val="nil"/>
              <w:left w:val="nil"/>
              <w:bottom w:val="nil"/>
              <w:right w:val="nil"/>
            </w:tcBorders>
            <w:shd w:val="clear" w:color="auto" w:fill="auto"/>
            <w:hideMark/>
          </w:tcPr>
          <w:p w14:paraId="090FFEA1" w14:textId="46B451D4" w:rsidR="008D799C" w:rsidRPr="00806827" w:rsidRDefault="008D799C" w:rsidP="008D799C">
            <w:pPr>
              <w:spacing w:after="0" w:line="300" w:lineRule="auto"/>
              <w:jc w:val="right"/>
              <w:rPr>
                <w:color w:val="000000"/>
                <w:szCs w:val="24"/>
              </w:rPr>
            </w:pPr>
            <w:r w:rsidRPr="00806827">
              <w:t>286</w:t>
            </w:r>
          </w:p>
        </w:tc>
        <w:tc>
          <w:tcPr>
            <w:tcW w:w="1009" w:type="dxa"/>
            <w:tcBorders>
              <w:top w:val="nil"/>
              <w:left w:val="nil"/>
              <w:bottom w:val="nil"/>
              <w:right w:val="nil"/>
            </w:tcBorders>
            <w:shd w:val="clear" w:color="auto" w:fill="auto"/>
            <w:hideMark/>
          </w:tcPr>
          <w:p w14:paraId="45A80B6E" w14:textId="77777777" w:rsidR="008D799C" w:rsidRPr="00806827" w:rsidRDefault="008D799C" w:rsidP="008D799C">
            <w:pPr>
              <w:spacing w:after="0" w:line="300" w:lineRule="auto"/>
              <w:jc w:val="right"/>
              <w:rPr>
                <w:color w:val="000000"/>
                <w:szCs w:val="24"/>
              </w:rPr>
            </w:pPr>
          </w:p>
        </w:tc>
        <w:tc>
          <w:tcPr>
            <w:tcW w:w="1008" w:type="dxa"/>
            <w:tcBorders>
              <w:top w:val="nil"/>
              <w:left w:val="nil"/>
              <w:bottom w:val="nil"/>
              <w:right w:val="nil"/>
            </w:tcBorders>
            <w:shd w:val="clear" w:color="auto" w:fill="auto"/>
            <w:hideMark/>
          </w:tcPr>
          <w:p w14:paraId="5ACB437D" w14:textId="2B0CAFAF" w:rsidR="008D799C" w:rsidRPr="00806827" w:rsidRDefault="008D799C" w:rsidP="008D799C">
            <w:pPr>
              <w:spacing w:after="0" w:line="300" w:lineRule="auto"/>
              <w:jc w:val="right"/>
              <w:rPr>
                <w:color w:val="000000"/>
                <w:szCs w:val="24"/>
              </w:rPr>
            </w:pPr>
            <w:r w:rsidRPr="00806827">
              <w:t>281</w:t>
            </w:r>
          </w:p>
        </w:tc>
        <w:tc>
          <w:tcPr>
            <w:tcW w:w="1009" w:type="dxa"/>
            <w:tcBorders>
              <w:top w:val="nil"/>
              <w:left w:val="nil"/>
              <w:bottom w:val="nil"/>
              <w:right w:val="nil"/>
            </w:tcBorders>
            <w:shd w:val="clear" w:color="auto" w:fill="auto"/>
            <w:hideMark/>
          </w:tcPr>
          <w:p w14:paraId="42E90C05" w14:textId="77777777" w:rsidR="008D799C" w:rsidRPr="00806827" w:rsidRDefault="008D799C" w:rsidP="008D799C">
            <w:pPr>
              <w:spacing w:after="0" w:line="300" w:lineRule="auto"/>
              <w:jc w:val="right"/>
              <w:rPr>
                <w:color w:val="000000"/>
                <w:szCs w:val="24"/>
              </w:rPr>
            </w:pPr>
          </w:p>
        </w:tc>
        <w:tc>
          <w:tcPr>
            <w:tcW w:w="1008" w:type="dxa"/>
            <w:tcBorders>
              <w:top w:val="nil"/>
              <w:left w:val="nil"/>
              <w:bottom w:val="nil"/>
              <w:right w:val="nil"/>
            </w:tcBorders>
            <w:shd w:val="clear" w:color="auto" w:fill="auto"/>
            <w:hideMark/>
          </w:tcPr>
          <w:p w14:paraId="017EEE18" w14:textId="7B74F9C9" w:rsidR="008D799C" w:rsidRPr="00806827" w:rsidRDefault="008D799C" w:rsidP="008D799C">
            <w:pPr>
              <w:spacing w:after="0" w:line="300" w:lineRule="auto"/>
              <w:jc w:val="right"/>
              <w:rPr>
                <w:color w:val="000000"/>
                <w:szCs w:val="24"/>
              </w:rPr>
            </w:pPr>
            <w:r w:rsidRPr="00806827">
              <w:t>965</w:t>
            </w:r>
          </w:p>
        </w:tc>
        <w:tc>
          <w:tcPr>
            <w:tcW w:w="1010" w:type="dxa"/>
            <w:tcBorders>
              <w:top w:val="nil"/>
              <w:left w:val="nil"/>
              <w:bottom w:val="nil"/>
              <w:right w:val="nil"/>
            </w:tcBorders>
            <w:shd w:val="clear" w:color="auto" w:fill="auto"/>
            <w:hideMark/>
          </w:tcPr>
          <w:p w14:paraId="7D80ACC3" w14:textId="77777777" w:rsidR="008D799C" w:rsidRPr="00806827" w:rsidRDefault="008D799C" w:rsidP="008D799C">
            <w:pPr>
              <w:spacing w:after="0" w:line="300" w:lineRule="auto"/>
              <w:jc w:val="right"/>
              <w:rPr>
                <w:color w:val="000000"/>
                <w:szCs w:val="24"/>
              </w:rPr>
            </w:pPr>
          </w:p>
        </w:tc>
      </w:tr>
      <w:tr w:rsidR="008D799C" w:rsidRPr="00806827" w14:paraId="6AD2230D" w14:textId="77777777" w:rsidTr="00D43505">
        <w:trPr>
          <w:trHeight w:val="287"/>
        </w:trPr>
        <w:tc>
          <w:tcPr>
            <w:tcW w:w="4292" w:type="dxa"/>
            <w:tcBorders>
              <w:top w:val="nil"/>
              <w:left w:val="nil"/>
              <w:bottom w:val="nil"/>
              <w:right w:val="nil"/>
            </w:tcBorders>
            <w:shd w:val="clear" w:color="auto" w:fill="auto"/>
            <w:noWrap/>
            <w:vAlign w:val="bottom"/>
            <w:hideMark/>
          </w:tcPr>
          <w:p w14:paraId="19EFAEF2" w14:textId="77777777" w:rsidR="008D799C" w:rsidRPr="00806827" w:rsidRDefault="008D799C" w:rsidP="008D799C">
            <w:pPr>
              <w:spacing w:after="0" w:line="300" w:lineRule="auto"/>
              <w:rPr>
                <w:szCs w:val="24"/>
              </w:rPr>
            </w:pPr>
          </w:p>
        </w:tc>
        <w:tc>
          <w:tcPr>
            <w:tcW w:w="1008" w:type="dxa"/>
            <w:tcBorders>
              <w:top w:val="nil"/>
              <w:left w:val="nil"/>
              <w:bottom w:val="nil"/>
              <w:right w:val="nil"/>
            </w:tcBorders>
            <w:shd w:val="clear" w:color="auto" w:fill="auto"/>
            <w:hideMark/>
          </w:tcPr>
          <w:p w14:paraId="1B1728AC" w14:textId="77777777" w:rsidR="008D799C" w:rsidRPr="00806827" w:rsidRDefault="008D799C" w:rsidP="008D799C">
            <w:pPr>
              <w:spacing w:after="0" w:line="300" w:lineRule="auto"/>
              <w:rPr>
                <w:szCs w:val="24"/>
              </w:rPr>
            </w:pPr>
          </w:p>
        </w:tc>
        <w:tc>
          <w:tcPr>
            <w:tcW w:w="1009" w:type="dxa"/>
            <w:tcBorders>
              <w:top w:val="nil"/>
              <w:left w:val="nil"/>
              <w:bottom w:val="nil"/>
              <w:right w:val="nil"/>
            </w:tcBorders>
            <w:shd w:val="clear" w:color="auto" w:fill="auto"/>
            <w:hideMark/>
          </w:tcPr>
          <w:p w14:paraId="62800F25" w14:textId="77777777" w:rsidR="008D799C" w:rsidRPr="00806827" w:rsidRDefault="008D799C" w:rsidP="008D799C">
            <w:pPr>
              <w:spacing w:after="0" w:line="300" w:lineRule="auto"/>
              <w:rPr>
                <w:szCs w:val="24"/>
              </w:rPr>
            </w:pPr>
          </w:p>
        </w:tc>
        <w:tc>
          <w:tcPr>
            <w:tcW w:w="1008" w:type="dxa"/>
            <w:tcBorders>
              <w:top w:val="nil"/>
              <w:left w:val="nil"/>
              <w:bottom w:val="nil"/>
              <w:right w:val="nil"/>
            </w:tcBorders>
            <w:shd w:val="clear" w:color="auto" w:fill="auto"/>
            <w:hideMark/>
          </w:tcPr>
          <w:p w14:paraId="65D1F547" w14:textId="77777777" w:rsidR="008D799C" w:rsidRPr="00806827" w:rsidRDefault="008D799C" w:rsidP="008D799C">
            <w:pPr>
              <w:spacing w:after="0" w:line="300" w:lineRule="auto"/>
              <w:rPr>
                <w:szCs w:val="24"/>
              </w:rPr>
            </w:pPr>
          </w:p>
        </w:tc>
        <w:tc>
          <w:tcPr>
            <w:tcW w:w="1009" w:type="dxa"/>
            <w:tcBorders>
              <w:top w:val="nil"/>
              <w:left w:val="nil"/>
              <w:bottom w:val="nil"/>
              <w:right w:val="nil"/>
            </w:tcBorders>
            <w:shd w:val="clear" w:color="auto" w:fill="auto"/>
            <w:hideMark/>
          </w:tcPr>
          <w:p w14:paraId="42BB81C7" w14:textId="77777777" w:rsidR="008D799C" w:rsidRPr="00806827" w:rsidRDefault="008D799C" w:rsidP="008D799C">
            <w:pPr>
              <w:spacing w:after="0" w:line="300" w:lineRule="auto"/>
              <w:rPr>
                <w:szCs w:val="24"/>
              </w:rPr>
            </w:pPr>
          </w:p>
        </w:tc>
        <w:tc>
          <w:tcPr>
            <w:tcW w:w="1008" w:type="dxa"/>
            <w:tcBorders>
              <w:top w:val="nil"/>
              <w:left w:val="nil"/>
              <w:bottom w:val="nil"/>
              <w:right w:val="nil"/>
            </w:tcBorders>
            <w:shd w:val="clear" w:color="auto" w:fill="auto"/>
            <w:hideMark/>
          </w:tcPr>
          <w:p w14:paraId="2E6E9918" w14:textId="77777777" w:rsidR="008D799C" w:rsidRPr="00806827" w:rsidRDefault="008D799C" w:rsidP="008D799C">
            <w:pPr>
              <w:spacing w:after="0" w:line="300" w:lineRule="auto"/>
              <w:rPr>
                <w:szCs w:val="24"/>
              </w:rPr>
            </w:pPr>
          </w:p>
        </w:tc>
        <w:tc>
          <w:tcPr>
            <w:tcW w:w="1009" w:type="dxa"/>
            <w:tcBorders>
              <w:top w:val="nil"/>
              <w:left w:val="nil"/>
              <w:bottom w:val="nil"/>
              <w:right w:val="nil"/>
            </w:tcBorders>
            <w:shd w:val="clear" w:color="auto" w:fill="auto"/>
            <w:hideMark/>
          </w:tcPr>
          <w:p w14:paraId="63F3F37A" w14:textId="77777777" w:rsidR="008D799C" w:rsidRPr="00806827" w:rsidRDefault="008D799C" w:rsidP="008D799C">
            <w:pPr>
              <w:spacing w:after="0" w:line="300" w:lineRule="auto"/>
              <w:rPr>
                <w:szCs w:val="24"/>
              </w:rPr>
            </w:pPr>
          </w:p>
        </w:tc>
        <w:tc>
          <w:tcPr>
            <w:tcW w:w="1008" w:type="dxa"/>
            <w:tcBorders>
              <w:top w:val="nil"/>
              <w:left w:val="nil"/>
              <w:bottom w:val="nil"/>
              <w:right w:val="nil"/>
            </w:tcBorders>
            <w:shd w:val="clear" w:color="auto" w:fill="auto"/>
            <w:hideMark/>
          </w:tcPr>
          <w:p w14:paraId="20D06D48" w14:textId="77777777" w:rsidR="008D799C" w:rsidRPr="00806827" w:rsidRDefault="008D799C" w:rsidP="008D799C">
            <w:pPr>
              <w:spacing w:after="0" w:line="300" w:lineRule="auto"/>
              <w:rPr>
                <w:szCs w:val="24"/>
              </w:rPr>
            </w:pPr>
          </w:p>
        </w:tc>
        <w:tc>
          <w:tcPr>
            <w:tcW w:w="1010" w:type="dxa"/>
            <w:tcBorders>
              <w:top w:val="nil"/>
              <w:left w:val="nil"/>
              <w:bottom w:val="nil"/>
              <w:right w:val="nil"/>
            </w:tcBorders>
            <w:shd w:val="clear" w:color="auto" w:fill="auto"/>
            <w:hideMark/>
          </w:tcPr>
          <w:p w14:paraId="76FD3473" w14:textId="77777777" w:rsidR="008D799C" w:rsidRPr="00806827" w:rsidRDefault="008D799C" w:rsidP="008D799C">
            <w:pPr>
              <w:spacing w:after="0" w:line="300" w:lineRule="auto"/>
              <w:rPr>
                <w:szCs w:val="24"/>
              </w:rPr>
            </w:pPr>
          </w:p>
        </w:tc>
      </w:tr>
      <w:tr w:rsidR="008D799C" w:rsidRPr="00806827" w14:paraId="6ACEB0B4" w14:textId="77777777" w:rsidTr="00D43505">
        <w:trPr>
          <w:trHeight w:val="287"/>
        </w:trPr>
        <w:tc>
          <w:tcPr>
            <w:tcW w:w="4292" w:type="dxa"/>
            <w:tcBorders>
              <w:top w:val="nil"/>
              <w:left w:val="nil"/>
              <w:bottom w:val="nil"/>
              <w:right w:val="nil"/>
            </w:tcBorders>
            <w:shd w:val="clear" w:color="auto" w:fill="auto"/>
            <w:noWrap/>
            <w:vAlign w:val="bottom"/>
            <w:hideMark/>
          </w:tcPr>
          <w:p w14:paraId="1A978C8E" w14:textId="77777777" w:rsidR="008D799C" w:rsidRPr="00806827" w:rsidRDefault="008D799C" w:rsidP="008D799C">
            <w:pPr>
              <w:spacing w:after="0" w:line="300" w:lineRule="auto"/>
              <w:rPr>
                <w:i/>
                <w:iCs/>
                <w:color w:val="000000"/>
                <w:szCs w:val="24"/>
              </w:rPr>
            </w:pPr>
            <w:r w:rsidRPr="00806827">
              <w:rPr>
                <w:i/>
                <w:iCs/>
                <w:color w:val="000000"/>
                <w:szCs w:val="24"/>
              </w:rPr>
              <w:t>Observations with no incident CVD event</w:t>
            </w:r>
          </w:p>
        </w:tc>
        <w:tc>
          <w:tcPr>
            <w:tcW w:w="1008" w:type="dxa"/>
            <w:tcBorders>
              <w:top w:val="nil"/>
              <w:left w:val="nil"/>
              <w:bottom w:val="nil"/>
              <w:right w:val="nil"/>
            </w:tcBorders>
            <w:shd w:val="clear" w:color="auto" w:fill="auto"/>
            <w:hideMark/>
          </w:tcPr>
          <w:p w14:paraId="42F7ED8A" w14:textId="77777777" w:rsidR="008D799C" w:rsidRPr="00806827" w:rsidRDefault="008D799C" w:rsidP="008D799C">
            <w:pPr>
              <w:spacing w:after="0" w:line="300" w:lineRule="auto"/>
              <w:rPr>
                <w:i/>
                <w:iCs/>
                <w:color w:val="000000"/>
                <w:szCs w:val="24"/>
              </w:rPr>
            </w:pPr>
          </w:p>
        </w:tc>
        <w:tc>
          <w:tcPr>
            <w:tcW w:w="1009" w:type="dxa"/>
            <w:tcBorders>
              <w:top w:val="nil"/>
              <w:left w:val="nil"/>
              <w:bottom w:val="nil"/>
              <w:right w:val="nil"/>
            </w:tcBorders>
            <w:shd w:val="clear" w:color="auto" w:fill="auto"/>
            <w:hideMark/>
          </w:tcPr>
          <w:p w14:paraId="3C60ABB0" w14:textId="77777777" w:rsidR="008D799C" w:rsidRPr="00806827" w:rsidRDefault="008D799C" w:rsidP="008D799C">
            <w:pPr>
              <w:spacing w:after="0" w:line="300" w:lineRule="auto"/>
              <w:rPr>
                <w:szCs w:val="24"/>
              </w:rPr>
            </w:pPr>
          </w:p>
        </w:tc>
        <w:tc>
          <w:tcPr>
            <w:tcW w:w="1008" w:type="dxa"/>
            <w:tcBorders>
              <w:top w:val="nil"/>
              <w:left w:val="nil"/>
              <w:bottom w:val="nil"/>
              <w:right w:val="nil"/>
            </w:tcBorders>
            <w:shd w:val="clear" w:color="auto" w:fill="auto"/>
            <w:hideMark/>
          </w:tcPr>
          <w:p w14:paraId="63A74FA2" w14:textId="77777777" w:rsidR="008D799C" w:rsidRPr="00806827" w:rsidRDefault="008D799C" w:rsidP="008D799C">
            <w:pPr>
              <w:spacing w:after="0" w:line="300" w:lineRule="auto"/>
              <w:rPr>
                <w:szCs w:val="24"/>
              </w:rPr>
            </w:pPr>
          </w:p>
        </w:tc>
        <w:tc>
          <w:tcPr>
            <w:tcW w:w="1009" w:type="dxa"/>
            <w:tcBorders>
              <w:top w:val="nil"/>
              <w:left w:val="nil"/>
              <w:bottom w:val="nil"/>
              <w:right w:val="nil"/>
            </w:tcBorders>
            <w:shd w:val="clear" w:color="auto" w:fill="auto"/>
            <w:hideMark/>
          </w:tcPr>
          <w:p w14:paraId="24A6EBBF" w14:textId="77777777" w:rsidR="008D799C" w:rsidRPr="00806827" w:rsidRDefault="008D799C" w:rsidP="008D799C">
            <w:pPr>
              <w:spacing w:after="0" w:line="300" w:lineRule="auto"/>
              <w:rPr>
                <w:szCs w:val="24"/>
              </w:rPr>
            </w:pPr>
          </w:p>
        </w:tc>
        <w:tc>
          <w:tcPr>
            <w:tcW w:w="1008" w:type="dxa"/>
            <w:tcBorders>
              <w:top w:val="nil"/>
              <w:left w:val="nil"/>
              <w:bottom w:val="nil"/>
              <w:right w:val="nil"/>
            </w:tcBorders>
            <w:shd w:val="clear" w:color="auto" w:fill="auto"/>
            <w:hideMark/>
          </w:tcPr>
          <w:p w14:paraId="32AEB576" w14:textId="77777777" w:rsidR="008D799C" w:rsidRPr="00806827" w:rsidRDefault="008D799C" w:rsidP="008D799C">
            <w:pPr>
              <w:spacing w:after="0" w:line="300" w:lineRule="auto"/>
              <w:rPr>
                <w:szCs w:val="24"/>
              </w:rPr>
            </w:pPr>
          </w:p>
        </w:tc>
        <w:tc>
          <w:tcPr>
            <w:tcW w:w="1009" w:type="dxa"/>
            <w:tcBorders>
              <w:top w:val="nil"/>
              <w:left w:val="nil"/>
              <w:bottom w:val="nil"/>
              <w:right w:val="nil"/>
            </w:tcBorders>
            <w:shd w:val="clear" w:color="auto" w:fill="auto"/>
            <w:hideMark/>
          </w:tcPr>
          <w:p w14:paraId="737436BF" w14:textId="77777777" w:rsidR="008D799C" w:rsidRPr="00806827" w:rsidRDefault="008D799C" w:rsidP="008D799C">
            <w:pPr>
              <w:spacing w:after="0" w:line="300" w:lineRule="auto"/>
              <w:rPr>
                <w:szCs w:val="24"/>
              </w:rPr>
            </w:pPr>
          </w:p>
        </w:tc>
        <w:tc>
          <w:tcPr>
            <w:tcW w:w="1008" w:type="dxa"/>
            <w:tcBorders>
              <w:top w:val="nil"/>
              <w:left w:val="nil"/>
              <w:bottom w:val="nil"/>
              <w:right w:val="nil"/>
            </w:tcBorders>
            <w:shd w:val="clear" w:color="auto" w:fill="auto"/>
            <w:hideMark/>
          </w:tcPr>
          <w:p w14:paraId="4C653725" w14:textId="77777777" w:rsidR="008D799C" w:rsidRPr="00806827" w:rsidRDefault="008D799C" w:rsidP="008D799C">
            <w:pPr>
              <w:spacing w:after="0" w:line="300" w:lineRule="auto"/>
              <w:rPr>
                <w:szCs w:val="24"/>
              </w:rPr>
            </w:pPr>
          </w:p>
        </w:tc>
        <w:tc>
          <w:tcPr>
            <w:tcW w:w="1010" w:type="dxa"/>
            <w:tcBorders>
              <w:top w:val="nil"/>
              <w:left w:val="nil"/>
              <w:bottom w:val="nil"/>
              <w:right w:val="nil"/>
            </w:tcBorders>
            <w:shd w:val="clear" w:color="auto" w:fill="auto"/>
            <w:hideMark/>
          </w:tcPr>
          <w:p w14:paraId="620166B9" w14:textId="77777777" w:rsidR="008D799C" w:rsidRPr="00806827" w:rsidRDefault="008D799C" w:rsidP="008D799C">
            <w:pPr>
              <w:spacing w:after="0" w:line="300" w:lineRule="auto"/>
              <w:rPr>
                <w:szCs w:val="24"/>
              </w:rPr>
            </w:pPr>
          </w:p>
        </w:tc>
      </w:tr>
      <w:tr w:rsidR="008D799C" w:rsidRPr="00806827" w14:paraId="1AAA4CD8" w14:textId="77777777" w:rsidTr="00D43505">
        <w:trPr>
          <w:trHeight w:val="287"/>
        </w:trPr>
        <w:tc>
          <w:tcPr>
            <w:tcW w:w="4292" w:type="dxa"/>
            <w:tcBorders>
              <w:top w:val="nil"/>
              <w:left w:val="nil"/>
              <w:bottom w:val="nil"/>
              <w:right w:val="nil"/>
            </w:tcBorders>
            <w:shd w:val="clear" w:color="auto" w:fill="auto"/>
            <w:noWrap/>
            <w:vAlign w:val="bottom"/>
            <w:hideMark/>
          </w:tcPr>
          <w:p w14:paraId="165DE001" w14:textId="77777777" w:rsidR="008D799C" w:rsidRPr="00806827" w:rsidRDefault="008D799C" w:rsidP="008D799C">
            <w:pPr>
              <w:spacing w:after="0" w:line="300" w:lineRule="auto"/>
              <w:rPr>
                <w:color w:val="000000"/>
                <w:szCs w:val="24"/>
              </w:rPr>
            </w:pPr>
            <w:r w:rsidRPr="00806827">
              <w:rPr>
                <w:color w:val="000000"/>
                <w:szCs w:val="24"/>
              </w:rPr>
              <w:t>0-&lt;5%</w:t>
            </w:r>
          </w:p>
        </w:tc>
        <w:tc>
          <w:tcPr>
            <w:tcW w:w="1008" w:type="dxa"/>
            <w:tcBorders>
              <w:top w:val="nil"/>
              <w:left w:val="nil"/>
              <w:bottom w:val="nil"/>
              <w:right w:val="nil"/>
            </w:tcBorders>
            <w:shd w:val="clear" w:color="auto" w:fill="auto"/>
            <w:hideMark/>
          </w:tcPr>
          <w:p w14:paraId="2A674E85" w14:textId="730E948E" w:rsidR="008D799C" w:rsidRPr="00806827" w:rsidRDefault="008D799C" w:rsidP="008D799C">
            <w:pPr>
              <w:spacing w:after="0" w:line="300" w:lineRule="auto"/>
              <w:jc w:val="right"/>
              <w:rPr>
                <w:color w:val="000000"/>
                <w:szCs w:val="24"/>
              </w:rPr>
            </w:pPr>
            <w:r w:rsidRPr="00806827">
              <w:t>19,857</w:t>
            </w:r>
          </w:p>
        </w:tc>
        <w:tc>
          <w:tcPr>
            <w:tcW w:w="1009" w:type="dxa"/>
            <w:tcBorders>
              <w:top w:val="nil"/>
              <w:left w:val="nil"/>
              <w:bottom w:val="nil"/>
              <w:right w:val="nil"/>
            </w:tcBorders>
            <w:shd w:val="clear" w:color="auto" w:fill="auto"/>
            <w:hideMark/>
          </w:tcPr>
          <w:p w14:paraId="583C1B15" w14:textId="0EC5E569" w:rsidR="008D799C" w:rsidRPr="00806827" w:rsidRDefault="008D799C" w:rsidP="008D799C">
            <w:pPr>
              <w:spacing w:after="0" w:line="300" w:lineRule="auto"/>
              <w:jc w:val="right"/>
              <w:rPr>
                <w:color w:val="000000"/>
                <w:szCs w:val="24"/>
              </w:rPr>
            </w:pPr>
            <w:r w:rsidRPr="00806827">
              <w:t>99%</w:t>
            </w:r>
          </w:p>
        </w:tc>
        <w:tc>
          <w:tcPr>
            <w:tcW w:w="1008" w:type="dxa"/>
            <w:tcBorders>
              <w:top w:val="nil"/>
              <w:left w:val="nil"/>
              <w:bottom w:val="nil"/>
              <w:right w:val="nil"/>
            </w:tcBorders>
            <w:shd w:val="clear" w:color="auto" w:fill="auto"/>
            <w:hideMark/>
          </w:tcPr>
          <w:p w14:paraId="14E7DB82" w14:textId="3E9DC051" w:rsidR="008D799C" w:rsidRPr="00806827" w:rsidRDefault="008D799C" w:rsidP="008D799C">
            <w:pPr>
              <w:spacing w:after="0" w:line="300" w:lineRule="auto"/>
              <w:jc w:val="right"/>
              <w:rPr>
                <w:color w:val="000000"/>
                <w:szCs w:val="24"/>
              </w:rPr>
            </w:pPr>
            <w:r w:rsidRPr="00806827">
              <w:t>175</w:t>
            </w:r>
          </w:p>
        </w:tc>
        <w:tc>
          <w:tcPr>
            <w:tcW w:w="1009" w:type="dxa"/>
            <w:tcBorders>
              <w:top w:val="nil"/>
              <w:left w:val="nil"/>
              <w:bottom w:val="nil"/>
              <w:right w:val="nil"/>
            </w:tcBorders>
            <w:shd w:val="clear" w:color="auto" w:fill="auto"/>
            <w:hideMark/>
          </w:tcPr>
          <w:p w14:paraId="1DDCCCC4" w14:textId="0A3D80E7" w:rsidR="008D799C" w:rsidRPr="00806827" w:rsidRDefault="008D799C" w:rsidP="008D799C">
            <w:pPr>
              <w:spacing w:after="0" w:line="300" w:lineRule="auto"/>
              <w:jc w:val="right"/>
              <w:rPr>
                <w:color w:val="000000"/>
                <w:szCs w:val="24"/>
              </w:rPr>
            </w:pPr>
            <w:r w:rsidRPr="00806827">
              <w:t>5%</w:t>
            </w:r>
          </w:p>
        </w:tc>
        <w:tc>
          <w:tcPr>
            <w:tcW w:w="1008" w:type="dxa"/>
            <w:tcBorders>
              <w:top w:val="nil"/>
              <w:left w:val="nil"/>
              <w:bottom w:val="nil"/>
              <w:right w:val="nil"/>
            </w:tcBorders>
            <w:shd w:val="clear" w:color="auto" w:fill="auto"/>
            <w:hideMark/>
          </w:tcPr>
          <w:p w14:paraId="3AA83A12" w14:textId="74C26E59" w:rsidR="008D799C" w:rsidRPr="00806827" w:rsidRDefault="008D799C" w:rsidP="008D799C">
            <w:pPr>
              <w:spacing w:after="0" w:line="300" w:lineRule="auto"/>
              <w:jc w:val="right"/>
              <w:rPr>
                <w:color w:val="000000"/>
                <w:szCs w:val="24"/>
              </w:rPr>
            </w:pPr>
            <w:r w:rsidRPr="00806827">
              <w:t>0</w:t>
            </w:r>
          </w:p>
        </w:tc>
        <w:tc>
          <w:tcPr>
            <w:tcW w:w="1009" w:type="dxa"/>
            <w:tcBorders>
              <w:top w:val="nil"/>
              <w:left w:val="nil"/>
              <w:bottom w:val="nil"/>
              <w:right w:val="nil"/>
            </w:tcBorders>
            <w:shd w:val="clear" w:color="auto" w:fill="auto"/>
            <w:hideMark/>
          </w:tcPr>
          <w:p w14:paraId="62C88739" w14:textId="277A2854" w:rsidR="008D799C" w:rsidRPr="00806827" w:rsidRDefault="008D799C" w:rsidP="008D799C">
            <w:pPr>
              <w:spacing w:after="0" w:line="300" w:lineRule="auto"/>
              <w:jc w:val="right"/>
              <w:rPr>
                <w:color w:val="000000"/>
                <w:szCs w:val="24"/>
              </w:rPr>
            </w:pPr>
            <w:r w:rsidRPr="00806827">
              <w:t>0%</w:t>
            </w:r>
          </w:p>
        </w:tc>
        <w:tc>
          <w:tcPr>
            <w:tcW w:w="1008" w:type="dxa"/>
            <w:tcBorders>
              <w:top w:val="nil"/>
              <w:left w:val="nil"/>
              <w:bottom w:val="nil"/>
              <w:right w:val="nil"/>
            </w:tcBorders>
            <w:shd w:val="clear" w:color="auto" w:fill="auto"/>
            <w:hideMark/>
          </w:tcPr>
          <w:p w14:paraId="41F888DF" w14:textId="3BE320D9" w:rsidR="008D799C" w:rsidRPr="00806827" w:rsidRDefault="008D799C" w:rsidP="008D799C">
            <w:pPr>
              <w:spacing w:after="0" w:line="300" w:lineRule="auto"/>
              <w:jc w:val="right"/>
              <w:rPr>
                <w:color w:val="000000"/>
                <w:szCs w:val="24"/>
              </w:rPr>
            </w:pPr>
            <w:r w:rsidRPr="00806827">
              <w:t>20,032</w:t>
            </w:r>
          </w:p>
        </w:tc>
        <w:tc>
          <w:tcPr>
            <w:tcW w:w="1010" w:type="dxa"/>
            <w:tcBorders>
              <w:top w:val="nil"/>
              <w:left w:val="nil"/>
              <w:bottom w:val="nil"/>
              <w:right w:val="nil"/>
            </w:tcBorders>
            <w:shd w:val="clear" w:color="auto" w:fill="auto"/>
            <w:hideMark/>
          </w:tcPr>
          <w:p w14:paraId="76A7B3D1" w14:textId="4C24EBAA" w:rsidR="008D799C" w:rsidRPr="00806827" w:rsidRDefault="008D799C" w:rsidP="008D799C">
            <w:pPr>
              <w:spacing w:after="0" w:line="300" w:lineRule="auto"/>
              <w:jc w:val="right"/>
              <w:rPr>
                <w:color w:val="000000"/>
                <w:szCs w:val="24"/>
              </w:rPr>
            </w:pPr>
            <w:r w:rsidRPr="00806827">
              <w:t>78%</w:t>
            </w:r>
          </w:p>
        </w:tc>
      </w:tr>
      <w:tr w:rsidR="008D799C" w:rsidRPr="00806827" w14:paraId="01E71AC6" w14:textId="77777777" w:rsidTr="00D43505">
        <w:trPr>
          <w:trHeight w:val="287"/>
        </w:trPr>
        <w:tc>
          <w:tcPr>
            <w:tcW w:w="4292" w:type="dxa"/>
            <w:tcBorders>
              <w:top w:val="nil"/>
              <w:left w:val="nil"/>
              <w:bottom w:val="nil"/>
              <w:right w:val="nil"/>
            </w:tcBorders>
            <w:shd w:val="clear" w:color="auto" w:fill="auto"/>
            <w:noWrap/>
            <w:vAlign w:val="bottom"/>
            <w:hideMark/>
          </w:tcPr>
          <w:p w14:paraId="1252ADF3" w14:textId="77777777" w:rsidR="008D799C" w:rsidRPr="00806827" w:rsidRDefault="008D799C" w:rsidP="008D799C">
            <w:pPr>
              <w:spacing w:after="0" w:line="300" w:lineRule="auto"/>
              <w:rPr>
                <w:color w:val="000000"/>
                <w:szCs w:val="24"/>
              </w:rPr>
            </w:pPr>
            <w:r w:rsidRPr="00806827">
              <w:rPr>
                <w:color w:val="000000"/>
                <w:szCs w:val="24"/>
              </w:rPr>
              <w:t>5-&lt;10%</w:t>
            </w:r>
          </w:p>
        </w:tc>
        <w:tc>
          <w:tcPr>
            <w:tcW w:w="1008" w:type="dxa"/>
            <w:tcBorders>
              <w:top w:val="nil"/>
              <w:left w:val="nil"/>
              <w:bottom w:val="nil"/>
              <w:right w:val="nil"/>
            </w:tcBorders>
            <w:shd w:val="clear" w:color="auto" w:fill="D9D9D9" w:themeFill="background1" w:themeFillShade="D9"/>
            <w:hideMark/>
          </w:tcPr>
          <w:p w14:paraId="08E7EE97" w14:textId="05B861F6" w:rsidR="008D799C" w:rsidRPr="00806827" w:rsidRDefault="008D799C" w:rsidP="008D799C">
            <w:pPr>
              <w:spacing w:after="0" w:line="300" w:lineRule="auto"/>
              <w:jc w:val="right"/>
              <w:rPr>
                <w:color w:val="000000"/>
                <w:szCs w:val="24"/>
              </w:rPr>
            </w:pPr>
            <w:r w:rsidRPr="00806827">
              <w:t>223</w:t>
            </w:r>
          </w:p>
        </w:tc>
        <w:tc>
          <w:tcPr>
            <w:tcW w:w="1009" w:type="dxa"/>
            <w:tcBorders>
              <w:top w:val="nil"/>
              <w:left w:val="nil"/>
              <w:bottom w:val="nil"/>
              <w:right w:val="nil"/>
            </w:tcBorders>
            <w:shd w:val="clear" w:color="auto" w:fill="D9D9D9" w:themeFill="background1" w:themeFillShade="D9"/>
            <w:hideMark/>
          </w:tcPr>
          <w:p w14:paraId="44B8C9E2" w14:textId="511869DC" w:rsidR="008D799C" w:rsidRPr="00806827" w:rsidRDefault="008D799C" w:rsidP="008D799C">
            <w:pPr>
              <w:spacing w:after="0" w:line="300" w:lineRule="auto"/>
              <w:jc w:val="right"/>
              <w:rPr>
                <w:color w:val="000000"/>
                <w:szCs w:val="24"/>
              </w:rPr>
            </w:pPr>
            <w:r w:rsidRPr="00806827">
              <w:t>1%</w:t>
            </w:r>
          </w:p>
        </w:tc>
        <w:tc>
          <w:tcPr>
            <w:tcW w:w="1008" w:type="dxa"/>
            <w:tcBorders>
              <w:top w:val="nil"/>
              <w:left w:val="nil"/>
              <w:bottom w:val="nil"/>
              <w:right w:val="nil"/>
            </w:tcBorders>
            <w:shd w:val="clear" w:color="auto" w:fill="auto"/>
            <w:hideMark/>
          </w:tcPr>
          <w:p w14:paraId="0025B155" w14:textId="5178BD85" w:rsidR="008D799C" w:rsidRPr="00806827" w:rsidRDefault="008D799C" w:rsidP="008D799C">
            <w:pPr>
              <w:spacing w:after="0" w:line="300" w:lineRule="auto"/>
              <w:jc w:val="right"/>
              <w:rPr>
                <w:color w:val="000000"/>
                <w:szCs w:val="24"/>
              </w:rPr>
            </w:pPr>
            <w:r w:rsidRPr="00806827">
              <w:t>3,520</w:t>
            </w:r>
          </w:p>
        </w:tc>
        <w:tc>
          <w:tcPr>
            <w:tcW w:w="1009" w:type="dxa"/>
            <w:tcBorders>
              <w:top w:val="nil"/>
              <w:left w:val="nil"/>
              <w:bottom w:val="nil"/>
              <w:right w:val="nil"/>
            </w:tcBorders>
            <w:shd w:val="clear" w:color="auto" w:fill="auto"/>
            <w:hideMark/>
          </w:tcPr>
          <w:p w14:paraId="4110AF45" w14:textId="712F06A4" w:rsidR="008D799C" w:rsidRPr="00806827" w:rsidRDefault="008D799C" w:rsidP="008D799C">
            <w:pPr>
              <w:spacing w:after="0" w:line="300" w:lineRule="auto"/>
              <w:jc w:val="right"/>
              <w:rPr>
                <w:color w:val="000000"/>
                <w:szCs w:val="24"/>
              </w:rPr>
            </w:pPr>
            <w:r w:rsidRPr="00806827">
              <w:t>93%</w:t>
            </w:r>
          </w:p>
        </w:tc>
        <w:tc>
          <w:tcPr>
            <w:tcW w:w="1008" w:type="dxa"/>
            <w:tcBorders>
              <w:top w:val="nil"/>
              <w:left w:val="nil"/>
              <w:bottom w:val="nil"/>
              <w:right w:val="nil"/>
            </w:tcBorders>
            <w:shd w:val="clear" w:color="auto" w:fill="auto"/>
            <w:hideMark/>
          </w:tcPr>
          <w:p w14:paraId="3820B60C" w14:textId="1A02D295" w:rsidR="008D799C" w:rsidRPr="00806827" w:rsidRDefault="008D799C" w:rsidP="008D799C">
            <w:pPr>
              <w:spacing w:after="0" w:line="300" w:lineRule="auto"/>
              <w:jc w:val="right"/>
              <w:rPr>
                <w:color w:val="000000"/>
                <w:szCs w:val="24"/>
              </w:rPr>
            </w:pPr>
            <w:r w:rsidRPr="00806827">
              <w:t>85</w:t>
            </w:r>
          </w:p>
        </w:tc>
        <w:tc>
          <w:tcPr>
            <w:tcW w:w="1009" w:type="dxa"/>
            <w:tcBorders>
              <w:top w:val="nil"/>
              <w:left w:val="nil"/>
              <w:bottom w:val="nil"/>
              <w:right w:val="nil"/>
            </w:tcBorders>
            <w:shd w:val="clear" w:color="auto" w:fill="auto"/>
            <w:hideMark/>
          </w:tcPr>
          <w:p w14:paraId="59F4B343" w14:textId="5B1402DD" w:rsidR="008D799C" w:rsidRPr="00806827" w:rsidRDefault="008D799C" w:rsidP="008D799C">
            <w:pPr>
              <w:spacing w:after="0" w:line="300" w:lineRule="auto"/>
              <w:jc w:val="right"/>
              <w:rPr>
                <w:color w:val="000000"/>
                <w:szCs w:val="24"/>
              </w:rPr>
            </w:pPr>
            <w:r w:rsidRPr="00806827">
              <w:t>5%</w:t>
            </w:r>
          </w:p>
        </w:tc>
        <w:tc>
          <w:tcPr>
            <w:tcW w:w="1008" w:type="dxa"/>
            <w:tcBorders>
              <w:top w:val="nil"/>
              <w:left w:val="nil"/>
              <w:bottom w:val="nil"/>
              <w:right w:val="nil"/>
            </w:tcBorders>
            <w:shd w:val="clear" w:color="auto" w:fill="auto"/>
            <w:hideMark/>
          </w:tcPr>
          <w:p w14:paraId="1B8E076E" w14:textId="17565E2D" w:rsidR="008D799C" w:rsidRPr="00806827" w:rsidRDefault="008D799C" w:rsidP="008D799C">
            <w:pPr>
              <w:spacing w:after="0" w:line="300" w:lineRule="auto"/>
              <w:jc w:val="right"/>
              <w:rPr>
                <w:color w:val="000000"/>
                <w:szCs w:val="24"/>
              </w:rPr>
            </w:pPr>
            <w:r w:rsidRPr="00806827">
              <w:t>3,828</w:t>
            </w:r>
          </w:p>
        </w:tc>
        <w:tc>
          <w:tcPr>
            <w:tcW w:w="1010" w:type="dxa"/>
            <w:tcBorders>
              <w:top w:val="nil"/>
              <w:left w:val="nil"/>
              <w:bottom w:val="nil"/>
              <w:right w:val="nil"/>
            </w:tcBorders>
            <w:shd w:val="clear" w:color="auto" w:fill="auto"/>
            <w:hideMark/>
          </w:tcPr>
          <w:p w14:paraId="32BFC4A1" w14:textId="0B3B56B5" w:rsidR="008D799C" w:rsidRPr="00806827" w:rsidRDefault="008D799C" w:rsidP="008D799C">
            <w:pPr>
              <w:spacing w:after="0" w:line="300" w:lineRule="auto"/>
              <w:jc w:val="right"/>
              <w:rPr>
                <w:color w:val="000000"/>
                <w:szCs w:val="24"/>
              </w:rPr>
            </w:pPr>
            <w:r w:rsidRPr="00806827">
              <w:t>15%</w:t>
            </w:r>
          </w:p>
        </w:tc>
      </w:tr>
      <w:tr w:rsidR="008D799C" w:rsidRPr="00806827" w14:paraId="2FC1A815" w14:textId="77777777" w:rsidTr="00D43505">
        <w:trPr>
          <w:trHeight w:val="287"/>
        </w:trPr>
        <w:tc>
          <w:tcPr>
            <w:tcW w:w="4292" w:type="dxa"/>
            <w:tcBorders>
              <w:top w:val="nil"/>
              <w:left w:val="nil"/>
              <w:bottom w:val="nil"/>
              <w:right w:val="nil"/>
            </w:tcBorders>
            <w:shd w:val="clear" w:color="auto" w:fill="auto"/>
            <w:noWrap/>
            <w:vAlign w:val="bottom"/>
            <w:hideMark/>
          </w:tcPr>
          <w:p w14:paraId="19FADFF2" w14:textId="77777777" w:rsidR="008D799C" w:rsidRPr="00806827" w:rsidRDefault="008D799C" w:rsidP="008D799C">
            <w:pPr>
              <w:spacing w:after="0" w:line="300" w:lineRule="auto"/>
              <w:rPr>
                <w:color w:val="000000"/>
                <w:szCs w:val="24"/>
              </w:rPr>
            </w:pPr>
            <w:r w:rsidRPr="00806827">
              <w:rPr>
                <w:szCs w:val="24"/>
              </w:rPr>
              <w:t>≥10%</w:t>
            </w:r>
          </w:p>
        </w:tc>
        <w:tc>
          <w:tcPr>
            <w:tcW w:w="1008" w:type="dxa"/>
            <w:tcBorders>
              <w:top w:val="nil"/>
              <w:left w:val="nil"/>
              <w:bottom w:val="nil"/>
              <w:right w:val="nil"/>
            </w:tcBorders>
            <w:shd w:val="clear" w:color="auto" w:fill="D9D9D9" w:themeFill="background1" w:themeFillShade="D9"/>
            <w:hideMark/>
          </w:tcPr>
          <w:p w14:paraId="486DFB5E" w14:textId="2E7D78E1" w:rsidR="008D799C" w:rsidRPr="00806827" w:rsidRDefault="008D799C" w:rsidP="008D799C">
            <w:pPr>
              <w:spacing w:after="0" w:line="300" w:lineRule="auto"/>
              <w:jc w:val="right"/>
              <w:rPr>
                <w:color w:val="000000"/>
                <w:szCs w:val="24"/>
              </w:rPr>
            </w:pPr>
            <w:r w:rsidRPr="00806827">
              <w:t>0</w:t>
            </w:r>
          </w:p>
        </w:tc>
        <w:tc>
          <w:tcPr>
            <w:tcW w:w="1009" w:type="dxa"/>
            <w:tcBorders>
              <w:top w:val="nil"/>
              <w:left w:val="nil"/>
              <w:bottom w:val="nil"/>
              <w:right w:val="nil"/>
            </w:tcBorders>
            <w:shd w:val="clear" w:color="auto" w:fill="D9D9D9" w:themeFill="background1" w:themeFillShade="D9"/>
            <w:hideMark/>
          </w:tcPr>
          <w:p w14:paraId="3E511552" w14:textId="0D057795" w:rsidR="008D799C" w:rsidRPr="00806827" w:rsidRDefault="008D799C" w:rsidP="008D799C">
            <w:pPr>
              <w:spacing w:after="0" w:line="300" w:lineRule="auto"/>
              <w:jc w:val="right"/>
              <w:rPr>
                <w:color w:val="000000"/>
                <w:szCs w:val="24"/>
              </w:rPr>
            </w:pPr>
            <w:r w:rsidRPr="00806827">
              <w:t>0%</w:t>
            </w:r>
          </w:p>
        </w:tc>
        <w:tc>
          <w:tcPr>
            <w:tcW w:w="1008" w:type="dxa"/>
            <w:tcBorders>
              <w:top w:val="nil"/>
              <w:left w:val="nil"/>
              <w:bottom w:val="nil"/>
              <w:right w:val="nil"/>
            </w:tcBorders>
            <w:shd w:val="clear" w:color="auto" w:fill="D9D9D9" w:themeFill="background1" w:themeFillShade="D9"/>
            <w:hideMark/>
          </w:tcPr>
          <w:p w14:paraId="47ABD244" w14:textId="34664D7B" w:rsidR="008D799C" w:rsidRPr="00806827" w:rsidRDefault="008D799C" w:rsidP="008D799C">
            <w:pPr>
              <w:spacing w:after="0" w:line="300" w:lineRule="auto"/>
              <w:jc w:val="right"/>
              <w:rPr>
                <w:color w:val="000000"/>
                <w:szCs w:val="24"/>
              </w:rPr>
            </w:pPr>
            <w:r w:rsidRPr="00806827">
              <w:t>103</w:t>
            </w:r>
          </w:p>
        </w:tc>
        <w:tc>
          <w:tcPr>
            <w:tcW w:w="1009" w:type="dxa"/>
            <w:tcBorders>
              <w:top w:val="nil"/>
              <w:left w:val="nil"/>
              <w:bottom w:val="nil"/>
              <w:right w:val="nil"/>
            </w:tcBorders>
            <w:shd w:val="clear" w:color="auto" w:fill="D9D9D9" w:themeFill="background1" w:themeFillShade="D9"/>
            <w:hideMark/>
          </w:tcPr>
          <w:p w14:paraId="25AE4EA0" w14:textId="399B74DE" w:rsidR="008D799C" w:rsidRPr="00806827" w:rsidRDefault="008D799C" w:rsidP="008D799C">
            <w:pPr>
              <w:spacing w:after="0" w:line="300" w:lineRule="auto"/>
              <w:jc w:val="right"/>
              <w:rPr>
                <w:color w:val="000000"/>
                <w:szCs w:val="24"/>
              </w:rPr>
            </w:pPr>
            <w:r w:rsidRPr="00806827">
              <w:t>3%</w:t>
            </w:r>
          </w:p>
        </w:tc>
        <w:tc>
          <w:tcPr>
            <w:tcW w:w="1008" w:type="dxa"/>
            <w:tcBorders>
              <w:top w:val="nil"/>
              <w:left w:val="nil"/>
              <w:bottom w:val="nil"/>
              <w:right w:val="nil"/>
            </w:tcBorders>
            <w:shd w:val="clear" w:color="auto" w:fill="auto"/>
            <w:hideMark/>
          </w:tcPr>
          <w:p w14:paraId="2B0B1463" w14:textId="5EC749ED" w:rsidR="008D799C" w:rsidRPr="00806827" w:rsidRDefault="008D799C" w:rsidP="008D799C">
            <w:pPr>
              <w:spacing w:after="0" w:line="300" w:lineRule="auto"/>
              <w:jc w:val="right"/>
              <w:rPr>
                <w:color w:val="000000"/>
                <w:szCs w:val="24"/>
              </w:rPr>
            </w:pPr>
            <w:r w:rsidRPr="00806827">
              <w:t>1,616</w:t>
            </w:r>
          </w:p>
        </w:tc>
        <w:tc>
          <w:tcPr>
            <w:tcW w:w="1009" w:type="dxa"/>
            <w:tcBorders>
              <w:top w:val="nil"/>
              <w:left w:val="nil"/>
              <w:bottom w:val="nil"/>
              <w:right w:val="nil"/>
            </w:tcBorders>
            <w:shd w:val="clear" w:color="auto" w:fill="auto"/>
            <w:hideMark/>
          </w:tcPr>
          <w:p w14:paraId="6319DFA5" w14:textId="2DF34B95" w:rsidR="008D799C" w:rsidRPr="00806827" w:rsidRDefault="008D799C" w:rsidP="008D799C">
            <w:pPr>
              <w:spacing w:after="0" w:line="300" w:lineRule="auto"/>
              <w:jc w:val="right"/>
              <w:rPr>
                <w:color w:val="000000"/>
                <w:szCs w:val="24"/>
              </w:rPr>
            </w:pPr>
            <w:r w:rsidRPr="00806827">
              <w:t>95%</w:t>
            </w:r>
          </w:p>
        </w:tc>
        <w:tc>
          <w:tcPr>
            <w:tcW w:w="1008" w:type="dxa"/>
            <w:tcBorders>
              <w:top w:val="nil"/>
              <w:left w:val="nil"/>
              <w:bottom w:val="nil"/>
              <w:right w:val="nil"/>
            </w:tcBorders>
            <w:shd w:val="clear" w:color="auto" w:fill="auto"/>
            <w:hideMark/>
          </w:tcPr>
          <w:p w14:paraId="72A5BA4B" w14:textId="550C8EC9" w:rsidR="008D799C" w:rsidRPr="00806827" w:rsidRDefault="008D799C" w:rsidP="008D799C">
            <w:pPr>
              <w:spacing w:after="0" w:line="300" w:lineRule="auto"/>
              <w:jc w:val="right"/>
              <w:rPr>
                <w:color w:val="000000"/>
                <w:szCs w:val="24"/>
              </w:rPr>
            </w:pPr>
            <w:r w:rsidRPr="00806827">
              <w:t>1,719</w:t>
            </w:r>
          </w:p>
        </w:tc>
        <w:tc>
          <w:tcPr>
            <w:tcW w:w="1010" w:type="dxa"/>
            <w:tcBorders>
              <w:top w:val="nil"/>
              <w:left w:val="nil"/>
              <w:bottom w:val="nil"/>
              <w:right w:val="nil"/>
            </w:tcBorders>
            <w:shd w:val="clear" w:color="auto" w:fill="auto"/>
            <w:hideMark/>
          </w:tcPr>
          <w:p w14:paraId="5AE8CB07" w14:textId="58EC585A" w:rsidR="008D799C" w:rsidRPr="00806827" w:rsidRDefault="008D799C" w:rsidP="008D799C">
            <w:pPr>
              <w:spacing w:after="0" w:line="300" w:lineRule="auto"/>
              <w:jc w:val="right"/>
              <w:rPr>
                <w:color w:val="000000"/>
                <w:szCs w:val="24"/>
              </w:rPr>
            </w:pPr>
            <w:r w:rsidRPr="00806827">
              <w:t>7%</w:t>
            </w:r>
          </w:p>
        </w:tc>
      </w:tr>
      <w:tr w:rsidR="008D799C" w:rsidRPr="00806827" w14:paraId="435F1B69" w14:textId="77777777" w:rsidTr="00D43505">
        <w:trPr>
          <w:trHeight w:val="287"/>
        </w:trPr>
        <w:tc>
          <w:tcPr>
            <w:tcW w:w="4292" w:type="dxa"/>
            <w:tcBorders>
              <w:top w:val="nil"/>
              <w:left w:val="nil"/>
              <w:bottom w:val="single" w:sz="4" w:space="0" w:color="auto"/>
              <w:right w:val="nil"/>
            </w:tcBorders>
            <w:shd w:val="clear" w:color="auto" w:fill="auto"/>
            <w:noWrap/>
            <w:vAlign w:val="bottom"/>
            <w:hideMark/>
          </w:tcPr>
          <w:p w14:paraId="3359ED9E" w14:textId="77777777" w:rsidR="008D799C" w:rsidRPr="00806827" w:rsidRDefault="008D799C" w:rsidP="008D799C">
            <w:pPr>
              <w:spacing w:after="0" w:line="300" w:lineRule="auto"/>
              <w:rPr>
                <w:b/>
                <w:bCs/>
                <w:color w:val="000000"/>
                <w:szCs w:val="24"/>
              </w:rPr>
            </w:pPr>
            <w:r w:rsidRPr="00806827">
              <w:rPr>
                <w:b/>
                <w:bCs/>
                <w:color w:val="000000"/>
                <w:szCs w:val="24"/>
              </w:rPr>
              <w:t>Total</w:t>
            </w:r>
          </w:p>
        </w:tc>
        <w:tc>
          <w:tcPr>
            <w:tcW w:w="1008" w:type="dxa"/>
            <w:tcBorders>
              <w:top w:val="nil"/>
              <w:left w:val="nil"/>
              <w:bottom w:val="single" w:sz="4" w:space="0" w:color="auto"/>
              <w:right w:val="nil"/>
            </w:tcBorders>
            <w:shd w:val="clear" w:color="auto" w:fill="auto"/>
            <w:hideMark/>
          </w:tcPr>
          <w:p w14:paraId="1BFDA4E3" w14:textId="52D77140" w:rsidR="008D799C" w:rsidRPr="00806827" w:rsidRDefault="008D799C" w:rsidP="008D799C">
            <w:pPr>
              <w:spacing w:after="0" w:line="300" w:lineRule="auto"/>
              <w:jc w:val="right"/>
              <w:rPr>
                <w:color w:val="000000"/>
                <w:szCs w:val="24"/>
              </w:rPr>
            </w:pPr>
            <w:r w:rsidRPr="00806827">
              <w:t>20,080</w:t>
            </w:r>
          </w:p>
        </w:tc>
        <w:tc>
          <w:tcPr>
            <w:tcW w:w="1009" w:type="dxa"/>
            <w:tcBorders>
              <w:top w:val="nil"/>
              <w:left w:val="nil"/>
              <w:bottom w:val="single" w:sz="4" w:space="0" w:color="auto"/>
              <w:right w:val="nil"/>
            </w:tcBorders>
            <w:shd w:val="clear" w:color="auto" w:fill="auto"/>
            <w:hideMark/>
          </w:tcPr>
          <w:p w14:paraId="6CAB4DD0" w14:textId="77777777" w:rsidR="008D799C" w:rsidRPr="00806827" w:rsidRDefault="008D799C" w:rsidP="008D799C">
            <w:pPr>
              <w:spacing w:after="0" w:line="300" w:lineRule="auto"/>
              <w:rPr>
                <w:color w:val="000000"/>
                <w:szCs w:val="24"/>
              </w:rPr>
            </w:pPr>
          </w:p>
        </w:tc>
        <w:tc>
          <w:tcPr>
            <w:tcW w:w="1008" w:type="dxa"/>
            <w:tcBorders>
              <w:top w:val="nil"/>
              <w:left w:val="nil"/>
              <w:bottom w:val="single" w:sz="4" w:space="0" w:color="auto"/>
              <w:right w:val="nil"/>
            </w:tcBorders>
            <w:shd w:val="clear" w:color="auto" w:fill="auto"/>
            <w:hideMark/>
          </w:tcPr>
          <w:p w14:paraId="02D50AFE" w14:textId="32666970" w:rsidR="008D799C" w:rsidRPr="00806827" w:rsidRDefault="008D799C" w:rsidP="008D799C">
            <w:pPr>
              <w:spacing w:after="0" w:line="300" w:lineRule="auto"/>
              <w:jc w:val="right"/>
              <w:rPr>
                <w:color w:val="000000"/>
                <w:szCs w:val="24"/>
              </w:rPr>
            </w:pPr>
            <w:r w:rsidRPr="00806827">
              <w:t>3,798</w:t>
            </w:r>
          </w:p>
        </w:tc>
        <w:tc>
          <w:tcPr>
            <w:tcW w:w="1009" w:type="dxa"/>
            <w:tcBorders>
              <w:top w:val="nil"/>
              <w:left w:val="nil"/>
              <w:bottom w:val="single" w:sz="4" w:space="0" w:color="auto"/>
              <w:right w:val="nil"/>
            </w:tcBorders>
            <w:shd w:val="clear" w:color="auto" w:fill="auto"/>
            <w:hideMark/>
          </w:tcPr>
          <w:p w14:paraId="42137170" w14:textId="77777777" w:rsidR="008D799C" w:rsidRPr="00806827" w:rsidRDefault="008D799C" w:rsidP="008D799C">
            <w:pPr>
              <w:spacing w:after="0" w:line="300" w:lineRule="auto"/>
              <w:rPr>
                <w:color w:val="000000"/>
                <w:szCs w:val="24"/>
              </w:rPr>
            </w:pPr>
          </w:p>
        </w:tc>
        <w:tc>
          <w:tcPr>
            <w:tcW w:w="1008" w:type="dxa"/>
            <w:tcBorders>
              <w:top w:val="nil"/>
              <w:left w:val="nil"/>
              <w:bottom w:val="single" w:sz="4" w:space="0" w:color="auto"/>
              <w:right w:val="nil"/>
            </w:tcBorders>
            <w:shd w:val="clear" w:color="auto" w:fill="auto"/>
            <w:hideMark/>
          </w:tcPr>
          <w:p w14:paraId="7EF3B43F" w14:textId="5F659D25" w:rsidR="008D799C" w:rsidRPr="00806827" w:rsidRDefault="008D799C" w:rsidP="008D799C">
            <w:pPr>
              <w:spacing w:after="0" w:line="300" w:lineRule="auto"/>
              <w:jc w:val="right"/>
              <w:rPr>
                <w:color w:val="000000"/>
                <w:szCs w:val="24"/>
              </w:rPr>
            </w:pPr>
            <w:r w:rsidRPr="00806827">
              <w:t>1,701</w:t>
            </w:r>
          </w:p>
        </w:tc>
        <w:tc>
          <w:tcPr>
            <w:tcW w:w="1009" w:type="dxa"/>
            <w:tcBorders>
              <w:top w:val="nil"/>
              <w:left w:val="nil"/>
              <w:bottom w:val="single" w:sz="4" w:space="0" w:color="auto"/>
              <w:right w:val="nil"/>
            </w:tcBorders>
            <w:shd w:val="clear" w:color="auto" w:fill="auto"/>
            <w:hideMark/>
          </w:tcPr>
          <w:p w14:paraId="6656CE91" w14:textId="77777777" w:rsidR="008D799C" w:rsidRPr="00806827" w:rsidRDefault="008D799C" w:rsidP="008D799C">
            <w:pPr>
              <w:spacing w:after="0" w:line="300" w:lineRule="auto"/>
              <w:rPr>
                <w:color w:val="000000"/>
                <w:szCs w:val="24"/>
              </w:rPr>
            </w:pPr>
          </w:p>
        </w:tc>
        <w:tc>
          <w:tcPr>
            <w:tcW w:w="1008" w:type="dxa"/>
            <w:tcBorders>
              <w:top w:val="nil"/>
              <w:left w:val="nil"/>
              <w:bottom w:val="single" w:sz="4" w:space="0" w:color="auto"/>
              <w:right w:val="nil"/>
            </w:tcBorders>
            <w:shd w:val="clear" w:color="auto" w:fill="auto"/>
            <w:hideMark/>
          </w:tcPr>
          <w:p w14:paraId="2B3F9048" w14:textId="3D5570B9" w:rsidR="008D799C" w:rsidRPr="00806827" w:rsidRDefault="008D799C" w:rsidP="008D799C">
            <w:pPr>
              <w:spacing w:after="0" w:line="300" w:lineRule="auto"/>
              <w:jc w:val="right"/>
              <w:rPr>
                <w:color w:val="000000"/>
                <w:szCs w:val="24"/>
              </w:rPr>
            </w:pPr>
            <w:r w:rsidRPr="00806827">
              <w:t>25,579</w:t>
            </w:r>
          </w:p>
        </w:tc>
        <w:tc>
          <w:tcPr>
            <w:tcW w:w="1010" w:type="dxa"/>
            <w:tcBorders>
              <w:top w:val="nil"/>
              <w:left w:val="nil"/>
              <w:bottom w:val="single" w:sz="4" w:space="0" w:color="auto"/>
              <w:right w:val="nil"/>
            </w:tcBorders>
            <w:shd w:val="clear" w:color="auto" w:fill="auto"/>
            <w:hideMark/>
          </w:tcPr>
          <w:p w14:paraId="408EDA72" w14:textId="77777777" w:rsidR="008D799C" w:rsidRPr="00806827" w:rsidRDefault="008D799C" w:rsidP="008D799C">
            <w:pPr>
              <w:spacing w:after="0" w:line="300" w:lineRule="auto"/>
              <w:rPr>
                <w:color w:val="000000"/>
                <w:szCs w:val="24"/>
              </w:rPr>
            </w:pPr>
          </w:p>
        </w:tc>
      </w:tr>
    </w:tbl>
    <w:p w14:paraId="32AB5660" w14:textId="52CFEA74" w:rsidR="00781F56" w:rsidRPr="00806827" w:rsidRDefault="00781F56" w:rsidP="0070182D">
      <w:pPr>
        <w:tabs>
          <w:tab w:val="left" w:pos="1680"/>
        </w:tabs>
        <w:spacing w:before="120" w:after="0"/>
        <w:rPr>
          <w:sz w:val="22"/>
        </w:rPr>
      </w:pPr>
      <w:r w:rsidRPr="00806827">
        <w:rPr>
          <w:sz w:val="22"/>
          <w:vertAlign w:val="superscript"/>
        </w:rPr>
        <w:t>a</w:t>
      </w:r>
      <w:r w:rsidRPr="00806827">
        <w:rPr>
          <w:sz w:val="22"/>
        </w:rPr>
        <w:t xml:space="preserve"> Shaded areas represent improvements in reclassification after the addition of preeclampsia history</w:t>
      </w:r>
    </w:p>
    <w:p w14:paraId="721D626F" w14:textId="231CBFE4" w:rsidR="00781F56" w:rsidRPr="00806827" w:rsidRDefault="00781F56" w:rsidP="0070182D">
      <w:pPr>
        <w:tabs>
          <w:tab w:val="left" w:pos="1680"/>
        </w:tabs>
        <w:spacing w:after="0"/>
        <w:rPr>
          <w:sz w:val="22"/>
          <w:lang w:val="fr-FR"/>
        </w:rPr>
      </w:pPr>
      <w:r w:rsidRPr="00806827">
        <w:rPr>
          <w:sz w:val="22"/>
          <w:lang w:val="fr-FR"/>
        </w:rPr>
        <w:t>Net reclassification improvement (NRI) = 0.02 (95</w:t>
      </w:r>
      <w:r w:rsidR="00D73EDA" w:rsidRPr="00806827">
        <w:rPr>
          <w:sz w:val="22"/>
          <w:lang w:val="fr-FR"/>
        </w:rPr>
        <w:t>% CI: -0.005, 0.04), p-value=0.11</w:t>
      </w:r>
    </w:p>
    <w:p w14:paraId="6C563A0D" w14:textId="2DCE040B" w:rsidR="00781F56" w:rsidRPr="00806827" w:rsidRDefault="00D73EDA" w:rsidP="0070182D">
      <w:pPr>
        <w:spacing w:after="0"/>
        <w:rPr>
          <w:sz w:val="22"/>
        </w:rPr>
      </w:pPr>
      <w:r w:rsidRPr="00806827">
        <w:rPr>
          <w:sz w:val="22"/>
        </w:rPr>
        <w:t>NRI for events = 0.01</w:t>
      </w:r>
      <w:r w:rsidR="00781F56" w:rsidRPr="00806827">
        <w:rPr>
          <w:sz w:val="22"/>
        </w:rPr>
        <w:t xml:space="preserve"> (95%</w:t>
      </w:r>
      <w:r w:rsidRPr="00806827">
        <w:rPr>
          <w:sz w:val="22"/>
        </w:rPr>
        <w:t xml:space="preserve"> CI: -0.002, 0.04), p-value=0.17</w:t>
      </w:r>
    </w:p>
    <w:p w14:paraId="42FDFD22" w14:textId="2DC040B2" w:rsidR="00781F56" w:rsidRPr="00806827" w:rsidRDefault="00D73EDA" w:rsidP="0070182D">
      <w:pPr>
        <w:spacing w:after="0"/>
        <w:rPr>
          <w:sz w:val="22"/>
        </w:rPr>
      </w:pPr>
      <w:r w:rsidRPr="00806827">
        <w:rPr>
          <w:sz w:val="22"/>
        </w:rPr>
        <w:t>NRI for non-events = 0.002 (95% CI: 0.0006, 0.004), p-value=0.004</w:t>
      </w:r>
    </w:p>
    <w:p w14:paraId="5DCA78CB" w14:textId="2173AEBA" w:rsidR="00182C56" w:rsidRPr="00806827" w:rsidRDefault="00781F56" w:rsidP="0070182D">
      <w:pPr>
        <w:spacing w:after="0"/>
        <w:rPr>
          <w:sz w:val="22"/>
        </w:rPr>
      </w:pPr>
      <w:r w:rsidRPr="00806827">
        <w:rPr>
          <w:sz w:val="22"/>
        </w:rPr>
        <w:t>Integrated disc</w:t>
      </w:r>
      <w:r w:rsidR="009B64EE" w:rsidRPr="00806827">
        <w:rPr>
          <w:sz w:val="22"/>
        </w:rPr>
        <w:t>rimination improvement (IDI) = 0.0001</w:t>
      </w:r>
      <w:r w:rsidRPr="00806827">
        <w:rPr>
          <w:sz w:val="22"/>
        </w:rPr>
        <w:t xml:space="preserve"> (95% CI: -0.00</w:t>
      </w:r>
      <w:r w:rsidR="009B64EE" w:rsidRPr="00806827">
        <w:rPr>
          <w:sz w:val="22"/>
        </w:rPr>
        <w:t>05, 0.0008</w:t>
      </w:r>
      <w:r w:rsidRPr="00806827">
        <w:rPr>
          <w:sz w:val="22"/>
        </w:rPr>
        <w:t>), p-value=0.</w:t>
      </w:r>
      <w:r w:rsidR="009B64EE" w:rsidRPr="00806827">
        <w:rPr>
          <w:sz w:val="22"/>
        </w:rPr>
        <w:t>83</w:t>
      </w:r>
      <w:bookmarkEnd w:id="0"/>
    </w:p>
    <w:p w14:paraId="16EDD08C" w14:textId="3C665BB5" w:rsidR="00C53105" w:rsidRPr="00806827" w:rsidRDefault="00C53105">
      <w:pPr>
        <w:rPr>
          <w:sz w:val="22"/>
        </w:rPr>
      </w:pPr>
      <w:r w:rsidRPr="00806827">
        <w:rPr>
          <w:sz w:val="22"/>
        </w:rPr>
        <w:br w:type="page"/>
      </w:r>
    </w:p>
    <w:p w14:paraId="3DD90838" w14:textId="6C3F91A0" w:rsidR="00C53105" w:rsidRPr="00806827" w:rsidRDefault="005D196B" w:rsidP="0070182D">
      <w:pPr>
        <w:spacing w:after="0"/>
      </w:pPr>
      <w:r w:rsidRPr="00806827">
        <w:rPr>
          <w:b/>
        </w:rPr>
        <w:lastRenderedPageBreak/>
        <w:t>Supplemental</w:t>
      </w:r>
      <w:r w:rsidR="00C53105" w:rsidRPr="00806827">
        <w:rPr>
          <w:b/>
        </w:rPr>
        <w:t xml:space="preserve"> Table 5. </w:t>
      </w:r>
      <w:r w:rsidR="00C53105" w:rsidRPr="00806827">
        <w:t>Results from sensitivity analyses</w:t>
      </w:r>
    </w:p>
    <w:p w14:paraId="441C02DD" w14:textId="77777777" w:rsidR="00CF4426" w:rsidRPr="00806827" w:rsidRDefault="00CF4426" w:rsidP="0070182D">
      <w:pPr>
        <w:spacing w:after="0"/>
      </w:pPr>
    </w:p>
    <w:tbl>
      <w:tblPr>
        <w:tblW w:w="0" w:type="auto"/>
        <w:tblLayout w:type="fixed"/>
        <w:tblLook w:val="04A0" w:firstRow="1" w:lastRow="0" w:firstColumn="1" w:lastColumn="0" w:noHBand="0" w:noVBand="1"/>
      </w:tblPr>
      <w:tblGrid>
        <w:gridCol w:w="1980"/>
        <w:gridCol w:w="990"/>
        <w:gridCol w:w="1710"/>
        <w:gridCol w:w="900"/>
        <w:gridCol w:w="990"/>
        <w:gridCol w:w="1800"/>
        <w:gridCol w:w="900"/>
        <w:gridCol w:w="991"/>
        <w:gridCol w:w="1727"/>
        <w:gridCol w:w="972"/>
      </w:tblGrid>
      <w:tr w:rsidR="00CF4426" w:rsidRPr="00806827" w14:paraId="574A1956" w14:textId="77777777" w:rsidTr="00CA478D">
        <w:trPr>
          <w:trHeight w:val="300"/>
        </w:trPr>
        <w:tc>
          <w:tcPr>
            <w:tcW w:w="1980" w:type="dxa"/>
            <w:tcBorders>
              <w:top w:val="single" w:sz="4" w:space="0" w:color="auto"/>
              <w:left w:val="nil"/>
              <w:bottom w:val="nil"/>
              <w:right w:val="nil"/>
            </w:tcBorders>
            <w:shd w:val="clear" w:color="auto" w:fill="auto"/>
            <w:noWrap/>
            <w:vAlign w:val="bottom"/>
            <w:hideMark/>
          </w:tcPr>
          <w:p w14:paraId="1553A13A" w14:textId="77777777" w:rsidR="00CF4426" w:rsidRPr="00806827" w:rsidRDefault="00CF4426" w:rsidP="00CF4426">
            <w:pPr>
              <w:spacing w:after="0" w:line="240" w:lineRule="auto"/>
              <w:rPr>
                <w:rFonts w:eastAsia="Times New Roman" w:cs="Times New Roman"/>
                <w:color w:val="000000"/>
                <w:sz w:val="22"/>
              </w:rPr>
            </w:pPr>
            <w:r w:rsidRPr="00806827">
              <w:rPr>
                <w:rFonts w:eastAsia="Times New Roman" w:cs="Times New Roman"/>
                <w:color w:val="000000"/>
                <w:sz w:val="22"/>
              </w:rPr>
              <w:t> </w:t>
            </w:r>
          </w:p>
        </w:tc>
        <w:tc>
          <w:tcPr>
            <w:tcW w:w="36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5CF3AE"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Main findings</w:t>
            </w:r>
          </w:p>
        </w:tc>
        <w:tc>
          <w:tcPr>
            <w:tcW w:w="7380" w:type="dxa"/>
            <w:gridSpan w:val="6"/>
            <w:tcBorders>
              <w:top w:val="single" w:sz="4" w:space="0" w:color="auto"/>
              <w:left w:val="nil"/>
              <w:bottom w:val="single" w:sz="4" w:space="0" w:color="auto"/>
              <w:right w:val="nil"/>
            </w:tcBorders>
            <w:shd w:val="clear" w:color="auto" w:fill="auto"/>
            <w:noWrap/>
            <w:vAlign w:val="bottom"/>
            <w:hideMark/>
          </w:tcPr>
          <w:p w14:paraId="3CFD2A3C"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Sensitivity analyses</w:t>
            </w:r>
          </w:p>
        </w:tc>
      </w:tr>
      <w:tr w:rsidR="00CF4426" w:rsidRPr="00806827" w14:paraId="45FA5948" w14:textId="77777777" w:rsidTr="00CA478D">
        <w:trPr>
          <w:trHeight w:val="1232"/>
        </w:trPr>
        <w:tc>
          <w:tcPr>
            <w:tcW w:w="1980" w:type="dxa"/>
            <w:tcBorders>
              <w:top w:val="nil"/>
              <w:left w:val="nil"/>
              <w:bottom w:val="nil"/>
              <w:right w:val="nil"/>
            </w:tcBorders>
            <w:shd w:val="clear" w:color="auto" w:fill="auto"/>
            <w:noWrap/>
            <w:vAlign w:val="bottom"/>
            <w:hideMark/>
          </w:tcPr>
          <w:p w14:paraId="50BAD467" w14:textId="77777777" w:rsidR="00CF4426" w:rsidRPr="00806827" w:rsidRDefault="00CF4426" w:rsidP="00CF4426">
            <w:pPr>
              <w:spacing w:after="0" w:line="240" w:lineRule="auto"/>
              <w:jc w:val="center"/>
              <w:rPr>
                <w:rFonts w:eastAsia="Times New Roman" w:cs="Times New Roman"/>
                <w:color w:val="000000"/>
                <w:sz w:val="22"/>
              </w:rPr>
            </w:pPr>
          </w:p>
        </w:tc>
        <w:tc>
          <w:tcPr>
            <w:tcW w:w="3600" w:type="dxa"/>
            <w:gridSpan w:val="3"/>
            <w:tcBorders>
              <w:top w:val="nil"/>
              <w:left w:val="single" w:sz="4" w:space="0" w:color="auto"/>
              <w:bottom w:val="nil"/>
              <w:right w:val="single" w:sz="4" w:space="0" w:color="000000"/>
            </w:tcBorders>
            <w:shd w:val="clear" w:color="auto" w:fill="auto"/>
            <w:vAlign w:val="bottom"/>
            <w:hideMark/>
          </w:tcPr>
          <w:p w14:paraId="2A735D4B" w14:textId="0ADB4845" w:rsidR="00CF4426" w:rsidRPr="00806827" w:rsidRDefault="00CF4426" w:rsidP="00CF4426">
            <w:pPr>
              <w:spacing w:after="120" w:line="240" w:lineRule="auto"/>
              <w:jc w:val="center"/>
              <w:rPr>
                <w:rFonts w:eastAsia="Times New Roman" w:cs="Times New Roman"/>
                <w:color w:val="000000"/>
                <w:sz w:val="22"/>
              </w:rPr>
            </w:pPr>
            <w:r w:rsidRPr="00806827">
              <w:rPr>
                <w:rFonts w:eastAsia="Times New Roman" w:cs="Times New Roman"/>
                <w:color w:val="000000"/>
                <w:sz w:val="22"/>
              </w:rPr>
              <w:t>Established risk factor model + pregnancy complication history</w:t>
            </w:r>
            <w:r w:rsidR="00947622" w:rsidRPr="00806827">
              <w:rPr>
                <w:sz w:val="22"/>
                <w:vertAlign w:val="superscript"/>
              </w:rPr>
              <w:t xml:space="preserve"> a</w:t>
            </w:r>
          </w:p>
        </w:tc>
        <w:tc>
          <w:tcPr>
            <w:tcW w:w="3690" w:type="dxa"/>
            <w:gridSpan w:val="3"/>
            <w:tcBorders>
              <w:top w:val="nil"/>
              <w:left w:val="nil"/>
              <w:bottom w:val="nil"/>
              <w:right w:val="nil"/>
            </w:tcBorders>
            <w:shd w:val="clear" w:color="auto" w:fill="auto"/>
            <w:vAlign w:val="bottom"/>
            <w:hideMark/>
          </w:tcPr>
          <w:p w14:paraId="26CED2F9" w14:textId="28EA78E5" w:rsidR="00CF4426" w:rsidRPr="00806827" w:rsidRDefault="00CF4426" w:rsidP="00947622">
            <w:pPr>
              <w:spacing w:after="120" w:line="240" w:lineRule="auto"/>
              <w:jc w:val="center"/>
              <w:rPr>
                <w:rFonts w:eastAsia="Times New Roman" w:cs="Times New Roman"/>
                <w:color w:val="000000"/>
                <w:sz w:val="22"/>
              </w:rPr>
            </w:pPr>
            <w:r w:rsidRPr="00806827">
              <w:rPr>
                <w:rFonts w:eastAsia="Times New Roman" w:cs="Times New Roman"/>
                <w:color w:val="000000"/>
                <w:sz w:val="22"/>
              </w:rPr>
              <w:t xml:space="preserve">Established risk factor model + pregnancy complication history including </w:t>
            </w:r>
            <w:r w:rsidR="00950BEF" w:rsidRPr="00806827">
              <w:rPr>
                <w:rFonts w:eastAsia="Times New Roman" w:cs="Times New Roman"/>
                <w:color w:val="000000"/>
                <w:sz w:val="22"/>
              </w:rPr>
              <w:t xml:space="preserve">recurrent </w:t>
            </w:r>
            <w:r w:rsidRPr="00806827">
              <w:rPr>
                <w:rFonts w:eastAsia="Times New Roman" w:cs="Times New Roman"/>
                <w:color w:val="000000"/>
                <w:sz w:val="22"/>
              </w:rPr>
              <w:t>pregnancy complications</w:t>
            </w:r>
            <w:r w:rsidR="00947622" w:rsidRPr="00806827">
              <w:rPr>
                <w:sz w:val="22"/>
                <w:vertAlign w:val="superscript"/>
              </w:rPr>
              <w:t xml:space="preserve"> a,b</w:t>
            </w:r>
          </w:p>
        </w:tc>
        <w:tc>
          <w:tcPr>
            <w:tcW w:w="3690" w:type="dxa"/>
            <w:gridSpan w:val="3"/>
            <w:tcBorders>
              <w:top w:val="single" w:sz="4" w:space="0" w:color="auto"/>
              <w:left w:val="single" w:sz="4" w:space="0" w:color="auto"/>
              <w:bottom w:val="nil"/>
              <w:right w:val="nil"/>
            </w:tcBorders>
            <w:shd w:val="clear" w:color="auto" w:fill="auto"/>
            <w:vAlign w:val="bottom"/>
            <w:hideMark/>
          </w:tcPr>
          <w:p w14:paraId="6780744B" w14:textId="1D8DAE94" w:rsidR="00CF4426" w:rsidRPr="00806827" w:rsidRDefault="00CF4426" w:rsidP="00CF4426">
            <w:pPr>
              <w:spacing w:after="120" w:line="240" w:lineRule="auto"/>
              <w:jc w:val="center"/>
              <w:rPr>
                <w:rFonts w:eastAsia="Times New Roman" w:cs="Times New Roman"/>
                <w:color w:val="000000"/>
                <w:sz w:val="22"/>
              </w:rPr>
            </w:pPr>
            <w:r w:rsidRPr="00806827">
              <w:rPr>
                <w:rFonts w:eastAsia="Times New Roman" w:cs="Times New Roman"/>
                <w:color w:val="000000"/>
                <w:sz w:val="22"/>
              </w:rPr>
              <w:t>Established risk factor model + pregnancy complication history including interactions between pregnancy complications</w:t>
            </w:r>
            <w:r w:rsidR="00947622" w:rsidRPr="00806827">
              <w:rPr>
                <w:sz w:val="22"/>
                <w:vertAlign w:val="superscript"/>
              </w:rPr>
              <w:t xml:space="preserve"> a,c</w:t>
            </w:r>
          </w:p>
        </w:tc>
      </w:tr>
      <w:tr w:rsidR="00CF4426" w:rsidRPr="00806827" w14:paraId="156E6264" w14:textId="77777777" w:rsidTr="00CA478D">
        <w:trPr>
          <w:trHeight w:val="300"/>
        </w:trPr>
        <w:tc>
          <w:tcPr>
            <w:tcW w:w="1980" w:type="dxa"/>
            <w:tcBorders>
              <w:top w:val="nil"/>
              <w:left w:val="nil"/>
              <w:bottom w:val="single" w:sz="4" w:space="0" w:color="auto"/>
              <w:right w:val="nil"/>
            </w:tcBorders>
            <w:shd w:val="clear" w:color="auto" w:fill="auto"/>
            <w:noWrap/>
            <w:vAlign w:val="bottom"/>
            <w:hideMark/>
          </w:tcPr>
          <w:p w14:paraId="303FF88C" w14:textId="77777777" w:rsidR="00CF4426" w:rsidRPr="00806827" w:rsidRDefault="00CF4426" w:rsidP="00CF4426">
            <w:pPr>
              <w:spacing w:after="0" w:line="240" w:lineRule="auto"/>
              <w:rPr>
                <w:rFonts w:eastAsia="Times New Roman" w:cs="Times New Roman"/>
                <w:color w:val="000000"/>
                <w:sz w:val="22"/>
              </w:rPr>
            </w:pPr>
            <w:r w:rsidRPr="00806827">
              <w:rPr>
                <w:rFonts w:eastAsia="Times New Roman" w:cs="Times New Roman"/>
                <w:color w:val="000000"/>
                <w:sz w:val="22"/>
              </w:rPr>
              <w:t> </w:t>
            </w:r>
          </w:p>
        </w:tc>
        <w:tc>
          <w:tcPr>
            <w:tcW w:w="990" w:type="dxa"/>
            <w:tcBorders>
              <w:top w:val="nil"/>
              <w:left w:val="single" w:sz="4" w:space="0" w:color="auto"/>
              <w:bottom w:val="single" w:sz="4" w:space="0" w:color="auto"/>
              <w:right w:val="nil"/>
            </w:tcBorders>
            <w:shd w:val="clear" w:color="auto" w:fill="auto"/>
            <w:vAlign w:val="center"/>
            <w:hideMark/>
          </w:tcPr>
          <w:p w14:paraId="212EE116"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Estimate</w:t>
            </w:r>
          </w:p>
        </w:tc>
        <w:tc>
          <w:tcPr>
            <w:tcW w:w="1710" w:type="dxa"/>
            <w:tcBorders>
              <w:top w:val="nil"/>
              <w:left w:val="nil"/>
              <w:bottom w:val="single" w:sz="4" w:space="0" w:color="auto"/>
              <w:right w:val="nil"/>
            </w:tcBorders>
            <w:shd w:val="clear" w:color="auto" w:fill="auto"/>
            <w:vAlign w:val="center"/>
            <w:hideMark/>
          </w:tcPr>
          <w:p w14:paraId="1E7DD4BF"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95% CI</w:t>
            </w:r>
          </w:p>
        </w:tc>
        <w:tc>
          <w:tcPr>
            <w:tcW w:w="900" w:type="dxa"/>
            <w:tcBorders>
              <w:top w:val="nil"/>
              <w:left w:val="nil"/>
              <w:bottom w:val="single" w:sz="4" w:space="0" w:color="auto"/>
              <w:right w:val="single" w:sz="4" w:space="0" w:color="auto"/>
            </w:tcBorders>
            <w:shd w:val="clear" w:color="auto" w:fill="auto"/>
            <w:vAlign w:val="center"/>
            <w:hideMark/>
          </w:tcPr>
          <w:p w14:paraId="5C576F5D"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p-value</w:t>
            </w:r>
          </w:p>
        </w:tc>
        <w:tc>
          <w:tcPr>
            <w:tcW w:w="990" w:type="dxa"/>
            <w:tcBorders>
              <w:top w:val="nil"/>
              <w:left w:val="nil"/>
              <w:bottom w:val="single" w:sz="4" w:space="0" w:color="auto"/>
              <w:right w:val="nil"/>
            </w:tcBorders>
            <w:shd w:val="clear" w:color="auto" w:fill="auto"/>
            <w:vAlign w:val="center"/>
            <w:hideMark/>
          </w:tcPr>
          <w:p w14:paraId="215823AB"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Estimate</w:t>
            </w:r>
          </w:p>
        </w:tc>
        <w:tc>
          <w:tcPr>
            <w:tcW w:w="1800" w:type="dxa"/>
            <w:tcBorders>
              <w:top w:val="nil"/>
              <w:left w:val="nil"/>
              <w:bottom w:val="single" w:sz="4" w:space="0" w:color="auto"/>
              <w:right w:val="nil"/>
            </w:tcBorders>
            <w:shd w:val="clear" w:color="auto" w:fill="auto"/>
            <w:vAlign w:val="center"/>
            <w:hideMark/>
          </w:tcPr>
          <w:p w14:paraId="4D5D2BA4"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95% CI</w:t>
            </w:r>
          </w:p>
        </w:tc>
        <w:tc>
          <w:tcPr>
            <w:tcW w:w="900" w:type="dxa"/>
            <w:tcBorders>
              <w:top w:val="nil"/>
              <w:left w:val="nil"/>
              <w:bottom w:val="single" w:sz="4" w:space="0" w:color="auto"/>
              <w:right w:val="nil"/>
            </w:tcBorders>
            <w:shd w:val="clear" w:color="auto" w:fill="auto"/>
            <w:vAlign w:val="center"/>
            <w:hideMark/>
          </w:tcPr>
          <w:p w14:paraId="0A60083A"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p-value</w:t>
            </w:r>
          </w:p>
        </w:tc>
        <w:tc>
          <w:tcPr>
            <w:tcW w:w="991" w:type="dxa"/>
            <w:tcBorders>
              <w:top w:val="nil"/>
              <w:left w:val="single" w:sz="4" w:space="0" w:color="auto"/>
              <w:bottom w:val="single" w:sz="4" w:space="0" w:color="auto"/>
              <w:right w:val="nil"/>
            </w:tcBorders>
            <w:shd w:val="clear" w:color="auto" w:fill="auto"/>
            <w:vAlign w:val="center"/>
            <w:hideMark/>
          </w:tcPr>
          <w:p w14:paraId="21283DCA"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Estimate</w:t>
            </w:r>
          </w:p>
        </w:tc>
        <w:tc>
          <w:tcPr>
            <w:tcW w:w="1727" w:type="dxa"/>
            <w:tcBorders>
              <w:top w:val="nil"/>
              <w:left w:val="nil"/>
              <w:bottom w:val="single" w:sz="4" w:space="0" w:color="auto"/>
              <w:right w:val="nil"/>
            </w:tcBorders>
            <w:shd w:val="clear" w:color="auto" w:fill="auto"/>
            <w:vAlign w:val="center"/>
            <w:hideMark/>
          </w:tcPr>
          <w:p w14:paraId="1FD72203"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95% CI</w:t>
            </w:r>
          </w:p>
        </w:tc>
        <w:tc>
          <w:tcPr>
            <w:tcW w:w="972" w:type="dxa"/>
            <w:tcBorders>
              <w:top w:val="nil"/>
              <w:left w:val="nil"/>
              <w:bottom w:val="single" w:sz="4" w:space="0" w:color="auto"/>
              <w:right w:val="nil"/>
            </w:tcBorders>
            <w:shd w:val="clear" w:color="auto" w:fill="auto"/>
            <w:vAlign w:val="center"/>
            <w:hideMark/>
          </w:tcPr>
          <w:p w14:paraId="1B408656"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p-value</w:t>
            </w:r>
          </w:p>
        </w:tc>
      </w:tr>
      <w:tr w:rsidR="00CF4426" w:rsidRPr="00806827" w14:paraId="32B23966" w14:textId="77777777" w:rsidTr="00CA478D">
        <w:trPr>
          <w:trHeight w:val="300"/>
        </w:trPr>
        <w:tc>
          <w:tcPr>
            <w:tcW w:w="1980" w:type="dxa"/>
            <w:tcBorders>
              <w:top w:val="nil"/>
              <w:left w:val="nil"/>
              <w:bottom w:val="nil"/>
              <w:right w:val="nil"/>
            </w:tcBorders>
            <w:shd w:val="clear" w:color="auto" w:fill="auto"/>
            <w:noWrap/>
            <w:vAlign w:val="bottom"/>
            <w:hideMark/>
          </w:tcPr>
          <w:p w14:paraId="46C1654D" w14:textId="77777777" w:rsidR="00CF4426" w:rsidRPr="00806827" w:rsidRDefault="00CF4426" w:rsidP="00CF4426">
            <w:pPr>
              <w:spacing w:after="0" w:line="240" w:lineRule="auto"/>
              <w:rPr>
                <w:rFonts w:eastAsia="Times New Roman" w:cs="Times New Roman"/>
                <w:i/>
                <w:iCs/>
                <w:color w:val="000000"/>
                <w:sz w:val="22"/>
                <w:u w:val="single"/>
              </w:rPr>
            </w:pPr>
            <w:r w:rsidRPr="00806827">
              <w:rPr>
                <w:rFonts w:eastAsia="Times New Roman" w:cs="Times New Roman"/>
                <w:i/>
                <w:iCs/>
                <w:color w:val="000000"/>
                <w:sz w:val="22"/>
                <w:u w:val="single"/>
              </w:rPr>
              <w:t>Model fit</w:t>
            </w:r>
          </w:p>
        </w:tc>
        <w:tc>
          <w:tcPr>
            <w:tcW w:w="990" w:type="dxa"/>
            <w:tcBorders>
              <w:top w:val="nil"/>
              <w:left w:val="single" w:sz="4" w:space="0" w:color="auto"/>
              <w:bottom w:val="nil"/>
              <w:right w:val="nil"/>
            </w:tcBorders>
            <w:shd w:val="clear" w:color="auto" w:fill="auto"/>
            <w:vAlign w:val="center"/>
            <w:hideMark/>
          </w:tcPr>
          <w:p w14:paraId="0458260D"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 </w:t>
            </w:r>
          </w:p>
        </w:tc>
        <w:tc>
          <w:tcPr>
            <w:tcW w:w="1710" w:type="dxa"/>
            <w:tcBorders>
              <w:top w:val="nil"/>
              <w:left w:val="nil"/>
              <w:bottom w:val="nil"/>
              <w:right w:val="nil"/>
            </w:tcBorders>
            <w:shd w:val="clear" w:color="auto" w:fill="auto"/>
            <w:vAlign w:val="center"/>
            <w:hideMark/>
          </w:tcPr>
          <w:p w14:paraId="44B8637D" w14:textId="77777777" w:rsidR="00CF4426" w:rsidRPr="00806827" w:rsidRDefault="00CF4426" w:rsidP="00CF4426">
            <w:pPr>
              <w:spacing w:after="0" w:line="240" w:lineRule="auto"/>
              <w:jc w:val="center"/>
              <w:rPr>
                <w:rFonts w:eastAsia="Times New Roman" w:cs="Times New Roman"/>
                <w:color w:val="000000"/>
                <w:sz w:val="22"/>
              </w:rPr>
            </w:pPr>
          </w:p>
        </w:tc>
        <w:tc>
          <w:tcPr>
            <w:tcW w:w="900" w:type="dxa"/>
            <w:tcBorders>
              <w:top w:val="nil"/>
              <w:left w:val="nil"/>
              <w:bottom w:val="nil"/>
              <w:right w:val="single" w:sz="4" w:space="0" w:color="auto"/>
            </w:tcBorders>
            <w:shd w:val="clear" w:color="auto" w:fill="auto"/>
            <w:vAlign w:val="center"/>
            <w:hideMark/>
          </w:tcPr>
          <w:p w14:paraId="70CD9709"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 </w:t>
            </w:r>
          </w:p>
        </w:tc>
        <w:tc>
          <w:tcPr>
            <w:tcW w:w="990" w:type="dxa"/>
            <w:tcBorders>
              <w:top w:val="nil"/>
              <w:left w:val="nil"/>
              <w:bottom w:val="nil"/>
              <w:right w:val="nil"/>
            </w:tcBorders>
            <w:shd w:val="clear" w:color="auto" w:fill="auto"/>
            <w:vAlign w:val="center"/>
            <w:hideMark/>
          </w:tcPr>
          <w:p w14:paraId="1A28324D"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 </w:t>
            </w:r>
          </w:p>
        </w:tc>
        <w:tc>
          <w:tcPr>
            <w:tcW w:w="1800" w:type="dxa"/>
            <w:tcBorders>
              <w:top w:val="nil"/>
              <w:left w:val="nil"/>
              <w:bottom w:val="nil"/>
              <w:right w:val="nil"/>
            </w:tcBorders>
            <w:shd w:val="clear" w:color="auto" w:fill="auto"/>
            <w:vAlign w:val="center"/>
            <w:hideMark/>
          </w:tcPr>
          <w:p w14:paraId="131E7B88" w14:textId="77777777" w:rsidR="00CF4426" w:rsidRPr="00806827" w:rsidRDefault="00CF4426" w:rsidP="00CF4426">
            <w:pPr>
              <w:spacing w:after="0" w:line="240" w:lineRule="auto"/>
              <w:jc w:val="center"/>
              <w:rPr>
                <w:rFonts w:eastAsia="Times New Roman" w:cs="Times New Roman"/>
                <w:color w:val="000000"/>
                <w:sz w:val="22"/>
              </w:rPr>
            </w:pPr>
          </w:p>
        </w:tc>
        <w:tc>
          <w:tcPr>
            <w:tcW w:w="900" w:type="dxa"/>
            <w:tcBorders>
              <w:top w:val="nil"/>
              <w:left w:val="nil"/>
              <w:bottom w:val="nil"/>
              <w:right w:val="nil"/>
            </w:tcBorders>
            <w:shd w:val="clear" w:color="auto" w:fill="auto"/>
            <w:vAlign w:val="center"/>
            <w:hideMark/>
          </w:tcPr>
          <w:p w14:paraId="1375D5CB" w14:textId="77777777" w:rsidR="00CF4426" w:rsidRPr="00806827" w:rsidRDefault="00CF4426" w:rsidP="00CF4426">
            <w:pPr>
              <w:spacing w:after="0" w:line="240" w:lineRule="auto"/>
              <w:jc w:val="center"/>
              <w:rPr>
                <w:rFonts w:eastAsia="Times New Roman" w:cs="Times New Roman"/>
                <w:sz w:val="20"/>
                <w:szCs w:val="20"/>
              </w:rPr>
            </w:pPr>
          </w:p>
        </w:tc>
        <w:tc>
          <w:tcPr>
            <w:tcW w:w="991" w:type="dxa"/>
            <w:tcBorders>
              <w:top w:val="nil"/>
              <w:left w:val="single" w:sz="4" w:space="0" w:color="auto"/>
              <w:bottom w:val="nil"/>
              <w:right w:val="nil"/>
            </w:tcBorders>
            <w:shd w:val="clear" w:color="auto" w:fill="auto"/>
            <w:vAlign w:val="center"/>
            <w:hideMark/>
          </w:tcPr>
          <w:p w14:paraId="2A9787DE"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 </w:t>
            </w:r>
          </w:p>
        </w:tc>
        <w:tc>
          <w:tcPr>
            <w:tcW w:w="1727" w:type="dxa"/>
            <w:tcBorders>
              <w:top w:val="nil"/>
              <w:left w:val="nil"/>
              <w:bottom w:val="nil"/>
              <w:right w:val="nil"/>
            </w:tcBorders>
            <w:shd w:val="clear" w:color="auto" w:fill="auto"/>
            <w:vAlign w:val="center"/>
            <w:hideMark/>
          </w:tcPr>
          <w:p w14:paraId="12440F31" w14:textId="77777777" w:rsidR="00CF4426" w:rsidRPr="00806827" w:rsidRDefault="00CF4426" w:rsidP="00CF4426">
            <w:pPr>
              <w:spacing w:after="0" w:line="240" w:lineRule="auto"/>
              <w:jc w:val="center"/>
              <w:rPr>
                <w:rFonts w:eastAsia="Times New Roman" w:cs="Times New Roman"/>
                <w:color w:val="000000"/>
                <w:sz w:val="22"/>
              </w:rPr>
            </w:pPr>
          </w:p>
        </w:tc>
        <w:tc>
          <w:tcPr>
            <w:tcW w:w="972" w:type="dxa"/>
            <w:tcBorders>
              <w:top w:val="nil"/>
              <w:left w:val="nil"/>
              <w:bottom w:val="nil"/>
              <w:right w:val="nil"/>
            </w:tcBorders>
            <w:shd w:val="clear" w:color="auto" w:fill="auto"/>
            <w:vAlign w:val="center"/>
            <w:hideMark/>
          </w:tcPr>
          <w:p w14:paraId="58077F79" w14:textId="77777777" w:rsidR="00CF4426" w:rsidRPr="00806827" w:rsidRDefault="00CF4426" w:rsidP="00CF4426">
            <w:pPr>
              <w:spacing w:after="0" w:line="240" w:lineRule="auto"/>
              <w:jc w:val="center"/>
              <w:rPr>
                <w:rFonts w:eastAsia="Times New Roman" w:cs="Times New Roman"/>
                <w:sz w:val="20"/>
                <w:szCs w:val="20"/>
              </w:rPr>
            </w:pPr>
          </w:p>
        </w:tc>
      </w:tr>
      <w:tr w:rsidR="00CF4426" w:rsidRPr="00806827" w14:paraId="27CC2B27" w14:textId="77777777" w:rsidTr="00CA478D">
        <w:trPr>
          <w:trHeight w:val="300"/>
        </w:trPr>
        <w:tc>
          <w:tcPr>
            <w:tcW w:w="1980" w:type="dxa"/>
            <w:tcBorders>
              <w:top w:val="nil"/>
              <w:left w:val="nil"/>
              <w:bottom w:val="nil"/>
              <w:right w:val="nil"/>
            </w:tcBorders>
            <w:shd w:val="clear" w:color="auto" w:fill="auto"/>
            <w:noWrap/>
            <w:vAlign w:val="center"/>
            <w:hideMark/>
          </w:tcPr>
          <w:p w14:paraId="7A50BBDE" w14:textId="77777777" w:rsidR="00CF4426" w:rsidRPr="00806827" w:rsidRDefault="00CF4426" w:rsidP="00CF4426">
            <w:pPr>
              <w:spacing w:after="0" w:line="240" w:lineRule="auto"/>
              <w:rPr>
                <w:rFonts w:eastAsia="Times New Roman" w:cs="Times New Roman"/>
                <w:color w:val="000000"/>
                <w:sz w:val="22"/>
              </w:rPr>
            </w:pPr>
            <w:r w:rsidRPr="00806827">
              <w:rPr>
                <w:rFonts w:eastAsia="Times New Roman" w:cs="Times New Roman"/>
                <w:color w:val="000000"/>
                <w:sz w:val="22"/>
              </w:rPr>
              <w:t>Wald test</w:t>
            </w:r>
          </w:p>
        </w:tc>
        <w:tc>
          <w:tcPr>
            <w:tcW w:w="990" w:type="dxa"/>
            <w:tcBorders>
              <w:top w:val="nil"/>
              <w:left w:val="single" w:sz="4" w:space="0" w:color="auto"/>
              <w:bottom w:val="nil"/>
              <w:right w:val="nil"/>
            </w:tcBorders>
            <w:shd w:val="clear" w:color="auto" w:fill="auto"/>
            <w:vAlign w:val="bottom"/>
            <w:hideMark/>
          </w:tcPr>
          <w:p w14:paraId="06442E3C" w14:textId="77777777" w:rsidR="00CF4426" w:rsidRPr="00806827" w:rsidRDefault="00CF4426" w:rsidP="00CF4426">
            <w:pPr>
              <w:spacing w:after="0" w:line="240" w:lineRule="auto"/>
              <w:rPr>
                <w:rFonts w:eastAsia="Times New Roman" w:cs="Times New Roman"/>
                <w:color w:val="000000"/>
                <w:sz w:val="22"/>
              </w:rPr>
            </w:pPr>
            <w:r w:rsidRPr="00806827">
              <w:rPr>
                <w:rFonts w:eastAsia="Times New Roman" w:cs="Times New Roman"/>
                <w:color w:val="000000"/>
                <w:sz w:val="22"/>
              </w:rPr>
              <w:t> </w:t>
            </w:r>
          </w:p>
        </w:tc>
        <w:tc>
          <w:tcPr>
            <w:tcW w:w="1710" w:type="dxa"/>
            <w:tcBorders>
              <w:top w:val="nil"/>
              <w:left w:val="nil"/>
              <w:bottom w:val="nil"/>
              <w:right w:val="nil"/>
            </w:tcBorders>
            <w:shd w:val="clear" w:color="auto" w:fill="auto"/>
            <w:vAlign w:val="bottom"/>
            <w:hideMark/>
          </w:tcPr>
          <w:p w14:paraId="00AE6D92" w14:textId="77777777" w:rsidR="00CF4426" w:rsidRPr="00806827" w:rsidRDefault="00CF4426" w:rsidP="00CF4426">
            <w:pPr>
              <w:spacing w:after="0" w:line="240" w:lineRule="auto"/>
              <w:rPr>
                <w:rFonts w:eastAsia="Times New Roman" w:cs="Times New Roman"/>
                <w:color w:val="000000"/>
                <w:sz w:val="22"/>
              </w:rPr>
            </w:pPr>
          </w:p>
        </w:tc>
        <w:tc>
          <w:tcPr>
            <w:tcW w:w="900" w:type="dxa"/>
            <w:tcBorders>
              <w:top w:val="nil"/>
              <w:left w:val="nil"/>
              <w:bottom w:val="nil"/>
              <w:right w:val="single" w:sz="4" w:space="0" w:color="auto"/>
            </w:tcBorders>
            <w:shd w:val="clear" w:color="auto" w:fill="auto"/>
            <w:vAlign w:val="center"/>
            <w:hideMark/>
          </w:tcPr>
          <w:p w14:paraId="3EAE2F3D"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0.04</w:t>
            </w:r>
          </w:p>
        </w:tc>
        <w:tc>
          <w:tcPr>
            <w:tcW w:w="990" w:type="dxa"/>
            <w:tcBorders>
              <w:top w:val="nil"/>
              <w:left w:val="nil"/>
              <w:bottom w:val="nil"/>
              <w:right w:val="nil"/>
            </w:tcBorders>
            <w:shd w:val="clear" w:color="auto" w:fill="auto"/>
            <w:vAlign w:val="bottom"/>
            <w:hideMark/>
          </w:tcPr>
          <w:p w14:paraId="3B570FA7" w14:textId="77777777" w:rsidR="00CF4426" w:rsidRPr="00806827" w:rsidRDefault="00CF4426" w:rsidP="00CF4426">
            <w:pPr>
              <w:spacing w:after="0" w:line="240" w:lineRule="auto"/>
              <w:rPr>
                <w:rFonts w:eastAsia="Times New Roman" w:cs="Times New Roman"/>
                <w:color w:val="000000"/>
                <w:sz w:val="22"/>
              </w:rPr>
            </w:pPr>
            <w:r w:rsidRPr="00806827">
              <w:rPr>
                <w:rFonts w:eastAsia="Times New Roman" w:cs="Times New Roman"/>
                <w:color w:val="000000"/>
                <w:sz w:val="22"/>
              </w:rPr>
              <w:t> </w:t>
            </w:r>
          </w:p>
        </w:tc>
        <w:tc>
          <w:tcPr>
            <w:tcW w:w="1800" w:type="dxa"/>
            <w:tcBorders>
              <w:top w:val="nil"/>
              <w:left w:val="nil"/>
              <w:bottom w:val="nil"/>
              <w:right w:val="nil"/>
            </w:tcBorders>
            <w:shd w:val="clear" w:color="auto" w:fill="auto"/>
            <w:vAlign w:val="bottom"/>
            <w:hideMark/>
          </w:tcPr>
          <w:p w14:paraId="16004C77" w14:textId="77777777" w:rsidR="00CF4426" w:rsidRPr="00806827" w:rsidRDefault="00CF4426" w:rsidP="00CF4426">
            <w:pPr>
              <w:spacing w:after="0" w:line="240" w:lineRule="auto"/>
              <w:rPr>
                <w:rFonts w:eastAsia="Times New Roman" w:cs="Times New Roman"/>
                <w:color w:val="000000"/>
                <w:sz w:val="22"/>
              </w:rPr>
            </w:pPr>
          </w:p>
        </w:tc>
        <w:tc>
          <w:tcPr>
            <w:tcW w:w="900" w:type="dxa"/>
            <w:tcBorders>
              <w:top w:val="nil"/>
              <w:left w:val="nil"/>
              <w:bottom w:val="nil"/>
              <w:right w:val="nil"/>
            </w:tcBorders>
            <w:shd w:val="clear" w:color="auto" w:fill="auto"/>
            <w:vAlign w:val="center"/>
            <w:hideMark/>
          </w:tcPr>
          <w:p w14:paraId="2482400F"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0.06</w:t>
            </w:r>
          </w:p>
        </w:tc>
        <w:tc>
          <w:tcPr>
            <w:tcW w:w="991" w:type="dxa"/>
            <w:tcBorders>
              <w:top w:val="nil"/>
              <w:left w:val="single" w:sz="4" w:space="0" w:color="auto"/>
              <w:bottom w:val="nil"/>
              <w:right w:val="nil"/>
            </w:tcBorders>
            <w:shd w:val="clear" w:color="auto" w:fill="auto"/>
            <w:vAlign w:val="bottom"/>
            <w:hideMark/>
          </w:tcPr>
          <w:p w14:paraId="33E03639" w14:textId="77777777" w:rsidR="00CF4426" w:rsidRPr="00806827" w:rsidRDefault="00CF4426" w:rsidP="00CF4426">
            <w:pPr>
              <w:spacing w:after="0" w:line="240" w:lineRule="auto"/>
              <w:rPr>
                <w:rFonts w:eastAsia="Times New Roman" w:cs="Times New Roman"/>
                <w:color w:val="000000"/>
                <w:sz w:val="22"/>
              </w:rPr>
            </w:pPr>
            <w:r w:rsidRPr="00806827">
              <w:rPr>
                <w:rFonts w:eastAsia="Times New Roman" w:cs="Times New Roman"/>
                <w:color w:val="000000"/>
                <w:sz w:val="22"/>
              </w:rPr>
              <w:t> </w:t>
            </w:r>
          </w:p>
        </w:tc>
        <w:tc>
          <w:tcPr>
            <w:tcW w:w="1727" w:type="dxa"/>
            <w:tcBorders>
              <w:top w:val="nil"/>
              <w:left w:val="nil"/>
              <w:bottom w:val="nil"/>
              <w:right w:val="nil"/>
            </w:tcBorders>
            <w:shd w:val="clear" w:color="auto" w:fill="auto"/>
            <w:vAlign w:val="bottom"/>
            <w:hideMark/>
          </w:tcPr>
          <w:p w14:paraId="3B8CFA14" w14:textId="77777777" w:rsidR="00CF4426" w:rsidRPr="00806827" w:rsidRDefault="00CF4426" w:rsidP="00CF4426">
            <w:pPr>
              <w:spacing w:after="0" w:line="240" w:lineRule="auto"/>
              <w:rPr>
                <w:rFonts w:eastAsia="Times New Roman" w:cs="Times New Roman"/>
                <w:color w:val="000000"/>
                <w:sz w:val="22"/>
              </w:rPr>
            </w:pPr>
          </w:p>
        </w:tc>
        <w:tc>
          <w:tcPr>
            <w:tcW w:w="972" w:type="dxa"/>
            <w:tcBorders>
              <w:top w:val="nil"/>
              <w:left w:val="nil"/>
              <w:bottom w:val="nil"/>
              <w:right w:val="nil"/>
            </w:tcBorders>
            <w:shd w:val="clear" w:color="auto" w:fill="auto"/>
            <w:vAlign w:val="center"/>
            <w:hideMark/>
          </w:tcPr>
          <w:p w14:paraId="2A62B526"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0.11</w:t>
            </w:r>
          </w:p>
        </w:tc>
      </w:tr>
      <w:tr w:rsidR="00CF4426" w:rsidRPr="00806827" w14:paraId="0A0D6996" w14:textId="77777777" w:rsidTr="00CA478D">
        <w:trPr>
          <w:trHeight w:val="300"/>
        </w:trPr>
        <w:tc>
          <w:tcPr>
            <w:tcW w:w="1980" w:type="dxa"/>
            <w:tcBorders>
              <w:top w:val="nil"/>
              <w:left w:val="nil"/>
              <w:bottom w:val="nil"/>
              <w:right w:val="nil"/>
            </w:tcBorders>
            <w:shd w:val="clear" w:color="auto" w:fill="auto"/>
            <w:noWrap/>
            <w:vAlign w:val="center"/>
            <w:hideMark/>
          </w:tcPr>
          <w:p w14:paraId="5EA0416C" w14:textId="77777777" w:rsidR="00CF4426" w:rsidRPr="00806827" w:rsidRDefault="00CF4426" w:rsidP="00CF4426">
            <w:pPr>
              <w:spacing w:after="0" w:line="240" w:lineRule="auto"/>
              <w:rPr>
                <w:rFonts w:eastAsia="Times New Roman" w:cs="Times New Roman"/>
                <w:i/>
                <w:iCs/>
                <w:color w:val="000000"/>
                <w:sz w:val="22"/>
                <w:u w:val="single"/>
              </w:rPr>
            </w:pPr>
            <w:r w:rsidRPr="00806827">
              <w:rPr>
                <w:rFonts w:eastAsia="Times New Roman" w:cs="Times New Roman"/>
                <w:i/>
                <w:iCs/>
                <w:color w:val="000000"/>
                <w:sz w:val="22"/>
                <w:u w:val="single"/>
              </w:rPr>
              <w:t>Calibration</w:t>
            </w:r>
          </w:p>
        </w:tc>
        <w:tc>
          <w:tcPr>
            <w:tcW w:w="990" w:type="dxa"/>
            <w:tcBorders>
              <w:top w:val="nil"/>
              <w:left w:val="single" w:sz="4" w:space="0" w:color="auto"/>
              <w:bottom w:val="nil"/>
              <w:right w:val="nil"/>
            </w:tcBorders>
            <w:shd w:val="clear" w:color="auto" w:fill="auto"/>
            <w:vAlign w:val="bottom"/>
            <w:hideMark/>
          </w:tcPr>
          <w:p w14:paraId="44FAA64C" w14:textId="77777777" w:rsidR="00CF4426" w:rsidRPr="00806827" w:rsidRDefault="00CF4426" w:rsidP="00CF4426">
            <w:pPr>
              <w:spacing w:after="0" w:line="240" w:lineRule="auto"/>
              <w:rPr>
                <w:rFonts w:eastAsia="Times New Roman" w:cs="Times New Roman"/>
                <w:color w:val="000000"/>
                <w:sz w:val="22"/>
              </w:rPr>
            </w:pPr>
            <w:r w:rsidRPr="00806827">
              <w:rPr>
                <w:rFonts w:eastAsia="Times New Roman" w:cs="Times New Roman"/>
                <w:color w:val="000000"/>
                <w:sz w:val="22"/>
              </w:rPr>
              <w:t> </w:t>
            </w:r>
          </w:p>
        </w:tc>
        <w:tc>
          <w:tcPr>
            <w:tcW w:w="1710" w:type="dxa"/>
            <w:tcBorders>
              <w:top w:val="nil"/>
              <w:left w:val="nil"/>
              <w:bottom w:val="nil"/>
              <w:right w:val="nil"/>
            </w:tcBorders>
            <w:shd w:val="clear" w:color="auto" w:fill="auto"/>
            <w:vAlign w:val="bottom"/>
            <w:hideMark/>
          </w:tcPr>
          <w:p w14:paraId="5ECA982F" w14:textId="77777777" w:rsidR="00CF4426" w:rsidRPr="00806827" w:rsidRDefault="00CF4426" w:rsidP="00CF4426">
            <w:pPr>
              <w:spacing w:after="0" w:line="240" w:lineRule="auto"/>
              <w:rPr>
                <w:rFonts w:eastAsia="Times New Roman" w:cs="Times New Roman"/>
                <w:color w:val="000000"/>
                <w:sz w:val="22"/>
              </w:rPr>
            </w:pPr>
          </w:p>
        </w:tc>
        <w:tc>
          <w:tcPr>
            <w:tcW w:w="900" w:type="dxa"/>
            <w:tcBorders>
              <w:top w:val="nil"/>
              <w:left w:val="nil"/>
              <w:bottom w:val="nil"/>
              <w:right w:val="single" w:sz="4" w:space="0" w:color="auto"/>
            </w:tcBorders>
            <w:shd w:val="clear" w:color="auto" w:fill="auto"/>
            <w:vAlign w:val="center"/>
            <w:hideMark/>
          </w:tcPr>
          <w:p w14:paraId="1D3D3677"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 </w:t>
            </w:r>
          </w:p>
        </w:tc>
        <w:tc>
          <w:tcPr>
            <w:tcW w:w="990" w:type="dxa"/>
            <w:tcBorders>
              <w:top w:val="nil"/>
              <w:left w:val="nil"/>
              <w:bottom w:val="nil"/>
              <w:right w:val="nil"/>
            </w:tcBorders>
            <w:shd w:val="clear" w:color="auto" w:fill="auto"/>
            <w:vAlign w:val="bottom"/>
            <w:hideMark/>
          </w:tcPr>
          <w:p w14:paraId="505F4294" w14:textId="77777777" w:rsidR="00CF4426" w:rsidRPr="00806827" w:rsidRDefault="00CF4426" w:rsidP="00CF4426">
            <w:pPr>
              <w:spacing w:after="0" w:line="240" w:lineRule="auto"/>
              <w:rPr>
                <w:rFonts w:eastAsia="Times New Roman" w:cs="Times New Roman"/>
                <w:color w:val="000000"/>
                <w:sz w:val="22"/>
              </w:rPr>
            </w:pPr>
            <w:r w:rsidRPr="00806827">
              <w:rPr>
                <w:rFonts w:eastAsia="Times New Roman" w:cs="Times New Roman"/>
                <w:color w:val="000000"/>
                <w:sz w:val="22"/>
              </w:rPr>
              <w:t> </w:t>
            </w:r>
          </w:p>
        </w:tc>
        <w:tc>
          <w:tcPr>
            <w:tcW w:w="1800" w:type="dxa"/>
            <w:tcBorders>
              <w:top w:val="nil"/>
              <w:left w:val="nil"/>
              <w:bottom w:val="nil"/>
              <w:right w:val="nil"/>
            </w:tcBorders>
            <w:shd w:val="clear" w:color="auto" w:fill="auto"/>
            <w:vAlign w:val="bottom"/>
            <w:hideMark/>
          </w:tcPr>
          <w:p w14:paraId="718A0F50" w14:textId="77777777" w:rsidR="00CF4426" w:rsidRPr="00806827" w:rsidRDefault="00CF4426" w:rsidP="00CF4426">
            <w:pPr>
              <w:spacing w:after="0" w:line="240" w:lineRule="auto"/>
              <w:rPr>
                <w:rFonts w:eastAsia="Times New Roman" w:cs="Times New Roman"/>
                <w:color w:val="000000"/>
                <w:sz w:val="22"/>
              </w:rPr>
            </w:pPr>
          </w:p>
        </w:tc>
        <w:tc>
          <w:tcPr>
            <w:tcW w:w="900" w:type="dxa"/>
            <w:tcBorders>
              <w:top w:val="nil"/>
              <w:left w:val="nil"/>
              <w:bottom w:val="nil"/>
              <w:right w:val="nil"/>
            </w:tcBorders>
            <w:shd w:val="clear" w:color="auto" w:fill="auto"/>
            <w:vAlign w:val="center"/>
            <w:hideMark/>
          </w:tcPr>
          <w:p w14:paraId="587A7150" w14:textId="77777777" w:rsidR="00CF4426" w:rsidRPr="00806827" w:rsidRDefault="00CF4426" w:rsidP="00CF4426">
            <w:pPr>
              <w:spacing w:after="0" w:line="240" w:lineRule="auto"/>
              <w:rPr>
                <w:rFonts w:eastAsia="Times New Roman" w:cs="Times New Roman"/>
                <w:sz w:val="20"/>
                <w:szCs w:val="20"/>
              </w:rPr>
            </w:pPr>
          </w:p>
        </w:tc>
        <w:tc>
          <w:tcPr>
            <w:tcW w:w="991" w:type="dxa"/>
            <w:tcBorders>
              <w:top w:val="nil"/>
              <w:left w:val="single" w:sz="4" w:space="0" w:color="auto"/>
              <w:bottom w:val="nil"/>
              <w:right w:val="nil"/>
            </w:tcBorders>
            <w:shd w:val="clear" w:color="auto" w:fill="auto"/>
            <w:vAlign w:val="bottom"/>
            <w:hideMark/>
          </w:tcPr>
          <w:p w14:paraId="6C59F0A3" w14:textId="77777777" w:rsidR="00CF4426" w:rsidRPr="00806827" w:rsidRDefault="00CF4426" w:rsidP="00CF4426">
            <w:pPr>
              <w:spacing w:after="0" w:line="240" w:lineRule="auto"/>
              <w:rPr>
                <w:rFonts w:eastAsia="Times New Roman" w:cs="Times New Roman"/>
                <w:color w:val="000000"/>
                <w:sz w:val="22"/>
              </w:rPr>
            </w:pPr>
            <w:r w:rsidRPr="00806827">
              <w:rPr>
                <w:rFonts w:eastAsia="Times New Roman" w:cs="Times New Roman"/>
                <w:color w:val="000000"/>
                <w:sz w:val="22"/>
              </w:rPr>
              <w:t> </w:t>
            </w:r>
          </w:p>
        </w:tc>
        <w:tc>
          <w:tcPr>
            <w:tcW w:w="1727" w:type="dxa"/>
            <w:tcBorders>
              <w:top w:val="nil"/>
              <w:left w:val="nil"/>
              <w:bottom w:val="nil"/>
              <w:right w:val="nil"/>
            </w:tcBorders>
            <w:shd w:val="clear" w:color="auto" w:fill="auto"/>
            <w:vAlign w:val="bottom"/>
            <w:hideMark/>
          </w:tcPr>
          <w:p w14:paraId="5171909B" w14:textId="77777777" w:rsidR="00CF4426" w:rsidRPr="00806827" w:rsidRDefault="00CF4426" w:rsidP="00CF4426">
            <w:pPr>
              <w:spacing w:after="0" w:line="240" w:lineRule="auto"/>
              <w:rPr>
                <w:rFonts w:eastAsia="Times New Roman" w:cs="Times New Roman"/>
                <w:color w:val="000000"/>
                <w:sz w:val="22"/>
              </w:rPr>
            </w:pPr>
          </w:p>
        </w:tc>
        <w:tc>
          <w:tcPr>
            <w:tcW w:w="972" w:type="dxa"/>
            <w:tcBorders>
              <w:top w:val="nil"/>
              <w:left w:val="nil"/>
              <w:bottom w:val="nil"/>
              <w:right w:val="nil"/>
            </w:tcBorders>
            <w:shd w:val="clear" w:color="auto" w:fill="auto"/>
            <w:vAlign w:val="center"/>
            <w:hideMark/>
          </w:tcPr>
          <w:p w14:paraId="0CC559A9" w14:textId="77777777" w:rsidR="00CF4426" w:rsidRPr="00806827" w:rsidRDefault="00CF4426" w:rsidP="00CF4426">
            <w:pPr>
              <w:spacing w:after="0" w:line="240" w:lineRule="auto"/>
              <w:rPr>
                <w:rFonts w:eastAsia="Times New Roman" w:cs="Times New Roman"/>
                <w:sz w:val="20"/>
                <w:szCs w:val="20"/>
              </w:rPr>
            </w:pPr>
          </w:p>
        </w:tc>
      </w:tr>
      <w:tr w:rsidR="00422DE7" w:rsidRPr="00806827" w14:paraId="7E0B9553" w14:textId="77777777" w:rsidTr="00CA478D">
        <w:trPr>
          <w:trHeight w:val="243"/>
        </w:trPr>
        <w:tc>
          <w:tcPr>
            <w:tcW w:w="1980" w:type="dxa"/>
            <w:tcBorders>
              <w:top w:val="nil"/>
              <w:left w:val="nil"/>
              <w:bottom w:val="nil"/>
              <w:right w:val="nil"/>
            </w:tcBorders>
            <w:shd w:val="clear" w:color="auto" w:fill="auto"/>
            <w:vAlign w:val="bottom"/>
            <w:hideMark/>
          </w:tcPr>
          <w:p w14:paraId="3F985404" w14:textId="51457F30" w:rsidR="00CF4426" w:rsidRPr="00806827" w:rsidRDefault="00422DE7" w:rsidP="00422DE7">
            <w:pPr>
              <w:spacing w:after="0" w:line="240" w:lineRule="auto"/>
              <w:rPr>
                <w:rFonts w:eastAsia="Times New Roman" w:cs="Times New Roman"/>
                <w:color w:val="000000"/>
                <w:szCs w:val="24"/>
              </w:rPr>
            </w:pPr>
            <w:r w:rsidRPr="00806827">
              <w:rPr>
                <w:rFonts w:eastAsia="Times New Roman" w:cs="Times New Roman"/>
                <w:color w:val="000000"/>
                <w:szCs w:val="24"/>
              </w:rPr>
              <w:t>GND test</w:t>
            </w:r>
            <w:r w:rsidR="00CA478D" w:rsidRPr="00806827">
              <w:rPr>
                <w:sz w:val="22"/>
                <w:vertAlign w:val="superscript"/>
              </w:rPr>
              <w:t xml:space="preserve"> d</w:t>
            </w:r>
          </w:p>
        </w:tc>
        <w:tc>
          <w:tcPr>
            <w:tcW w:w="990" w:type="dxa"/>
            <w:tcBorders>
              <w:top w:val="nil"/>
              <w:left w:val="single" w:sz="4" w:space="0" w:color="auto"/>
              <w:bottom w:val="nil"/>
              <w:right w:val="nil"/>
            </w:tcBorders>
            <w:shd w:val="clear" w:color="auto" w:fill="auto"/>
            <w:noWrap/>
            <w:vAlign w:val="bottom"/>
            <w:hideMark/>
          </w:tcPr>
          <w:p w14:paraId="51DC03F4" w14:textId="77777777" w:rsidR="00CF4426" w:rsidRPr="00806827" w:rsidRDefault="00CF4426" w:rsidP="00CF4426">
            <w:pPr>
              <w:spacing w:after="0" w:line="240" w:lineRule="auto"/>
              <w:rPr>
                <w:rFonts w:eastAsia="Times New Roman" w:cs="Times New Roman"/>
                <w:color w:val="000000"/>
                <w:sz w:val="22"/>
              </w:rPr>
            </w:pPr>
            <w:r w:rsidRPr="00806827">
              <w:rPr>
                <w:rFonts w:eastAsia="Times New Roman" w:cs="Times New Roman"/>
                <w:color w:val="000000"/>
                <w:sz w:val="22"/>
              </w:rPr>
              <w:t> </w:t>
            </w:r>
          </w:p>
        </w:tc>
        <w:tc>
          <w:tcPr>
            <w:tcW w:w="1710" w:type="dxa"/>
            <w:tcBorders>
              <w:top w:val="nil"/>
              <w:left w:val="nil"/>
              <w:bottom w:val="nil"/>
              <w:right w:val="nil"/>
            </w:tcBorders>
            <w:shd w:val="clear" w:color="auto" w:fill="auto"/>
            <w:noWrap/>
            <w:vAlign w:val="bottom"/>
            <w:hideMark/>
          </w:tcPr>
          <w:p w14:paraId="00909411" w14:textId="77777777" w:rsidR="00CF4426" w:rsidRPr="00806827" w:rsidRDefault="00CF4426" w:rsidP="00CF4426">
            <w:pPr>
              <w:spacing w:after="0" w:line="240" w:lineRule="auto"/>
              <w:rPr>
                <w:rFonts w:eastAsia="Times New Roman" w:cs="Times New Roman"/>
                <w:color w:val="000000"/>
                <w:sz w:val="22"/>
              </w:rPr>
            </w:pPr>
          </w:p>
        </w:tc>
        <w:tc>
          <w:tcPr>
            <w:tcW w:w="900" w:type="dxa"/>
            <w:tcBorders>
              <w:top w:val="nil"/>
              <w:left w:val="nil"/>
              <w:bottom w:val="nil"/>
              <w:right w:val="single" w:sz="4" w:space="0" w:color="auto"/>
            </w:tcBorders>
            <w:shd w:val="clear" w:color="auto" w:fill="auto"/>
            <w:noWrap/>
            <w:vAlign w:val="center"/>
            <w:hideMark/>
          </w:tcPr>
          <w:p w14:paraId="458CFD48"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0.26</w:t>
            </w:r>
          </w:p>
        </w:tc>
        <w:tc>
          <w:tcPr>
            <w:tcW w:w="990" w:type="dxa"/>
            <w:tcBorders>
              <w:top w:val="nil"/>
              <w:left w:val="nil"/>
              <w:bottom w:val="nil"/>
              <w:right w:val="nil"/>
            </w:tcBorders>
            <w:shd w:val="clear" w:color="auto" w:fill="auto"/>
            <w:noWrap/>
            <w:vAlign w:val="bottom"/>
            <w:hideMark/>
          </w:tcPr>
          <w:p w14:paraId="4CDD9A55" w14:textId="77777777" w:rsidR="00CF4426" w:rsidRPr="00806827" w:rsidRDefault="00CF4426" w:rsidP="00CF4426">
            <w:pPr>
              <w:spacing w:after="0" w:line="240" w:lineRule="auto"/>
              <w:rPr>
                <w:rFonts w:eastAsia="Times New Roman" w:cs="Times New Roman"/>
                <w:color w:val="000000"/>
                <w:sz w:val="22"/>
              </w:rPr>
            </w:pPr>
            <w:r w:rsidRPr="00806827">
              <w:rPr>
                <w:rFonts w:eastAsia="Times New Roman" w:cs="Times New Roman"/>
                <w:color w:val="000000"/>
                <w:sz w:val="22"/>
              </w:rPr>
              <w:t> </w:t>
            </w:r>
          </w:p>
        </w:tc>
        <w:tc>
          <w:tcPr>
            <w:tcW w:w="1800" w:type="dxa"/>
            <w:tcBorders>
              <w:top w:val="nil"/>
              <w:left w:val="nil"/>
              <w:bottom w:val="nil"/>
              <w:right w:val="nil"/>
            </w:tcBorders>
            <w:shd w:val="clear" w:color="auto" w:fill="auto"/>
            <w:noWrap/>
            <w:vAlign w:val="bottom"/>
            <w:hideMark/>
          </w:tcPr>
          <w:p w14:paraId="6C7698C0" w14:textId="77777777" w:rsidR="00CF4426" w:rsidRPr="00806827" w:rsidRDefault="00CF4426" w:rsidP="00CF4426">
            <w:pPr>
              <w:spacing w:after="0" w:line="240" w:lineRule="auto"/>
              <w:rPr>
                <w:rFonts w:eastAsia="Times New Roman" w:cs="Times New Roman"/>
                <w:color w:val="000000"/>
                <w:sz w:val="22"/>
              </w:rPr>
            </w:pPr>
          </w:p>
        </w:tc>
        <w:tc>
          <w:tcPr>
            <w:tcW w:w="900" w:type="dxa"/>
            <w:tcBorders>
              <w:top w:val="nil"/>
              <w:left w:val="nil"/>
              <w:bottom w:val="nil"/>
              <w:right w:val="nil"/>
            </w:tcBorders>
            <w:shd w:val="clear" w:color="auto" w:fill="auto"/>
            <w:noWrap/>
            <w:vAlign w:val="center"/>
            <w:hideMark/>
          </w:tcPr>
          <w:p w14:paraId="1CCEF0D8"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0.27</w:t>
            </w:r>
          </w:p>
        </w:tc>
        <w:tc>
          <w:tcPr>
            <w:tcW w:w="991" w:type="dxa"/>
            <w:tcBorders>
              <w:top w:val="nil"/>
              <w:left w:val="single" w:sz="4" w:space="0" w:color="auto"/>
              <w:bottom w:val="nil"/>
              <w:right w:val="nil"/>
            </w:tcBorders>
            <w:shd w:val="clear" w:color="auto" w:fill="auto"/>
            <w:noWrap/>
            <w:vAlign w:val="bottom"/>
            <w:hideMark/>
          </w:tcPr>
          <w:p w14:paraId="49FA41F2" w14:textId="77777777" w:rsidR="00CF4426" w:rsidRPr="00806827" w:rsidRDefault="00CF4426" w:rsidP="00CF4426">
            <w:pPr>
              <w:spacing w:after="0" w:line="240" w:lineRule="auto"/>
              <w:rPr>
                <w:rFonts w:eastAsia="Times New Roman" w:cs="Times New Roman"/>
                <w:color w:val="000000"/>
                <w:sz w:val="22"/>
              </w:rPr>
            </w:pPr>
            <w:r w:rsidRPr="00806827">
              <w:rPr>
                <w:rFonts w:eastAsia="Times New Roman" w:cs="Times New Roman"/>
                <w:color w:val="000000"/>
                <w:sz w:val="22"/>
              </w:rPr>
              <w:t> </w:t>
            </w:r>
          </w:p>
        </w:tc>
        <w:tc>
          <w:tcPr>
            <w:tcW w:w="1727" w:type="dxa"/>
            <w:tcBorders>
              <w:top w:val="nil"/>
              <w:left w:val="nil"/>
              <w:bottom w:val="nil"/>
              <w:right w:val="nil"/>
            </w:tcBorders>
            <w:shd w:val="clear" w:color="auto" w:fill="auto"/>
            <w:noWrap/>
            <w:vAlign w:val="bottom"/>
            <w:hideMark/>
          </w:tcPr>
          <w:p w14:paraId="20C0B297" w14:textId="77777777" w:rsidR="00CF4426" w:rsidRPr="00806827" w:rsidRDefault="00CF4426" w:rsidP="00CF4426">
            <w:pPr>
              <w:spacing w:after="0" w:line="240" w:lineRule="auto"/>
              <w:rPr>
                <w:rFonts w:eastAsia="Times New Roman" w:cs="Times New Roman"/>
                <w:color w:val="000000"/>
                <w:sz w:val="22"/>
              </w:rPr>
            </w:pPr>
          </w:p>
        </w:tc>
        <w:tc>
          <w:tcPr>
            <w:tcW w:w="972" w:type="dxa"/>
            <w:tcBorders>
              <w:top w:val="nil"/>
              <w:left w:val="nil"/>
              <w:bottom w:val="nil"/>
              <w:right w:val="nil"/>
            </w:tcBorders>
            <w:shd w:val="clear" w:color="auto" w:fill="auto"/>
            <w:noWrap/>
            <w:vAlign w:val="center"/>
            <w:hideMark/>
          </w:tcPr>
          <w:p w14:paraId="1B8FFDE2"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0.16</w:t>
            </w:r>
          </w:p>
        </w:tc>
      </w:tr>
      <w:tr w:rsidR="00422DE7" w:rsidRPr="00806827" w14:paraId="3152B98F" w14:textId="77777777" w:rsidTr="00CA478D">
        <w:trPr>
          <w:trHeight w:val="300"/>
        </w:trPr>
        <w:tc>
          <w:tcPr>
            <w:tcW w:w="1980" w:type="dxa"/>
            <w:tcBorders>
              <w:top w:val="nil"/>
              <w:left w:val="nil"/>
              <w:bottom w:val="nil"/>
              <w:right w:val="nil"/>
            </w:tcBorders>
            <w:shd w:val="clear" w:color="auto" w:fill="auto"/>
            <w:noWrap/>
            <w:vAlign w:val="center"/>
            <w:hideMark/>
          </w:tcPr>
          <w:p w14:paraId="1D6C8345" w14:textId="77777777" w:rsidR="00CF4426" w:rsidRPr="00806827" w:rsidRDefault="00CF4426" w:rsidP="00CF4426">
            <w:pPr>
              <w:spacing w:after="0" w:line="240" w:lineRule="auto"/>
              <w:rPr>
                <w:rFonts w:eastAsia="Times New Roman" w:cs="Times New Roman"/>
                <w:i/>
                <w:iCs/>
                <w:color w:val="000000"/>
                <w:sz w:val="22"/>
                <w:u w:val="single"/>
              </w:rPr>
            </w:pPr>
            <w:r w:rsidRPr="00806827">
              <w:rPr>
                <w:rFonts w:eastAsia="Times New Roman" w:cs="Times New Roman"/>
                <w:i/>
                <w:iCs/>
                <w:color w:val="000000"/>
                <w:sz w:val="22"/>
                <w:u w:val="single"/>
              </w:rPr>
              <w:t>Discrimination</w:t>
            </w:r>
          </w:p>
        </w:tc>
        <w:tc>
          <w:tcPr>
            <w:tcW w:w="990" w:type="dxa"/>
            <w:tcBorders>
              <w:top w:val="nil"/>
              <w:left w:val="single" w:sz="4" w:space="0" w:color="auto"/>
              <w:bottom w:val="nil"/>
              <w:right w:val="nil"/>
            </w:tcBorders>
            <w:shd w:val="clear" w:color="auto" w:fill="auto"/>
            <w:noWrap/>
            <w:vAlign w:val="bottom"/>
            <w:hideMark/>
          </w:tcPr>
          <w:p w14:paraId="66F4BA1E" w14:textId="77777777" w:rsidR="00CF4426" w:rsidRPr="00806827" w:rsidRDefault="00CF4426" w:rsidP="00CF4426">
            <w:pPr>
              <w:spacing w:after="0" w:line="240" w:lineRule="auto"/>
              <w:rPr>
                <w:rFonts w:eastAsia="Times New Roman" w:cs="Times New Roman"/>
                <w:color w:val="000000"/>
                <w:sz w:val="22"/>
              </w:rPr>
            </w:pPr>
            <w:r w:rsidRPr="00806827">
              <w:rPr>
                <w:rFonts w:eastAsia="Times New Roman" w:cs="Times New Roman"/>
                <w:color w:val="000000"/>
                <w:sz w:val="22"/>
              </w:rPr>
              <w:t> </w:t>
            </w:r>
          </w:p>
        </w:tc>
        <w:tc>
          <w:tcPr>
            <w:tcW w:w="1710" w:type="dxa"/>
            <w:tcBorders>
              <w:top w:val="nil"/>
              <w:left w:val="nil"/>
              <w:bottom w:val="nil"/>
              <w:right w:val="nil"/>
            </w:tcBorders>
            <w:shd w:val="clear" w:color="auto" w:fill="auto"/>
            <w:noWrap/>
            <w:vAlign w:val="bottom"/>
            <w:hideMark/>
          </w:tcPr>
          <w:p w14:paraId="5594F8C0" w14:textId="77777777" w:rsidR="00CF4426" w:rsidRPr="00806827" w:rsidRDefault="00CF4426" w:rsidP="00CF4426">
            <w:pPr>
              <w:spacing w:after="0" w:line="240" w:lineRule="auto"/>
              <w:rPr>
                <w:rFonts w:eastAsia="Times New Roman" w:cs="Times New Roman"/>
                <w:color w:val="000000"/>
                <w:sz w:val="22"/>
              </w:rPr>
            </w:pPr>
          </w:p>
        </w:tc>
        <w:tc>
          <w:tcPr>
            <w:tcW w:w="900" w:type="dxa"/>
            <w:tcBorders>
              <w:top w:val="nil"/>
              <w:left w:val="nil"/>
              <w:bottom w:val="nil"/>
              <w:right w:val="single" w:sz="4" w:space="0" w:color="auto"/>
            </w:tcBorders>
            <w:shd w:val="clear" w:color="auto" w:fill="auto"/>
            <w:noWrap/>
            <w:vAlign w:val="center"/>
            <w:hideMark/>
          </w:tcPr>
          <w:p w14:paraId="4F17AE26"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 </w:t>
            </w:r>
          </w:p>
        </w:tc>
        <w:tc>
          <w:tcPr>
            <w:tcW w:w="990" w:type="dxa"/>
            <w:tcBorders>
              <w:top w:val="nil"/>
              <w:left w:val="nil"/>
              <w:bottom w:val="nil"/>
              <w:right w:val="nil"/>
            </w:tcBorders>
            <w:shd w:val="clear" w:color="auto" w:fill="auto"/>
            <w:noWrap/>
            <w:vAlign w:val="bottom"/>
            <w:hideMark/>
          </w:tcPr>
          <w:p w14:paraId="5A80BDD2" w14:textId="77777777" w:rsidR="00CF4426" w:rsidRPr="00806827" w:rsidRDefault="00CF4426" w:rsidP="00CF4426">
            <w:pPr>
              <w:spacing w:after="0" w:line="240" w:lineRule="auto"/>
              <w:rPr>
                <w:rFonts w:eastAsia="Times New Roman" w:cs="Times New Roman"/>
                <w:color w:val="000000"/>
                <w:sz w:val="22"/>
              </w:rPr>
            </w:pPr>
            <w:r w:rsidRPr="00806827">
              <w:rPr>
                <w:rFonts w:eastAsia="Times New Roman" w:cs="Times New Roman"/>
                <w:color w:val="000000"/>
                <w:sz w:val="22"/>
              </w:rPr>
              <w:t> </w:t>
            </w:r>
          </w:p>
        </w:tc>
        <w:tc>
          <w:tcPr>
            <w:tcW w:w="1800" w:type="dxa"/>
            <w:tcBorders>
              <w:top w:val="nil"/>
              <w:left w:val="nil"/>
              <w:bottom w:val="nil"/>
              <w:right w:val="nil"/>
            </w:tcBorders>
            <w:shd w:val="clear" w:color="auto" w:fill="auto"/>
            <w:noWrap/>
            <w:vAlign w:val="bottom"/>
            <w:hideMark/>
          </w:tcPr>
          <w:p w14:paraId="17FF0F36" w14:textId="77777777" w:rsidR="00CF4426" w:rsidRPr="00806827" w:rsidRDefault="00CF4426" w:rsidP="00CF4426">
            <w:pPr>
              <w:spacing w:after="0" w:line="240" w:lineRule="auto"/>
              <w:rPr>
                <w:rFonts w:eastAsia="Times New Roman" w:cs="Times New Roman"/>
                <w:color w:val="000000"/>
                <w:sz w:val="22"/>
              </w:rPr>
            </w:pPr>
          </w:p>
        </w:tc>
        <w:tc>
          <w:tcPr>
            <w:tcW w:w="900" w:type="dxa"/>
            <w:tcBorders>
              <w:top w:val="nil"/>
              <w:left w:val="nil"/>
              <w:bottom w:val="nil"/>
              <w:right w:val="nil"/>
            </w:tcBorders>
            <w:shd w:val="clear" w:color="auto" w:fill="auto"/>
            <w:noWrap/>
            <w:vAlign w:val="center"/>
            <w:hideMark/>
          </w:tcPr>
          <w:p w14:paraId="2EF75001" w14:textId="77777777" w:rsidR="00CF4426" w:rsidRPr="00806827" w:rsidRDefault="00CF4426" w:rsidP="00CF4426">
            <w:pPr>
              <w:spacing w:after="0" w:line="240" w:lineRule="auto"/>
              <w:rPr>
                <w:rFonts w:eastAsia="Times New Roman" w:cs="Times New Roman"/>
                <w:sz w:val="20"/>
                <w:szCs w:val="20"/>
              </w:rPr>
            </w:pPr>
          </w:p>
        </w:tc>
        <w:tc>
          <w:tcPr>
            <w:tcW w:w="991" w:type="dxa"/>
            <w:tcBorders>
              <w:top w:val="nil"/>
              <w:left w:val="single" w:sz="4" w:space="0" w:color="auto"/>
              <w:bottom w:val="nil"/>
              <w:right w:val="nil"/>
            </w:tcBorders>
            <w:shd w:val="clear" w:color="auto" w:fill="auto"/>
            <w:noWrap/>
            <w:vAlign w:val="bottom"/>
            <w:hideMark/>
          </w:tcPr>
          <w:p w14:paraId="60C4F17B" w14:textId="77777777" w:rsidR="00CF4426" w:rsidRPr="00806827" w:rsidRDefault="00CF4426" w:rsidP="00CF4426">
            <w:pPr>
              <w:spacing w:after="0" w:line="240" w:lineRule="auto"/>
              <w:rPr>
                <w:rFonts w:eastAsia="Times New Roman" w:cs="Times New Roman"/>
                <w:color w:val="000000"/>
                <w:sz w:val="22"/>
              </w:rPr>
            </w:pPr>
            <w:r w:rsidRPr="00806827">
              <w:rPr>
                <w:rFonts w:eastAsia="Times New Roman" w:cs="Times New Roman"/>
                <w:color w:val="000000"/>
                <w:sz w:val="22"/>
              </w:rPr>
              <w:t> </w:t>
            </w:r>
          </w:p>
        </w:tc>
        <w:tc>
          <w:tcPr>
            <w:tcW w:w="1727" w:type="dxa"/>
            <w:tcBorders>
              <w:top w:val="nil"/>
              <w:left w:val="nil"/>
              <w:bottom w:val="nil"/>
              <w:right w:val="nil"/>
            </w:tcBorders>
            <w:shd w:val="clear" w:color="auto" w:fill="auto"/>
            <w:noWrap/>
            <w:vAlign w:val="bottom"/>
            <w:hideMark/>
          </w:tcPr>
          <w:p w14:paraId="7E70E195" w14:textId="77777777" w:rsidR="00CF4426" w:rsidRPr="00806827" w:rsidRDefault="00CF4426" w:rsidP="00CF4426">
            <w:pPr>
              <w:spacing w:after="0" w:line="240" w:lineRule="auto"/>
              <w:rPr>
                <w:rFonts w:eastAsia="Times New Roman" w:cs="Times New Roman"/>
                <w:color w:val="000000"/>
                <w:sz w:val="22"/>
              </w:rPr>
            </w:pPr>
          </w:p>
        </w:tc>
        <w:tc>
          <w:tcPr>
            <w:tcW w:w="972" w:type="dxa"/>
            <w:tcBorders>
              <w:top w:val="nil"/>
              <w:left w:val="nil"/>
              <w:bottom w:val="nil"/>
              <w:right w:val="nil"/>
            </w:tcBorders>
            <w:shd w:val="clear" w:color="auto" w:fill="auto"/>
            <w:noWrap/>
            <w:vAlign w:val="center"/>
            <w:hideMark/>
          </w:tcPr>
          <w:p w14:paraId="4B8B1288" w14:textId="77777777" w:rsidR="00CF4426" w:rsidRPr="00806827" w:rsidRDefault="00CF4426" w:rsidP="00CF4426">
            <w:pPr>
              <w:spacing w:after="0" w:line="240" w:lineRule="auto"/>
              <w:rPr>
                <w:rFonts w:eastAsia="Times New Roman" w:cs="Times New Roman"/>
                <w:sz w:val="20"/>
                <w:szCs w:val="20"/>
              </w:rPr>
            </w:pPr>
          </w:p>
        </w:tc>
      </w:tr>
      <w:tr w:rsidR="00422DE7" w:rsidRPr="00806827" w14:paraId="3C9F451E" w14:textId="77777777" w:rsidTr="00CA478D">
        <w:trPr>
          <w:trHeight w:val="300"/>
        </w:trPr>
        <w:tc>
          <w:tcPr>
            <w:tcW w:w="1980" w:type="dxa"/>
            <w:tcBorders>
              <w:top w:val="nil"/>
              <w:left w:val="nil"/>
              <w:bottom w:val="nil"/>
              <w:right w:val="nil"/>
            </w:tcBorders>
            <w:shd w:val="clear" w:color="auto" w:fill="auto"/>
            <w:noWrap/>
            <w:vAlign w:val="center"/>
            <w:hideMark/>
          </w:tcPr>
          <w:p w14:paraId="4DA567BC" w14:textId="77777777" w:rsidR="00CF4426" w:rsidRPr="00806827" w:rsidRDefault="00CF4426" w:rsidP="00CF4426">
            <w:pPr>
              <w:spacing w:after="0" w:line="240" w:lineRule="auto"/>
              <w:rPr>
                <w:rFonts w:eastAsia="Times New Roman" w:cs="Times New Roman"/>
                <w:color w:val="000000"/>
                <w:sz w:val="22"/>
              </w:rPr>
            </w:pPr>
            <w:r w:rsidRPr="00806827">
              <w:rPr>
                <w:rFonts w:eastAsia="Times New Roman" w:cs="Times New Roman"/>
                <w:color w:val="000000"/>
                <w:sz w:val="22"/>
              </w:rPr>
              <w:t>C-index</w:t>
            </w:r>
          </w:p>
        </w:tc>
        <w:tc>
          <w:tcPr>
            <w:tcW w:w="990" w:type="dxa"/>
            <w:tcBorders>
              <w:top w:val="nil"/>
              <w:left w:val="single" w:sz="4" w:space="0" w:color="auto"/>
              <w:bottom w:val="nil"/>
              <w:right w:val="nil"/>
            </w:tcBorders>
            <w:shd w:val="clear" w:color="auto" w:fill="auto"/>
            <w:noWrap/>
            <w:vAlign w:val="bottom"/>
            <w:hideMark/>
          </w:tcPr>
          <w:p w14:paraId="5D896765"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0.793</w:t>
            </w:r>
          </w:p>
        </w:tc>
        <w:tc>
          <w:tcPr>
            <w:tcW w:w="1710" w:type="dxa"/>
            <w:tcBorders>
              <w:top w:val="nil"/>
              <w:left w:val="nil"/>
              <w:bottom w:val="nil"/>
              <w:right w:val="nil"/>
            </w:tcBorders>
            <w:shd w:val="clear" w:color="auto" w:fill="auto"/>
            <w:noWrap/>
            <w:vAlign w:val="bottom"/>
            <w:hideMark/>
          </w:tcPr>
          <w:p w14:paraId="7B506E32"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(0.776, 0.807)</w:t>
            </w:r>
          </w:p>
        </w:tc>
        <w:tc>
          <w:tcPr>
            <w:tcW w:w="900" w:type="dxa"/>
            <w:tcBorders>
              <w:top w:val="nil"/>
              <w:left w:val="nil"/>
              <w:bottom w:val="nil"/>
              <w:right w:val="single" w:sz="4" w:space="0" w:color="auto"/>
            </w:tcBorders>
            <w:shd w:val="clear" w:color="auto" w:fill="auto"/>
            <w:noWrap/>
            <w:vAlign w:val="center"/>
            <w:hideMark/>
          </w:tcPr>
          <w:p w14:paraId="57A07291"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&lt;0.001</w:t>
            </w:r>
          </w:p>
        </w:tc>
        <w:tc>
          <w:tcPr>
            <w:tcW w:w="990" w:type="dxa"/>
            <w:tcBorders>
              <w:top w:val="nil"/>
              <w:left w:val="nil"/>
              <w:bottom w:val="nil"/>
              <w:right w:val="nil"/>
            </w:tcBorders>
            <w:shd w:val="clear" w:color="auto" w:fill="auto"/>
            <w:noWrap/>
            <w:vAlign w:val="bottom"/>
            <w:hideMark/>
          </w:tcPr>
          <w:p w14:paraId="41580F00"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0.794</w:t>
            </w:r>
          </w:p>
        </w:tc>
        <w:tc>
          <w:tcPr>
            <w:tcW w:w="1800" w:type="dxa"/>
            <w:tcBorders>
              <w:top w:val="nil"/>
              <w:left w:val="nil"/>
              <w:bottom w:val="nil"/>
              <w:right w:val="nil"/>
            </w:tcBorders>
            <w:shd w:val="clear" w:color="auto" w:fill="auto"/>
            <w:noWrap/>
            <w:vAlign w:val="bottom"/>
            <w:hideMark/>
          </w:tcPr>
          <w:p w14:paraId="6A44432C"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(0.777, 0.808)</w:t>
            </w:r>
          </w:p>
        </w:tc>
        <w:tc>
          <w:tcPr>
            <w:tcW w:w="900" w:type="dxa"/>
            <w:tcBorders>
              <w:top w:val="nil"/>
              <w:left w:val="nil"/>
              <w:bottom w:val="nil"/>
              <w:right w:val="nil"/>
            </w:tcBorders>
            <w:shd w:val="clear" w:color="auto" w:fill="auto"/>
            <w:noWrap/>
            <w:vAlign w:val="center"/>
            <w:hideMark/>
          </w:tcPr>
          <w:p w14:paraId="57D1D676"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&lt;0.001</w:t>
            </w:r>
          </w:p>
        </w:tc>
        <w:tc>
          <w:tcPr>
            <w:tcW w:w="991" w:type="dxa"/>
            <w:tcBorders>
              <w:top w:val="nil"/>
              <w:left w:val="single" w:sz="4" w:space="0" w:color="auto"/>
              <w:bottom w:val="nil"/>
              <w:right w:val="nil"/>
            </w:tcBorders>
            <w:shd w:val="clear" w:color="auto" w:fill="auto"/>
            <w:noWrap/>
            <w:vAlign w:val="bottom"/>
            <w:hideMark/>
          </w:tcPr>
          <w:p w14:paraId="281D40CA"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0.794</w:t>
            </w:r>
          </w:p>
        </w:tc>
        <w:tc>
          <w:tcPr>
            <w:tcW w:w="1727" w:type="dxa"/>
            <w:tcBorders>
              <w:top w:val="nil"/>
              <w:left w:val="nil"/>
              <w:bottom w:val="nil"/>
              <w:right w:val="nil"/>
            </w:tcBorders>
            <w:shd w:val="clear" w:color="auto" w:fill="auto"/>
            <w:noWrap/>
            <w:vAlign w:val="bottom"/>
            <w:hideMark/>
          </w:tcPr>
          <w:p w14:paraId="054B49A5"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(0.778, 0.809)</w:t>
            </w:r>
          </w:p>
        </w:tc>
        <w:tc>
          <w:tcPr>
            <w:tcW w:w="972" w:type="dxa"/>
            <w:tcBorders>
              <w:top w:val="nil"/>
              <w:left w:val="nil"/>
              <w:bottom w:val="nil"/>
              <w:right w:val="nil"/>
            </w:tcBorders>
            <w:shd w:val="clear" w:color="auto" w:fill="auto"/>
            <w:noWrap/>
            <w:vAlign w:val="center"/>
            <w:hideMark/>
          </w:tcPr>
          <w:p w14:paraId="345504A0"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&lt;0.001</w:t>
            </w:r>
          </w:p>
        </w:tc>
      </w:tr>
      <w:tr w:rsidR="00422DE7" w:rsidRPr="00806827" w14:paraId="51CB2D66" w14:textId="77777777" w:rsidTr="00CA478D">
        <w:trPr>
          <w:trHeight w:val="342"/>
        </w:trPr>
        <w:tc>
          <w:tcPr>
            <w:tcW w:w="1980" w:type="dxa"/>
            <w:tcBorders>
              <w:top w:val="nil"/>
              <w:left w:val="nil"/>
              <w:bottom w:val="nil"/>
              <w:right w:val="nil"/>
            </w:tcBorders>
            <w:shd w:val="clear" w:color="auto" w:fill="auto"/>
            <w:vAlign w:val="center"/>
            <w:hideMark/>
          </w:tcPr>
          <w:p w14:paraId="452B6551" w14:textId="181EC245" w:rsidR="00CF4426" w:rsidRPr="00806827" w:rsidRDefault="00422DE7" w:rsidP="00422DE7">
            <w:pPr>
              <w:spacing w:after="0" w:line="240" w:lineRule="auto"/>
              <w:rPr>
                <w:rFonts w:eastAsia="Times New Roman" w:cs="Times New Roman"/>
                <w:color w:val="000000"/>
                <w:sz w:val="22"/>
              </w:rPr>
            </w:pPr>
            <w:r w:rsidRPr="00806827">
              <w:rPr>
                <w:rFonts w:eastAsia="Times New Roman" w:cs="Times New Roman"/>
                <w:color w:val="000000"/>
                <w:sz w:val="22"/>
              </w:rPr>
              <w:t>C-index d</w:t>
            </w:r>
            <w:r w:rsidR="00CF4426" w:rsidRPr="00806827">
              <w:rPr>
                <w:rFonts w:eastAsia="Times New Roman" w:cs="Times New Roman"/>
                <w:color w:val="000000"/>
                <w:sz w:val="22"/>
              </w:rPr>
              <w:t>ifference</w:t>
            </w:r>
            <w:r w:rsidR="00CA478D" w:rsidRPr="00806827">
              <w:rPr>
                <w:sz w:val="22"/>
                <w:vertAlign w:val="superscript"/>
              </w:rPr>
              <w:t xml:space="preserve"> e</w:t>
            </w:r>
            <w:r w:rsidR="00CF4426" w:rsidRPr="00806827">
              <w:rPr>
                <w:rFonts w:eastAsia="Times New Roman" w:cs="Times New Roman"/>
                <w:color w:val="000000"/>
                <w:sz w:val="22"/>
              </w:rPr>
              <w:t xml:space="preserve"> </w:t>
            </w:r>
          </w:p>
        </w:tc>
        <w:tc>
          <w:tcPr>
            <w:tcW w:w="990" w:type="dxa"/>
            <w:tcBorders>
              <w:top w:val="nil"/>
              <w:left w:val="single" w:sz="4" w:space="0" w:color="auto"/>
              <w:bottom w:val="nil"/>
              <w:right w:val="nil"/>
            </w:tcBorders>
            <w:shd w:val="clear" w:color="auto" w:fill="auto"/>
            <w:noWrap/>
            <w:vAlign w:val="center"/>
            <w:hideMark/>
          </w:tcPr>
          <w:p w14:paraId="2CDAB0F7"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0.004</w:t>
            </w:r>
          </w:p>
        </w:tc>
        <w:tc>
          <w:tcPr>
            <w:tcW w:w="1710" w:type="dxa"/>
            <w:tcBorders>
              <w:top w:val="nil"/>
              <w:left w:val="nil"/>
              <w:bottom w:val="nil"/>
              <w:right w:val="nil"/>
            </w:tcBorders>
            <w:shd w:val="clear" w:color="auto" w:fill="auto"/>
            <w:noWrap/>
            <w:vAlign w:val="center"/>
            <w:hideMark/>
          </w:tcPr>
          <w:p w14:paraId="5CC3B3B8"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(0.002, 0.006)</w:t>
            </w:r>
          </w:p>
        </w:tc>
        <w:tc>
          <w:tcPr>
            <w:tcW w:w="900" w:type="dxa"/>
            <w:tcBorders>
              <w:top w:val="nil"/>
              <w:left w:val="nil"/>
              <w:bottom w:val="nil"/>
              <w:right w:val="single" w:sz="4" w:space="0" w:color="auto"/>
            </w:tcBorders>
            <w:shd w:val="clear" w:color="auto" w:fill="auto"/>
            <w:noWrap/>
            <w:vAlign w:val="center"/>
            <w:hideMark/>
          </w:tcPr>
          <w:p w14:paraId="5AD27854"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&lt;0.001</w:t>
            </w:r>
          </w:p>
        </w:tc>
        <w:tc>
          <w:tcPr>
            <w:tcW w:w="990" w:type="dxa"/>
            <w:tcBorders>
              <w:top w:val="nil"/>
              <w:left w:val="nil"/>
              <w:bottom w:val="nil"/>
              <w:right w:val="nil"/>
            </w:tcBorders>
            <w:shd w:val="clear" w:color="auto" w:fill="auto"/>
            <w:noWrap/>
            <w:vAlign w:val="center"/>
            <w:hideMark/>
          </w:tcPr>
          <w:p w14:paraId="575F0A3A"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0.004</w:t>
            </w:r>
          </w:p>
        </w:tc>
        <w:tc>
          <w:tcPr>
            <w:tcW w:w="1800" w:type="dxa"/>
            <w:tcBorders>
              <w:top w:val="nil"/>
              <w:left w:val="nil"/>
              <w:bottom w:val="nil"/>
              <w:right w:val="nil"/>
            </w:tcBorders>
            <w:shd w:val="clear" w:color="auto" w:fill="auto"/>
            <w:noWrap/>
            <w:vAlign w:val="center"/>
            <w:hideMark/>
          </w:tcPr>
          <w:p w14:paraId="7418397F"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(0.002, 0.007)</w:t>
            </w:r>
          </w:p>
        </w:tc>
        <w:tc>
          <w:tcPr>
            <w:tcW w:w="900" w:type="dxa"/>
            <w:tcBorders>
              <w:top w:val="nil"/>
              <w:left w:val="nil"/>
              <w:bottom w:val="nil"/>
              <w:right w:val="nil"/>
            </w:tcBorders>
            <w:shd w:val="clear" w:color="auto" w:fill="auto"/>
            <w:noWrap/>
            <w:vAlign w:val="center"/>
            <w:hideMark/>
          </w:tcPr>
          <w:p w14:paraId="6062A297"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0.001</w:t>
            </w:r>
          </w:p>
        </w:tc>
        <w:tc>
          <w:tcPr>
            <w:tcW w:w="991" w:type="dxa"/>
            <w:tcBorders>
              <w:top w:val="nil"/>
              <w:left w:val="single" w:sz="4" w:space="0" w:color="auto"/>
              <w:bottom w:val="nil"/>
              <w:right w:val="nil"/>
            </w:tcBorders>
            <w:shd w:val="clear" w:color="auto" w:fill="auto"/>
            <w:noWrap/>
            <w:vAlign w:val="center"/>
            <w:hideMark/>
          </w:tcPr>
          <w:p w14:paraId="43045299"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0.005</w:t>
            </w:r>
          </w:p>
        </w:tc>
        <w:tc>
          <w:tcPr>
            <w:tcW w:w="1727" w:type="dxa"/>
            <w:tcBorders>
              <w:top w:val="nil"/>
              <w:left w:val="nil"/>
              <w:bottom w:val="nil"/>
              <w:right w:val="nil"/>
            </w:tcBorders>
            <w:shd w:val="clear" w:color="auto" w:fill="auto"/>
            <w:noWrap/>
            <w:vAlign w:val="center"/>
            <w:hideMark/>
          </w:tcPr>
          <w:p w14:paraId="17E185F6"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(0.003, 0.007)</w:t>
            </w:r>
          </w:p>
        </w:tc>
        <w:tc>
          <w:tcPr>
            <w:tcW w:w="972" w:type="dxa"/>
            <w:tcBorders>
              <w:top w:val="nil"/>
              <w:left w:val="nil"/>
              <w:bottom w:val="nil"/>
              <w:right w:val="nil"/>
            </w:tcBorders>
            <w:shd w:val="clear" w:color="auto" w:fill="auto"/>
            <w:noWrap/>
            <w:vAlign w:val="center"/>
            <w:hideMark/>
          </w:tcPr>
          <w:p w14:paraId="41DCE1B1"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&lt;0.001</w:t>
            </w:r>
          </w:p>
        </w:tc>
      </w:tr>
      <w:tr w:rsidR="00422DE7" w:rsidRPr="00806827" w14:paraId="0872D32A" w14:textId="77777777" w:rsidTr="00CA478D">
        <w:trPr>
          <w:trHeight w:val="198"/>
        </w:trPr>
        <w:tc>
          <w:tcPr>
            <w:tcW w:w="1980" w:type="dxa"/>
            <w:tcBorders>
              <w:top w:val="nil"/>
              <w:left w:val="nil"/>
              <w:bottom w:val="nil"/>
              <w:right w:val="nil"/>
            </w:tcBorders>
            <w:shd w:val="clear" w:color="auto" w:fill="auto"/>
            <w:vAlign w:val="center"/>
            <w:hideMark/>
          </w:tcPr>
          <w:p w14:paraId="7A9983AF" w14:textId="5FFD2C7B" w:rsidR="00CF4426" w:rsidRPr="00806827" w:rsidRDefault="00CF4426" w:rsidP="00422DE7">
            <w:pPr>
              <w:spacing w:after="0" w:line="240" w:lineRule="auto"/>
              <w:rPr>
                <w:rFonts w:eastAsia="Times New Roman" w:cs="Times New Roman"/>
                <w:i/>
                <w:iCs/>
                <w:color w:val="000000"/>
                <w:sz w:val="22"/>
                <w:u w:val="single"/>
              </w:rPr>
            </w:pPr>
            <w:r w:rsidRPr="00806827">
              <w:rPr>
                <w:rFonts w:eastAsia="Times New Roman" w:cs="Times New Roman"/>
                <w:i/>
                <w:iCs/>
                <w:color w:val="000000"/>
                <w:sz w:val="22"/>
                <w:u w:val="single"/>
              </w:rPr>
              <w:t>Reclassification</w:t>
            </w:r>
            <w:r w:rsidR="00CA478D" w:rsidRPr="00806827">
              <w:rPr>
                <w:sz w:val="22"/>
                <w:vertAlign w:val="superscript"/>
              </w:rPr>
              <w:t xml:space="preserve"> e</w:t>
            </w:r>
            <w:r w:rsidRPr="00806827">
              <w:rPr>
                <w:rFonts w:eastAsia="Times New Roman" w:cs="Times New Roman"/>
                <w:i/>
                <w:iCs/>
                <w:color w:val="000000"/>
                <w:sz w:val="22"/>
                <w:u w:val="single"/>
              </w:rPr>
              <w:t xml:space="preserve"> </w:t>
            </w:r>
          </w:p>
        </w:tc>
        <w:tc>
          <w:tcPr>
            <w:tcW w:w="990" w:type="dxa"/>
            <w:tcBorders>
              <w:top w:val="nil"/>
              <w:left w:val="single" w:sz="4" w:space="0" w:color="auto"/>
              <w:bottom w:val="nil"/>
              <w:right w:val="nil"/>
            </w:tcBorders>
            <w:shd w:val="clear" w:color="auto" w:fill="auto"/>
            <w:noWrap/>
            <w:vAlign w:val="center"/>
            <w:hideMark/>
          </w:tcPr>
          <w:p w14:paraId="6E5DC469"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 </w:t>
            </w:r>
          </w:p>
        </w:tc>
        <w:tc>
          <w:tcPr>
            <w:tcW w:w="1710" w:type="dxa"/>
            <w:tcBorders>
              <w:top w:val="nil"/>
              <w:left w:val="nil"/>
              <w:bottom w:val="nil"/>
              <w:right w:val="nil"/>
            </w:tcBorders>
            <w:shd w:val="clear" w:color="auto" w:fill="auto"/>
            <w:noWrap/>
            <w:vAlign w:val="center"/>
            <w:hideMark/>
          </w:tcPr>
          <w:p w14:paraId="1E44E975" w14:textId="77777777" w:rsidR="00CF4426" w:rsidRPr="00806827" w:rsidRDefault="00CF4426" w:rsidP="00CF4426">
            <w:pPr>
              <w:spacing w:after="0" w:line="240" w:lineRule="auto"/>
              <w:jc w:val="right"/>
              <w:rPr>
                <w:rFonts w:eastAsia="Times New Roman" w:cs="Times New Roman"/>
                <w:color w:val="000000"/>
                <w:sz w:val="22"/>
              </w:rPr>
            </w:pPr>
          </w:p>
        </w:tc>
        <w:tc>
          <w:tcPr>
            <w:tcW w:w="900" w:type="dxa"/>
            <w:tcBorders>
              <w:top w:val="nil"/>
              <w:left w:val="nil"/>
              <w:bottom w:val="nil"/>
              <w:right w:val="single" w:sz="4" w:space="0" w:color="auto"/>
            </w:tcBorders>
            <w:shd w:val="clear" w:color="auto" w:fill="auto"/>
            <w:noWrap/>
            <w:vAlign w:val="center"/>
            <w:hideMark/>
          </w:tcPr>
          <w:p w14:paraId="54BCE3FA"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 </w:t>
            </w:r>
          </w:p>
        </w:tc>
        <w:tc>
          <w:tcPr>
            <w:tcW w:w="990" w:type="dxa"/>
            <w:tcBorders>
              <w:top w:val="nil"/>
              <w:left w:val="nil"/>
              <w:bottom w:val="nil"/>
              <w:right w:val="nil"/>
            </w:tcBorders>
            <w:shd w:val="clear" w:color="auto" w:fill="auto"/>
            <w:noWrap/>
            <w:vAlign w:val="center"/>
            <w:hideMark/>
          </w:tcPr>
          <w:p w14:paraId="6D82C9AE"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 </w:t>
            </w:r>
          </w:p>
        </w:tc>
        <w:tc>
          <w:tcPr>
            <w:tcW w:w="1800" w:type="dxa"/>
            <w:tcBorders>
              <w:top w:val="nil"/>
              <w:left w:val="nil"/>
              <w:bottom w:val="nil"/>
              <w:right w:val="nil"/>
            </w:tcBorders>
            <w:shd w:val="clear" w:color="auto" w:fill="auto"/>
            <w:noWrap/>
            <w:vAlign w:val="center"/>
            <w:hideMark/>
          </w:tcPr>
          <w:p w14:paraId="4D800C93" w14:textId="77777777" w:rsidR="00CF4426" w:rsidRPr="00806827" w:rsidRDefault="00CF4426" w:rsidP="00CF4426">
            <w:pPr>
              <w:spacing w:after="0" w:line="240" w:lineRule="auto"/>
              <w:jc w:val="right"/>
              <w:rPr>
                <w:rFonts w:eastAsia="Times New Roman" w:cs="Times New Roman"/>
                <w:color w:val="000000"/>
                <w:sz w:val="22"/>
              </w:rPr>
            </w:pPr>
          </w:p>
        </w:tc>
        <w:tc>
          <w:tcPr>
            <w:tcW w:w="900" w:type="dxa"/>
            <w:tcBorders>
              <w:top w:val="nil"/>
              <w:left w:val="nil"/>
              <w:bottom w:val="nil"/>
              <w:right w:val="nil"/>
            </w:tcBorders>
            <w:shd w:val="clear" w:color="auto" w:fill="auto"/>
            <w:noWrap/>
            <w:vAlign w:val="center"/>
            <w:hideMark/>
          </w:tcPr>
          <w:p w14:paraId="446F40B0" w14:textId="77777777" w:rsidR="00CF4426" w:rsidRPr="00806827" w:rsidRDefault="00CF4426" w:rsidP="00CF4426">
            <w:pPr>
              <w:spacing w:after="0" w:line="240" w:lineRule="auto"/>
              <w:jc w:val="center"/>
              <w:rPr>
                <w:rFonts w:eastAsia="Times New Roman" w:cs="Times New Roman"/>
                <w:sz w:val="20"/>
                <w:szCs w:val="20"/>
              </w:rPr>
            </w:pPr>
          </w:p>
        </w:tc>
        <w:tc>
          <w:tcPr>
            <w:tcW w:w="991" w:type="dxa"/>
            <w:tcBorders>
              <w:top w:val="nil"/>
              <w:left w:val="single" w:sz="4" w:space="0" w:color="auto"/>
              <w:bottom w:val="nil"/>
              <w:right w:val="nil"/>
            </w:tcBorders>
            <w:shd w:val="clear" w:color="auto" w:fill="auto"/>
            <w:noWrap/>
            <w:vAlign w:val="center"/>
            <w:hideMark/>
          </w:tcPr>
          <w:p w14:paraId="7B117F3E"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 </w:t>
            </w:r>
          </w:p>
        </w:tc>
        <w:tc>
          <w:tcPr>
            <w:tcW w:w="1727" w:type="dxa"/>
            <w:tcBorders>
              <w:top w:val="nil"/>
              <w:left w:val="nil"/>
              <w:bottom w:val="nil"/>
              <w:right w:val="nil"/>
            </w:tcBorders>
            <w:shd w:val="clear" w:color="auto" w:fill="auto"/>
            <w:noWrap/>
            <w:vAlign w:val="center"/>
            <w:hideMark/>
          </w:tcPr>
          <w:p w14:paraId="694B6F86" w14:textId="77777777" w:rsidR="00CF4426" w:rsidRPr="00806827" w:rsidRDefault="00CF4426" w:rsidP="00CF4426">
            <w:pPr>
              <w:spacing w:after="0" w:line="240" w:lineRule="auto"/>
              <w:jc w:val="right"/>
              <w:rPr>
                <w:rFonts w:eastAsia="Times New Roman" w:cs="Times New Roman"/>
                <w:color w:val="000000"/>
                <w:sz w:val="22"/>
              </w:rPr>
            </w:pPr>
          </w:p>
        </w:tc>
        <w:tc>
          <w:tcPr>
            <w:tcW w:w="972" w:type="dxa"/>
            <w:tcBorders>
              <w:top w:val="nil"/>
              <w:left w:val="nil"/>
              <w:bottom w:val="nil"/>
              <w:right w:val="nil"/>
            </w:tcBorders>
            <w:shd w:val="clear" w:color="auto" w:fill="auto"/>
            <w:noWrap/>
            <w:vAlign w:val="center"/>
            <w:hideMark/>
          </w:tcPr>
          <w:p w14:paraId="0E024737" w14:textId="77777777" w:rsidR="00CF4426" w:rsidRPr="00806827" w:rsidRDefault="00CF4426" w:rsidP="00CF4426">
            <w:pPr>
              <w:spacing w:after="0" w:line="240" w:lineRule="auto"/>
              <w:jc w:val="center"/>
              <w:rPr>
                <w:rFonts w:eastAsia="Times New Roman" w:cs="Times New Roman"/>
                <w:sz w:val="20"/>
                <w:szCs w:val="20"/>
              </w:rPr>
            </w:pPr>
          </w:p>
        </w:tc>
      </w:tr>
      <w:tr w:rsidR="00422DE7" w:rsidRPr="00806827" w14:paraId="21DE6E65" w14:textId="77777777" w:rsidTr="00CA478D">
        <w:trPr>
          <w:trHeight w:val="300"/>
        </w:trPr>
        <w:tc>
          <w:tcPr>
            <w:tcW w:w="1980" w:type="dxa"/>
            <w:tcBorders>
              <w:top w:val="nil"/>
              <w:left w:val="nil"/>
              <w:bottom w:val="nil"/>
              <w:right w:val="nil"/>
            </w:tcBorders>
            <w:shd w:val="clear" w:color="auto" w:fill="auto"/>
            <w:noWrap/>
            <w:vAlign w:val="center"/>
            <w:hideMark/>
          </w:tcPr>
          <w:p w14:paraId="381B9EFE" w14:textId="77777777" w:rsidR="00CF4426" w:rsidRPr="00806827" w:rsidRDefault="00CF4426" w:rsidP="00CF4426">
            <w:pPr>
              <w:spacing w:after="0" w:line="240" w:lineRule="auto"/>
              <w:rPr>
                <w:rFonts w:eastAsia="Times New Roman" w:cs="Times New Roman"/>
                <w:color w:val="000000"/>
                <w:sz w:val="22"/>
              </w:rPr>
            </w:pPr>
            <w:r w:rsidRPr="00806827">
              <w:rPr>
                <w:rFonts w:eastAsia="Times New Roman" w:cs="Times New Roman"/>
                <w:color w:val="000000"/>
                <w:sz w:val="22"/>
              </w:rPr>
              <w:t>NRI</w:t>
            </w:r>
          </w:p>
        </w:tc>
        <w:tc>
          <w:tcPr>
            <w:tcW w:w="990" w:type="dxa"/>
            <w:tcBorders>
              <w:top w:val="nil"/>
              <w:left w:val="single" w:sz="4" w:space="0" w:color="auto"/>
              <w:bottom w:val="nil"/>
              <w:right w:val="nil"/>
            </w:tcBorders>
            <w:shd w:val="clear" w:color="auto" w:fill="auto"/>
            <w:noWrap/>
            <w:vAlign w:val="center"/>
            <w:hideMark/>
          </w:tcPr>
          <w:p w14:paraId="16AF3A9C"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0.02</w:t>
            </w:r>
          </w:p>
        </w:tc>
        <w:tc>
          <w:tcPr>
            <w:tcW w:w="1710" w:type="dxa"/>
            <w:tcBorders>
              <w:top w:val="nil"/>
              <w:left w:val="nil"/>
              <w:bottom w:val="nil"/>
              <w:right w:val="nil"/>
            </w:tcBorders>
            <w:shd w:val="clear" w:color="auto" w:fill="auto"/>
            <w:noWrap/>
            <w:vAlign w:val="center"/>
            <w:hideMark/>
          </w:tcPr>
          <w:p w14:paraId="5B683F52"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(0.0002, 0.05)</w:t>
            </w:r>
          </w:p>
        </w:tc>
        <w:tc>
          <w:tcPr>
            <w:tcW w:w="900" w:type="dxa"/>
            <w:tcBorders>
              <w:top w:val="nil"/>
              <w:left w:val="nil"/>
              <w:bottom w:val="nil"/>
              <w:right w:val="single" w:sz="4" w:space="0" w:color="auto"/>
            </w:tcBorders>
            <w:shd w:val="clear" w:color="auto" w:fill="auto"/>
            <w:noWrap/>
            <w:vAlign w:val="center"/>
            <w:hideMark/>
          </w:tcPr>
          <w:p w14:paraId="49522606"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0.04</w:t>
            </w:r>
          </w:p>
        </w:tc>
        <w:tc>
          <w:tcPr>
            <w:tcW w:w="990" w:type="dxa"/>
            <w:tcBorders>
              <w:top w:val="nil"/>
              <w:left w:val="nil"/>
              <w:bottom w:val="nil"/>
              <w:right w:val="nil"/>
            </w:tcBorders>
            <w:shd w:val="clear" w:color="auto" w:fill="auto"/>
            <w:noWrap/>
            <w:vAlign w:val="center"/>
            <w:hideMark/>
          </w:tcPr>
          <w:p w14:paraId="6F8989F8"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0.02</w:t>
            </w:r>
          </w:p>
        </w:tc>
        <w:tc>
          <w:tcPr>
            <w:tcW w:w="1800" w:type="dxa"/>
            <w:tcBorders>
              <w:top w:val="nil"/>
              <w:left w:val="nil"/>
              <w:bottom w:val="nil"/>
              <w:right w:val="nil"/>
            </w:tcBorders>
            <w:shd w:val="clear" w:color="auto" w:fill="auto"/>
            <w:noWrap/>
            <w:vAlign w:val="center"/>
            <w:hideMark/>
          </w:tcPr>
          <w:p w14:paraId="0A7EEE7A"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(0.0002, 0.04)</w:t>
            </w:r>
          </w:p>
        </w:tc>
        <w:tc>
          <w:tcPr>
            <w:tcW w:w="900" w:type="dxa"/>
            <w:tcBorders>
              <w:top w:val="nil"/>
              <w:left w:val="nil"/>
              <w:bottom w:val="nil"/>
              <w:right w:val="nil"/>
            </w:tcBorders>
            <w:shd w:val="clear" w:color="auto" w:fill="auto"/>
            <w:noWrap/>
            <w:vAlign w:val="center"/>
            <w:hideMark/>
          </w:tcPr>
          <w:p w14:paraId="428F69B4"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0.04</w:t>
            </w:r>
          </w:p>
        </w:tc>
        <w:tc>
          <w:tcPr>
            <w:tcW w:w="991" w:type="dxa"/>
            <w:tcBorders>
              <w:top w:val="nil"/>
              <w:left w:val="single" w:sz="4" w:space="0" w:color="auto"/>
              <w:bottom w:val="nil"/>
              <w:right w:val="nil"/>
            </w:tcBorders>
            <w:shd w:val="clear" w:color="auto" w:fill="auto"/>
            <w:noWrap/>
            <w:vAlign w:val="center"/>
            <w:hideMark/>
          </w:tcPr>
          <w:p w14:paraId="12D6FEC0"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0.03</w:t>
            </w:r>
          </w:p>
        </w:tc>
        <w:tc>
          <w:tcPr>
            <w:tcW w:w="1727" w:type="dxa"/>
            <w:tcBorders>
              <w:top w:val="nil"/>
              <w:left w:val="nil"/>
              <w:bottom w:val="nil"/>
              <w:right w:val="nil"/>
            </w:tcBorders>
            <w:shd w:val="clear" w:color="auto" w:fill="auto"/>
            <w:noWrap/>
            <w:vAlign w:val="center"/>
            <w:hideMark/>
          </w:tcPr>
          <w:p w14:paraId="5CF7D5DA"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(0.01, 0.05)</w:t>
            </w:r>
          </w:p>
        </w:tc>
        <w:tc>
          <w:tcPr>
            <w:tcW w:w="972" w:type="dxa"/>
            <w:tcBorders>
              <w:top w:val="nil"/>
              <w:left w:val="nil"/>
              <w:bottom w:val="nil"/>
              <w:right w:val="nil"/>
            </w:tcBorders>
            <w:shd w:val="clear" w:color="auto" w:fill="auto"/>
            <w:noWrap/>
            <w:vAlign w:val="center"/>
            <w:hideMark/>
          </w:tcPr>
          <w:p w14:paraId="2AD3FEB0"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0.001</w:t>
            </w:r>
          </w:p>
        </w:tc>
      </w:tr>
      <w:tr w:rsidR="00422DE7" w:rsidRPr="00806827" w14:paraId="34C3152A" w14:textId="77777777" w:rsidTr="00CA478D">
        <w:trPr>
          <w:trHeight w:val="300"/>
        </w:trPr>
        <w:tc>
          <w:tcPr>
            <w:tcW w:w="1980" w:type="dxa"/>
            <w:tcBorders>
              <w:top w:val="nil"/>
              <w:left w:val="nil"/>
              <w:bottom w:val="nil"/>
              <w:right w:val="nil"/>
            </w:tcBorders>
            <w:shd w:val="clear" w:color="auto" w:fill="auto"/>
            <w:noWrap/>
            <w:vAlign w:val="center"/>
            <w:hideMark/>
          </w:tcPr>
          <w:p w14:paraId="6D3DE4F7" w14:textId="77777777" w:rsidR="00CF4426" w:rsidRPr="00806827" w:rsidRDefault="00CF4426" w:rsidP="00CF4426">
            <w:pPr>
              <w:spacing w:after="0" w:line="240" w:lineRule="auto"/>
              <w:rPr>
                <w:rFonts w:eastAsia="Times New Roman" w:cs="Times New Roman"/>
                <w:color w:val="000000"/>
                <w:sz w:val="22"/>
              </w:rPr>
            </w:pPr>
            <w:r w:rsidRPr="00806827">
              <w:rPr>
                <w:rFonts w:eastAsia="Times New Roman" w:cs="Times New Roman"/>
                <w:color w:val="000000"/>
                <w:sz w:val="22"/>
              </w:rPr>
              <w:t>NRI events</w:t>
            </w:r>
          </w:p>
        </w:tc>
        <w:tc>
          <w:tcPr>
            <w:tcW w:w="990" w:type="dxa"/>
            <w:tcBorders>
              <w:top w:val="nil"/>
              <w:left w:val="single" w:sz="4" w:space="0" w:color="auto"/>
              <w:bottom w:val="nil"/>
              <w:right w:val="nil"/>
            </w:tcBorders>
            <w:shd w:val="clear" w:color="auto" w:fill="auto"/>
            <w:noWrap/>
            <w:vAlign w:val="center"/>
            <w:hideMark/>
          </w:tcPr>
          <w:p w14:paraId="7A85D47C"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0.02</w:t>
            </w:r>
          </w:p>
        </w:tc>
        <w:tc>
          <w:tcPr>
            <w:tcW w:w="1710" w:type="dxa"/>
            <w:tcBorders>
              <w:top w:val="nil"/>
              <w:left w:val="nil"/>
              <w:bottom w:val="nil"/>
              <w:right w:val="nil"/>
            </w:tcBorders>
            <w:shd w:val="clear" w:color="auto" w:fill="auto"/>
            <w:noWrap/>
            <w:vAlign w:val="center"/>
            <w:hideMark/>
          </w:tcPr>
          <w:p w14:paraId="7B358384"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(-0.002, 0.04)</w:t>
            </w:r>
          </w:p>
        </w:tc>
        <w:tc>
          <w:tcPr>
            <w:tcW w:w="900" w:type="dxa"/>
            <w:tcBorders>
              <w:top w:val="nil"/>
              <w:left w:val="nil"/>
              <w:bottom w:val="nil"/>
              <w:right w:val="single" w:sz="4" w:space="0" w:color="auto"/>
            </w:tcBorders>
            <w:shd w:val="clear" w:color="auto" w:fill="auto"/>
            <w:noWrap/>
            <w:vAlign w:val="center"/>
            <w:hideMark/>
          </w:tcPr>
          <w:p w14:paraId="4F036380"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0.08</w:t>
            </w:r>
          </w:p>
        </w:tc>
        <w:tc>
          <w:tcPr>
            <w:tcW w:w="990" w:type="dxa"/>
            <w:tcBorders>
              <w:top w:val="nil"/>
              <w:left w:val="nil"/>
              <w:bottom w:val="nil"/>
              <w:right w:val="nil"/>
            </w:tcBorders>
            <w:shd w:val="clear" w:color="auto" w:fill="auto"/>
            <w:noWrap/>
            <w:vAlign w:val="center"/>
            <w:hideMark/>
          </w:tcPr>
          <w:p w14:paraId="500D0BC7"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0.02</w:t>
            </w:r>
          </w:p>
        </w:tc>
        <w:tc>
          <w:tcPr>
            <w:tcW w:w="1800" w:type="dxa"/>
            <w:tcBorders>
              <w:top w:val="nil"/>
              <w:left w:val="nil"/>
              <w:bottom w:val="nil"/>
              <w:right w:val="nil"/>
            </w:tcBorders>
            <w:shd w:val="clear" w:color="auto" w:fill="auto"/>
            <w:noWrap/>
            <w:vAlign w:val="center"/>
            <w:hideMark/>
          </w:tcPr>
          <w:p w14:paraId="1F89A8D0"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(-0.004, 0.04)</w:t>
            </w:r>
          </w:p>
        </w:tc>
        <w:tc>
          <w:tcPr>
            <w:tcW w:w="900" w:type="dxa"/>
            <w:tcBorders>
              <w:top w:val="nil"/>
              <w:left w:val="nil"/>
              <w:bottom w:val="nil"/>
              <w:right w:val="nil"/>
            </w:tcBorders>
            <w:shd w:val="clear" w:color="auto" w:fill="auto"/>
            <w:noWrap/>
            <w:vAlign w:val="center"/>
            <w:hideMark/>
          </w:tcPr>
          <w:p w14:paraId="7F1DED07"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0.10</w:t>
            </w:r>
          </w:p>
        </w:tc>
        <w:tc>
          <w:tcPr>
            <w:tcW w:w="991" w:type="dxa"/>
            <w:tcBorders>
              <w:top w:val="nil"/>
              <w:left w:val="single" w:sz="4" w:space="0" w:color="auto"/>
              <w:bottom w:val="nil"/>
              <w:right w:val="nil"/>
            </w:tcBorders>
            <w:shd w:val="clear" w:color="auto" w:fill="auto"/>
            <w:noWrap/>
            <w:vAlign w:val="center"/>
            <w:hideMark/>
          </w:tcPr>
          <w:p w14:paraId="3A1B31F6"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0.03</w:t>
            </w:r>
          </w:p>
        </w:tc>
        <w:tc>
          <w:tcPr>
            <w:tcW w:w="1727" w:type="dxa"/>
            <w:tcBorders>
              <w:top w:val="nil"/>
              <w:left w:val="nil"/>
              <w:bottom w:val="nil"/>
              <w:right w:val="nil"/>
            </w:tcBorders>
            <w:shd w:val="clear" w:color="auto" w:fill="auto"/>
            <w:noWrap/>
            <w:vAlign w:val="center"/>
            <w:hideMark/>
          </w:tcPr>
          <w:p w14:paraId="40586D21"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(0.009, 0.04)</w:t>
            </w:r>
          </w:p>
        </w:tc>
        <w:tc>
          <w:tcPr>
            <w:tcW w:w="972" w:type="dxa"/>
            <w:tcBorders>
              <w:top w:val="nil"/>
              <w:left w:val="nil"/>
              <w:bottom w:val="nil"/>
              <w:right w:val="nil"/>
            </w:tcBorders>
            <w:shd w:val="clear" w:color="auto" w:fill="auto"/>
            <w:noWrap/>
            <w:vAlign w:val="center"/>
            <w:hideMark/>
          </w:tcPr>
          <w:p w14:paraId="1B5F5EC3"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0.01</w:t>
            </w:r>
          </w:p>
        </w:tc>
      </w:tr>
      <w:tr w:rsidR="00422DE7" w:rsidRPr="00806827" w14:paraId="3418FE1D" w14:textId="77777777" w:rsidTr="00CA478D">
        <w:trPr>
          <w:trHeight w:val="300"/>
        </w:trPr>
        <w:tc>
          <w:tcPr>
            <w:tcW w:w="1980" w:type="dxa"/>
            <w:tcBorders>
              <w:top w:val="nil"/>
              <w:left w:val="nil"/>
              <w:bottom w:val="nil"/>
              <w:right w:val="nil"/>
            </w:tcBorders>
            <w:shd w:val="clear" w:color="auto" w:fill="auto"/>
            <w:noWrap/>
            <w:vAlign w:val="center"/>
            <w:hideMark/>
          </w:tcPr>
          <w:p w14:paraId="3B0FBA2F" w14:textId="77777777" w:rsidR="00CF4426" w:rsidRPr="00806827" w:rsidRDefault="00CF4426" w:rsidP="00CF4426">
            <w:pPr>
              <w:spacing w:after="0" w:line="240" w:lineRule="auto"/>
              <w:rPr>
                <w:rFonts w:eastAsia="Times New Roman" w:cs="Times New Roman"/>
                <w:color w:val="000000"/>
                <w:sz w:val="22"/>
              </w:rPr>
            </w:pPr>
            <w:r w:rsidRPr="00806827">
              <w:rPr>
                <w:rFonts w:eastAsia="Times New Roman" w:cs="Times New Roman"/>
                <w:color w:val="000000"/>
                <w:sz w:val="22"/>
              </w:rPr>
              <w:t>NRI non-events</w:t>
            </w:r>
          </w:p>
        </w:tc>
        <w:tc>
          <w:tcPr>
            <w:tcW w:w="990" w:type="dxa"/>
            <w:tcBorders>
              <w:top w:val="nil"/>
              <w:left w:val="single" w:sz="4" w:space="0" w:color="auto"/>
              <w:bottom w:val="nil"/>
              <w:right w:val="nil"/>
            </w:tcBorders>
            <w:shd w:val="clear" w:color="auto" w:fill="auto"/>
            <w:noWrap/>
            <w:vAlign w:val="center"/>
            <w:hideMark/>
          </w:tcPr>
          <w:p w14:paraId="65667351"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0.004</w:t>
            </w:r>
          </w:p>
        </w:tc>
        <w:tc>
          <w:tcPr>
            <w:tcW w:w="1710" w:type="dxa"/>
            <w:tcBorders>
              <w:top w:val="nil"/>
              <w:left w:val="nil"/>
              <w:bottom w:val="nil"/>
              <w:right w:val="nil"/>
            </w:tcBorders>
            <w:shd w:val="clear" w:color="auto" w:fill="auto"/>
            <w:noWrap/>
            <w:vAlign w:val="center"/>
            <w:hideMark/>
          </w:tcPr>
          <w:p w14:paraId="2662C6E4"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(0.002, 0.006)</w:t>
            </w:r>
          </w:p>
        </w:tc>
        <w:tc>
          <w:tcPr>
            <w:tcW w:w="900" w:type="dxa"/>
            <w:tcBorders>
              <w:top w:val="nil"/>
              <w:left w:val="nil"/>
              <w:bottom w:val="nil"/>
              <w:right w:val="single" w:sz="4" w:space="0" w:color="auto"/>
            </w:tcBorders>
            <w:shd w:val="clear" w:color="auto" w:fill="auto"/>
            <w:noWrap/>
            <w:vAlign w:val="center"/>
            <w:hideMark/>
          </w:tcPr>
          <w:p w14:paraId="3674D1D9"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&lt;0.001</w:t>
            </w:r>
          </w:p>
        </w:tc>
        <w:tc>
          <w:tcPr>
            <w:tcW w:w="990" w:type="dxa"/>
            <w:tcBorders>
              <w:top w:val="nil"/>
              <w:left w:val="nil"/>
              <w:bottom w:val="nil"/>
              <w:right w:val="nil"/>
            </w:tcBorders>
            <w:shd w:val="clear" w:color="auto" w:fill="auto"/>
            <w:noWrap/>
            <w:vAlign w:val="center"/>
            <w:hideMark/>
          </w:tcPr>
          <w:p w14:paraId="3AA35470"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0.004</w:t>
            </w:r>
          </w:p>
        </w:tc>
        <w:tc>
          <w:tcPr>
            <w:tcW w:w="1800" w:type="dxa"/>
            <w:tcBorders>
              <w:top w:val="nil"/>
              <w:left w:val="nil"/>
              <w:bottom w:val="nil"/>
              <w:right w:val="nil"/>
            </w:tcBorders>
            <w:shd w:val="clear" w:color="auto" w:fill="auto"/>
            <w:noWrap/>
            <w:vAlign w:val="center"/>
            <w:hideMark/>
          </w:tcPr>
          <w:p w14:paraId="26EB2807"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(0.002, 0.006)</w:t>
            </w:r>
          </w:p>
        </w:tc>
        <w:tc>
          <w:tcPr>
            <w:tcW w:w="900" w:type="dxa"/>
            <w:tcBorders>
              <w:top w:val="nil"/>
              <w:left w:val="nil"/>
              <w:bottom w:val="nil"/>
              <w:right w:val="nil"/>
            </w:tcBorders>
            <w:shd w:val="clear" w:color="auto" w:fill="auto"/>
            <w:noWrap/>
            <w:vAlign w:val="center"/>
            <w:hideMark/>
          </w:tcPr>
          <w:p w14:paraId="266B5821"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&lt;0.001</w:t>
            </w:r>
          </w:p>
        </w:tc>
        <w:tc>
          <w:tcPr>
            <w:tcW w:w="991" w:type="dxa"/>
            <w:tcBorders>
              <w:top w:val="nil"/>
              <w:left w:val="single" w:sz="4" w:space="0" w:color="auto"/>
              <w:bottom w:val="nil"/>
              <w:right w:val="nil"/>
            </w:tcBorders>
            <w:shd w:val="clear" w:color="auto" w:fill="auto"/>
            <w:noWrap/>
            <w:vAlign w:val="center"/>
            <w:hideMark/>
          </w:tcPr>
          <w:p w14:paraId="7F20BDAE"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0.004</w:t>
            </w:r>
          </w:p>
        </w:tc>
        <w:tc>
          <w:tcPr>
            <w:tcW w:w="1727" w:type="dxa"/>
            <w:tcBorders>
              <w:top w:val="nil"/>
              <w:left w:val="nil"/>
              <w:bottom w:val="nil"/>
              <w:right w:val="nil"/>
            </w:tcBorders>
            <w:shd w:val="clear" w:color="auto" w:fill="auto"/>
            <w:noWrap/>
            <w:vAlign w:val="center"/>
            <w:hideMark/>
          </w:tcPr>
          <w:p w14:paraId="2619B84B"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(0.002, 0.006)</w:t>
            </w:r>
          </w:p>
        </w:tc>
        <w:tc>
          <w:tcPr>
            <w:tcW w:w="972" w:type="dxa"/>
            <w:tcBorders>
              <w:top w:val="nil"/>
              <w:left w:val="nil"/>
              <w:bottom w:val="nil"/>
              <w:right w:val="nil"/>
            </w:tcBorders>
            <w:shd w:val="clear" w:color="auto" w:fill="auto"/>
            <w:noWrap/>
            <w:vAlign w:val="center"/>
            <w:hideMark/>
          </w:tcPr>
          <w:p w14:paraId="43BFE74B"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&lt;0.001</w:t>
            </w:r>
          </w:p>
        </w:tc>
      </w:tr>
      <w:tr w:rsidR="00CF4426" w:rsidRPr="00806827" w14:paraId="52F67BC3" w14:textId="77777777" w:rsidTr="00CA478D">
        <w:trPr>
          <w:trHeight w:val="315"/>
        </w:trPr>
        <w:tc>
          <w:tcPr>
            <w:tcW w:w="1980" w:type="dxa"/>
            <w:tcBorders>
              <w:top w:val="nil"/>
              <w:left w:val="nil"/>
              <w:bottom w:val="single" w:sz="4" w:space="0" w:color="auto"/>
              <w:right w:val="nil"/>
            </w:tcBorders>
            <w:shd w:val="clear" w:color="auto" w:fill="auto"/>
            <w:noWrap/>
            <w:vAlign w:val="center"/>
            <w:hideMark/>
          </w:tcPr>
          <w:p w14:paraId="3DD97E85" w14:textId="77777777" w:rsidR="00CF4426" w:rsidRPr="00806827" w:rsidRDefault="00CF4426" w:rsidP="00CF4426">
            <w:pPr>
              <w:spacing w:after="0" w:line="240" w:lineRule="auto"/>
              <w:rPr>
                <w:rFonts w:eastAsia="Times New Roman" w:cs="Times New Roman"/>
                <w:color w:val="000000"/>
                <w:sz w:val="22"/>
              </w:rPr>
            </w:pPr>
            <w:r w:rsidRPr="00806827">
              <w:rPr>
                <w:rFonts w:eastAsia="Times New Roman" w:cs="Times New Roman"/>
                <w:color w:val="000000"/>
                <w:sz w:val="22"/>
              </w:rPr>
              <w:t>IDI</w:t>
            </w:r>
          </w:p>
        </w:tc>
        <w:tc>
          <w:tcPr>
            <w:tcW w:w="990" w:type="dxa"/>
            <w:tcBorders>
              <w:top w:val="nil"/>
              <w:left w:val="single" w:sz="4" w:space="0" w:color="auto"/>
              <w:bottom w:val="single" w:sz="4" w:space="0" w:color="auto"/>
              <w:right w:val="nil"/>
            </w:tcBorders>
            <w:shd w:val="clear" w:color="auto" w:fill="auto"/>
            <w:vAlign w:val="center"/>
            <w:hideMark/>
          </w:tcPr>
          <w:p w14:paraId="5BD781F1"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-0.0002</w:t>
            </w:r>
          </w:p>
        </w:tc>
        <w:tc>
          <w:tcPr>
            <w:tcW w:w="1710" w:type="dxa"/>
            <w:tcBorders>
              <w:top w:val="nil"/>
              <w:left w:val="nil"/>
              <w:bottom w:val="single" w:sz="4" w:space="0" w:color="auto"/>
              <w:right w:val="nil"/>
            </w:tcBorders>
            <w:shd w:val="clear" w:color="auto" w:fill="auto"/>
            <w:vAlign w:val="center"/>
            <w:hideMark/>
          </w:tcPr>
          <w:p w14:paraId="75A0DB48"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(-0.001, 0.0007)</w:t>
            </w:r>
          </w:p>
        </w:tc>
        <w:tc>
          <w:tcPr>
            <w:tcW w:w="900" w:type="dxa"/>
            <w:tcBorders>
              <w:top w:val="nil"/>
              <w:left w:val="nil"/>
              <w:bottom w:val="single" w:sz="4" w:space="0" w:color="auto"/>
              <w:right w:val="single" w:sz="4" w:space="0" w:color="auto"/>
            </w:tcBorders>
            <w:shd w:val="clear" w:color="auto" w:fill="auto"/>
            <w:noWrap/>
            <w:vAlign w:val="center"/>
            <w:hideMark/>
          </w:tcPr>
          <w:p w14:paraId="3709461A"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0.65</w:t>
            </w:r>
          </w:p>
        </w:tc>
        <w:tc>
          <w:tcPr>
            <w:tcW w:w="990" w:type="dxa"/>
            <w:tcBorders>
              <w:top w:val="nil"/>
              <w:left w:val="nil"/>
              <w:bottom w:val="single" w:sz="4" w:space="0" w:color="auto"/>
              <w:right w:val="nil"/>
            </w:tcBorders>
            <w:shd w:val="clear" w:color="auto" w:fill="auto"/>
            <w:vAlign w:val="center"/>
            <w:hideMark/>
          </w:tcPr>
          <w:p w14:paraId="79D3317A"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&lt;0.0001</w:t>
            </w:r>
          </w:p>
        </w:tc>
        <w:tc>
          <w:tcPr>
            <w:tcW w:w="1800" w:type="dxa"/>
            <w:tcBorders>
              <w:top w:val="nil"/>
              <w:left w:val="nil"/>
              <w:bottom w:val="single" w:sz="4" w:space="0" w:color="auto"/>
              <w:right w:val="nil"/>
            </w:tcBorders>
            <w:shd w:val="clear" w:color="auto" w:fill="auto"/>
            <w:vAlign w:val="center"/>
            <w:hideMark/>
          </w:tcPr>
          <w:p w14:paraId="361E13F3"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(-0.0001, 0.0001)</w:t>
            </w:r>
          </w:p>
        </w:tc>
        <w:tc>
          <w:tcPr>
            <w:tcW w:w="900" w:type="dxa"/>
            <w:tcBorders>
              <w:top w:val="nil"/>
              <w:left w:val="nil"/>
              <w:bottom w:val="single" w:sz="4" w:space="0" w:color="auto"/>
              <w:right w:val="nil"/>
            </w:tcBorders>
            <w:shd w:val="clear" w:color="auto" w:fill="auto"/>
            <w:noWrap/>
            <w:vAlign w:val="center"/>
            <w:hideMark/>
          </w:tcPr>
          <w:p w14:paraId="3AF02A38"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0.99</w:t>
            </w:r>
          </w:p>
        </w:tc>
        <w:tc>
          <w:tcPr>
            <w:tcW w:w="991" w:type="dxa"/>
            <w:tcBorders>
              <w:top w:val="nil"/>
              <w:left w:val="single" w:sz="4" w:space="0" w:color="auto"/>
              <w:bottom w:val="single" w:sz="4" w:space="0" w:color="auto"/>
              <w:right w:val="nil"/>
            </w:tcBorders>
            <w:shd w:val="clear" w:color="auto" w:fill="auto"/>
            <w:vAlign w:val="center"/>
            <w:hideMark/>
          </w:tcPr>
          <w:p w14:paraId="2A907120"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-0.005</w:t>
            </w:r>
          </w:p>
        </w:tc>
        <w:tc>
          <w:tcPr>
            <w:tcW w:w="1727" w:type="dxa"/>
            <w:tcBorders>
              <w:top w:val="nil"/>
              <w:left w:val="nil"/>
              <w:bottom w:val="single" w:sz="4" w:space="0" w:color="auto"/>
              <w:right w:val="nil"/>
            </w:tcBorders>
            <w:shd w:val="clear" w:color="auto" w:fill="auto"/>
            <w:vAlign w:val="center"/>
            <w:hideMark/>
          </w:tcPr>
          <w:p w14:paraId="025096BF" w14:textId="77777777" w:rsidR="00CF4426" w:rsidRPr="00806827" w:rsidRDefault="00CF4426" w:rsidP="00CF4426">
            <w:pPr>
              <w:spacing w:after="0" w:line="240" w:lineRule="auto"/>
              <w:jc w:val="center"/>
              <w:rPr>
                <w:rFonts w:eastAsia="Times New Roman" w:cs="Times New Roman"/>
                <w:color w:val="000000"/>
                <w:sz w:val="22"/>
              </w:rPr>
            </w:pPr>
            <w:r w:rsidRPr="00806827">
              <w:rPr>
                <w:rFonts w:eastAsia="Times New Roman" w:cs="Times New Roman"/>
                <w:color w:val="000000"/>
                <w:sz w:val="22"/>
              </w:rPr>
              <w:t>(-0.001, 0.0004)</w:t>
            </w:r>
          </w:p>
        </w:tc>
        <w:tc>
          <w:tcPr>
            <w:tcW w:w="972" w:type="dxa"/>
            <w:tcBorders>
              <w:top w:val="nil"/>
              <w:left w:val="nil"/>
              <w:bottom w:val="single" w:sz="4" w:space="0" w:color="auto"/>
              <w:right w:val="nil"/>
            </w:tcBorders>
            <w:shd w:val="clear" w:color="auto" w:fill="auto"/>
            <w:noWrap/>
            <w:vAlign w:val="center"/>
            <w:hideMark/>
          </w:tcPr>
          <w:p w14:paraId="68B3C0C0" w14:textId="77777777" w:rsidR="00CF4426" w:rsidRPr="00806827" w:rsidRDefault="00CF4426" w:rsidP="00CF4426">
            <w:pPr>
              <w:spacing w:after="0" w:line="240" w:lineRule="auto"/>
              <w:jc w:val="right"/>
              <w:rPr>
                <w:rFonts w:eastAsia="Times New Roman" w:cs="Times New Roman"/>
                <w:color w:val="000000"/>
                <w:sz w:val="22"/>
              </w:rPr>
            </w:pPr>
            <w:r w:rsidRPr="00806827">
              <w:rPr>
                <w:rFonts w:eastAsia="Times New Roman" w:cs="Times New Roman"/>
                <w:color w:val="000000"/>
                <w:sz w:val="22"/>
              </w:rPr>
              <w:t>0.29</w:t>
            </w:r>
          </w:p>
        </w:tc>
      </w:tr>
    </w:tbl>
    <w:p w14:paraId="19427697" w14:textId="3856F650" w:rsidR="00C53105" w:rsidRPr="00806827" w:rsidRDefault="00CF4426" w:rsidP="0070182D">
      <w:pPr>
        <w:spacing w:after="0"/>
        <w:rPr>
          <w:rFonts w:asciiTheme="minorHAnsi" w:hAnsiTheme="minorHAnsi"/>
          <w:sz w:val="22"/>
        </w:rPr>
      </w:pPr>
      <w:r w:rsidRPr="00806827">
        <w:t xml:space="preserve"> </w:t>
      </w:r>
      <w:r w:rsidR="00C53105" w:rsidRPr="00806827">
        <w:fldChar w:fldCharType="begin"/>
      </w:r>
      <w:r w:rsidR="00C53105" w:rsidRPr="00806827">
        <w:instrText xml:space="preserve"> LINK </w:instrText>
      </w:r>
      <w:r w:rsidR="00135D50" w:rsidRPr="00806827">
        <w:instrText xml:space="preserve">Excel.Sheet.12 "C:\\Users\\Amanda\\Dropbox\\HUNT Collaboration\\CVD risk prediction\\EHJ Resubmission\\Sensitivity Analyses.xlsx" Sheet1!R1C1:R15C10 </w:instrText>
      </w:r>
      <w:r w:rsidR="00C53105" w:rsidRPr="00806827">
        <w:instrText xml:space="preserve">\a \f 4 \h  \* MERGEFORMAT </w:instrText>
      </w:r>
      <w:r w:rsidR="00C53105" w:rsidRPr="00806827">
        <w:fldChar w:fldCharType="separate"/>
      </w:r>
    </w:p>
    <w:p w14:paraId="63D9CE5E" w14:textId="77777777" w:rsidR="00947622" w:rsidRPr="00806827" w:rsidRDefault="00C53105" w:rsidP="00CA478D">
      <w:pPr>
        <w:spacing w:after="0" w:line="240" w:lineRule="auto"/>
        <w:rPr>
          <w:sz w:val="20"/>
          <w:szCs w:val="20"/>
        </w:rPr>
      </w:pPr>
      <w:r w:rsidRPr="00806827">
        <w:fldChar w:fldCharType="end"/>
      </w:r>
      <w:r w:rsidR="00947622" w:rsidRPr="00806827">
        <w:rPr>
          <w:sz w:val="22"/>
          <w:vertAlign w:val="superscript"/>
        </w:rPr>
        <w:t xml:space="preserve"> a</w:t>
      </w:r>
      <w:r w:rsidR="00947622" w:rsidRPr="00806827">
        <w:rPr>
          <w:sz w:val="22"/>
        </w:rPr>
        <w:t xml:space="preserve"> </w:t>
      </w:r>
      <w:r w:rsidR="00947622" w:rsidRPr="00806827">
        <w:rPr>
          <w:sz w:val="20"/>
          <w:szCs w:val="20"/>
        </w:rPr>
        <w:t>Pregnancy complications include preeclampsia, gestational hypertension, preterm delivery, and small for gestational age delivery</w:t>
      </w:r>
    </w:p>
    <w:p w14:paraId="7C9A69CA" w14:textId="204F082F" w:rsidR="00947622" w:rsidRPr="00806827" w:rsidRDefault="00947622" w:rsidP="00CA478D">
      <w:pPr>
        <w:spacing w:after="0" w:line="240" w:lineRule="auto"/>
        <w:rPr>
          <w:sz w:val="20"/>
          <w:szCs w:val="20"/>
        </w:rPr>
      </w:pPr>
      <w:r w:rsidRPr="00806827">
        <w:rPr>
          <w:sz w:val="22"/>
          <w:vertAlign w:val="superscript"/>
        </w:rPr>
        <w:t>b</w:t>
      </w:r>
      <w:r w:rsidRPr="00806827">
        <w:rPr>
          <w:sz w:val="20"/>
          <w:szCs w:val="20"/>
        </w:rPr>
        <w:t xml:space="preserve"> Models include an additional term for each pregnancy complication indicating a history of two or more pregnancies with complication</w:t>
      </w:r>
    </w:p>
    <w:p w14:paraId="6B4FFC8B" w14:textId="0E55127A" w:rsidR="00947622" w:rsidRPr="00806827" w:rsidRDefault="00CA478D" w:rsidP="00CA478D">
      <w:pPr>
        <w:spacing w:after="0" w:line="240" w:lineRule="auto"/>
        <w:rPr>
          <w:sz w:val="20"/>
          <w:szCs w:val="20"/>
        </w:rPr>
      </w:pPr>
      <w:r w:rsidRPr="00806827">
        <w:rPr>
          <w:sz w:val="22"/>
          <w:vertAlign w:val="superscript"/>
        </w:rPr>
        <w:t>c</w:t>
      </w:r>
      <w:r w:rsidR="00947622" w:rsidRPr="00806827">
        <w:rPr>
          <w:sz w:val="20"/>
          <w:szCs w:val="20"/>
        </w:rPr>
        <w:t xml:space="preserve"> Models include interaction terms between each pair of </w:t>
      </w:r>
      <w:r w:rsidRPr="00806827">
        <w:rPr>
          <w:sz w:val="20"/>
          <w:szCs w:val="20"/>
        </w:rPr>
        <w:t>pregnancy complication history variables</w:t>
      </w:r>
    </w:p>
    <w:p w14:paraId="12F9B610" w14:textId="48EAFBC2" w:rsidR="00947622" w:rsidRPr="00806827" w:rsidRDefault="00CA478D" w:rsidP="00CA478D">
      <w:pPr>
        <w:spacing w:after="0" w:line="240" w:lineRule="auto"/>
        <w:rPr>
          <w:sz w:val="20"/>
          <w:szCs w:val="20"/>
        </w:rPr>
      </w:pPr>
      <w:r w:rsidRPr="00806827">
        <w:rPr>
          <w:sz w:val="22"/>
          <w:vertAlign w:val="superscript"/>
        </w:rPr>
        <w:t>d</w:t>
      </w:r>
      <w:r w:rsidRPr="00806827">
        <w:rPr>
          <w:sz w:val="20"/>
          <w:szCs w:val="20"/>
        </w:rPr>
        <w:t xml:space="preserve"> Greenwood-Nam-D’Agostino test of calibration for censored survival data. Higher p-values indicate better model calibration</w:t>
      </w:r>
    </w:p>
    <w:p w14:paraId="18442E17" w14:textId="3E96B6C8" w:rsidR="00CA478D" w:rsidRPr="00806827" w:rsidRDefault="00CA478D" w:rsidP="00CA478D">
      <w:pPr>
        <w:spacing w:after="0" w:line="240" w:lineRule="auto"/>
        <w:rPr>
          <w:sz w:val="20"/>
          <w:szCs w:val="20"/>
        </w:rPr>
      </w:pPr>
      <w:r w:rsidRPr="00806827">
        <w:rPr>
          <w:sz w:val="22"/>
          <w:vertAlign w:val="superscript"/>
        </w:rPr>
        <w:t>e</w:t>
      </w:r>
      <w:r w:rsidRPr="00806827">
        <w:rPr>
          <w:sz w:val="20"/>
          <w:szCs w:val="20"/>
        </w:rPr>
        <w:t xml:space="preserve"> Compared to the established risk factor model</w:t>
      </w:r>
    </w:p>
    <w:p w14:paraId="6CD43ECF" w14:textId="098A23F4" w:rsidR="00947622" w:rsidRPr="00806827" w:rsidRDefault="00947622" w:rsidP="00947622">
      <w:pPr>
        <w:tabs>
          <w:tab w:val="left" w:pos="1680"/>
        </w:tabs>
        <w:spacing w:before="120" w:after="0"/>
        <w:rPr>
          <w:sz w:val="22"/>
        </w:rPr>
      </w:pPr>
    </w:p>
    <w:p w14:paraId="502DB7DE" w14:textId="3DEAD345" w:rsidR="00CF4426" w:rsidRPr="00806827" w:rsidRDefault="00CF4426" w:rsidP="0070182D">
      <w:pPr>
        <w:spacing w:after="0"/>
        <w:rPr>
          <w:rFonts w:asciiTheme="minorHAnsi" w:hAnsiTheme="minorHAnsi"/>
          <w:sz w:val="22"/>
        </w:rPr>
      </w:pPr>
      <w:r w:rsidRPr="00806827">
        <w:fldChar w:fldCharType="begin"/>
      </w:r>
      <w:r w:rsidRPr="00806827">
        <w:instrText xml:space="preserve"> LINK </w:instrText>
      </w:r>
      <w:r w:rsidR="00135D50" w:rsidRPr="00806827">
        <w:instrText xml:space="preserve">Excel.Sheet.12 "C:\\Users\\Amanda\\Dropbox\\HUNT Collaboration\\CVD risk prediction\\EHJ Resubmission\\Sensitivity Analyses.xlsx" Sheet1!R1C1:R15C10 </w:instrText>
      </w:r>
      <w:r w:rsidRPr="00806827">
        <w:instrText xml:space="preserve">\a \f 4 \h </w:instrText>
      </w:r>
      <w:r w:rsidR="001340AB" w:rsidRPr="00806827">
        <w:instrText xml:space="preserve"> \* MERGEFORMAT </w:instrText>
      </w:r>
      <w:r w:rsidRPr="00806827">
        <w:fldChar w:fldCharType="separate"/>
      </w:r>
    </w:p>
    <w:p w14:paraId="64E85836" w14:textId="14BFE3E9" w:rsidR="00CF4426" w:rsidRPr="00806827" w:rsidRDefault="00CF4426" w:rsidP="0070182D">
      <w:pPr>
        <w:spacing w:after="0"/>
      </w:pPr>
      <w:r w:rsidRPr="00806827">
        <w:fldChar w:fldCharType="end"/>
      </w:r>
    </w:p>
    <w:p w14:paraId="68D0F522" w14:textId="73005C8B" w:rsidR="00794AC7" w:rsidRPr="00806827" w:rsidRDefault="00794AC7">
      <w:r w:rsidRPr="00806827">
        <w:br w:type="page"/>
      </w:r>
    </w:p>
    <w:p w14:paraId="44C05D0D" w14:textId="77777777" w:rsidR="00794AC7" w:rsidRPr="00806827" w:rsidRDefault="00794AC7" w:rsidP="00794AC7">
      <w:pPr>
        <w:spacing w:after="0"/>
        <w:rPr>
          <w:b/>
        </w:rPr>
        <w:sectPr w:rsidR="00794AC7" w:rsidRPr="00806827" w:rsidSect="00A44B86">
          <w:pgSz w:w="15840" w:h="12240" w:orient="landscape"/>
          <w:pgMar w:top="1440" w:right="1440" w:bottom="1440" w:left="1440" w:header="720" w:footer="720" w:gutter="0"/>
          <w:cols w:space="720"/>
          <w:docGrid w:linePitch="360"/>
        </w:sectPr>
      </w:pPr>
    </w:p>
    <w:p w14:paraId="2F6E6128" w14:textId="0FB1123B" w:rsidR="00794AC7" w:rsidRPr="00806827" w:rsidRDefault="00794AC7" w:rsidP="00794AC7">
      <w:pPr>
        <w:spacing w:after="0"/>
      </w:pPr>
      <w:r w:rsidRPr="00806827">
        <w:rPr>
          <w:b/>
        </w:rPr>
        <w:lastRenderedPageBreak/>
        <w:t>Supplement</w:t>
      </w:r>
      <w:r w:rsidR="005D196B" w:rsidRPr="00806827">
        <w:rPr>
          <w:b/>
        </w:rPr>
        <w:t>al</w:t>
      </w:r>
      <w:r w:rsidRPr="00806827">
        <w:rPr>
          <w:b/>
        </w:rPr>
        <w:t xml:space="preserve"> Table 6. </w:t>
      </w:r>
      <w:r w:rsidR="00ED5DF5" w:rsidRPr="00806827">
        <w:t>Comparing established risk factor model with and without pregnancy complication history</w:t>
      </w:r>
      <w:r w:rsidR="00ED5DF5" w:rsidRPr="00806827">
        <w:rPr>
          <w:sz w:val="22"/>
          <w:vertAlign w:val="superscript"/>
        </w:rPr>
        <w:t>a</w:t>
      </w:r>
      <w:r w:rsidR="00ED5DF5" w:rsidRPr="00806827">
        <w:t xml:space="preserve"> after </w:t>
      </w:r>
      <w:r w:rsidR="0063319D" w:rsidRPr="00806827">
        <w:t>adjusting</w:t>
      </w:r>
      <w:r w:rsidRPr="00806827">
        <w:t xml:space="preserve"> for optimism</w:t>
      </w:r>
      <w:r w:rsidR="00ED5DF5" w:rsidRPr="00806827">
        <w:rPr>
          <w:sz w:val="22"/>
          <w:vertAlign w:val="superscript"/>
        </w:rPr>
        <w:t>b</w:t>
      </w:r>
    </w:p>
    <w:p w14:paraId="05B8B8C3" w14:textId="77777777" w:rsidR="00794AC7" w:rsidRPr="00806827" w:rsidRDefault="00794AC7" w:rsidP="0070182D">
      <w:pPr>
        <w:spacing w:after="0"/>
      </w:pPr>
    </w:p>
    <w:tbl>
      <w:tblPr>
        <w:tblW w:w="0" w:type="auto"/>
        <w:tblLayout w:type="fixed"/>
        <w:tblLook w:val="04A0" w:firstRow="1" w:lastRow="0" w:firstColumn="1" w:lastColumn="0" w:noHBand="0" w:noVBand="1"/>
      </w:tblPr>
      <w:tblGrid>
        <w:gridCol w:w="2659"/>
        <w:gridCol w:w="1571"/>
        <w:gridCol w:w="1800"/>
      </w:tblGrid>
      <w:tr w:rsidR="0063319D" w:rsidRPr="00806827" w14:paraId="6F0E714F" w14:textId="1268A3E5" w:rsidTr="0063319D">
        <w:trPr>
          <w:trHeight w:val="168"/>
        </w:trPr>
        <w:tc>
          <w:tcPr>
            <w:tcW w:w="2659" w:type="dxa"/>
            <w:tcBorders>
              <w:top w:val="single" w:sz="4" w:space="0" w:color="auto"/>
              <w:bottom w:val="single" w:sz="4" w:space="0" w:color="auto"/>
            </w:tcBorders>
            <w:shd w:val="clear" w:color="auto" w:fill="auto"/>
            <w:noWrap/>
            <w:vAlign w:val="bottom"/>
            <w:hideMark/>
          </w:tcPr>
          <w:p w14:paraId="6C269CF0" w14:textId="15DC39E6" w:rsidR="0063319D" w:rsidRPr="00806827" w:rsidRDefault="0063319D" w:rsidP="00BB4169">
            <w:pPr>
              <w:spacing w:after="0" w:line="240" w:lineRule="auto"/>
              <w:rPr>
                <w:rFonts w:eastAsia="Times New Roman" w:cs="Times New Roman"/>
                <w:color w:val="000000"/>
                <w:sz w:val="22"/>
              </w:rPr>
            </w:pPr>
            <w:r w:rsidRPr="00806827">
              <w:rPr>
                <w:rFonts w:eastAsia="Times New Roman" w:cs="Times New Roman"/>
                <w:color w:val="000000"/>
                <w:sz w:val="22"/>
              </w:rPr>
              <w:t> Metric</w:t>
            </w:r>
          </w:p>
        </w:tc>
        <w:tc>
          <w:tcPr>
            <w:tcW w:w="1571" w:type="dxa"/>
            <w:tcBorders>
              <w:top w:val="single" w:sz="4" w:space="0" w:color="auto"/>
              <w:bottom w:val="single" w:sz="4" w:space="0" w:color="auto"/>
            </w:tcBorders>
            <w:shd w:val="clear" w:color="auto" w:fill="auto"/>
            <w:vAlign w:val="center"/>
            <w:hideMark/>
          </w:tcPr>
          <w:p w14:paraId="205F97EE" w14:textId="7805C91D" w:rsidR="0063319D" w:rsidRPr="00806827" w:rsidRDefault="0063319D" w:rsidP="0063319D">
            <w:pPr>
              <w:spacing w:after="0" w:line="240" w:lineRule="auto"/>
              <w:jc w:val="center"/>
              <w:rPr>
                <w:rFonts w:eastAsia="Times New Roman" w:cs="Times New Roman"/>
                <w:color w:val="000000"/>
                <w:sz w:val="22"/>
              </w:rPr>
            </w:pPr>
            <w:r w:rsidRPr="00806827">
              <w:rPr>
                <w:rFonts w:eastAsia="Times New Roman" w:cs="Times New Roman"/>
                <w:color w:val="000000"/>
                <w:sz w:val="22"/>
              </w:rPr>
              <w:t>Original estimate</w:t>
            </w:r>
          </w:p>
        </w:tc>
        <w:tc>
          <w:tcPr>
            <w:tcW w:w="1800" w:type="dxa"/>
            <w:tcBorders>
              <w:top w:val="single" w:sz="4" w:space="0" w:color="auto"/>
              <w:bottom w:val="single" w:sz="4" w:space="0" w:color="auto"/>
            </w:tcBorders>
          </w:tcPr>
          <w:p w14:paraId="53643CCA" w14:textId="44DCF3CB" w:rsidR="0063319D" w:rsidRPr="00806827" w:rsidRDefault="0063319D" w:rsidP="00BB4169">
            <w:pPr>
              <w:spacing w:after="0" w:line="240" w:lineRule="auto"/>
              <w:jc w:val="center"/>
              <w:rPr>
                <w:rFonts w:eastAsia="Times New Roman" w:cs="Times New Roman"/>
                <w:color w:val="000000"/>
                <w:sz w:val="22"/>
              </w:rPr>
            </w:pPr>
            <w:r w:rsidRPr="00806827">
              <w:rPr>
                <w:rFonts w:eastAsia="Times New Roman" w:cs="Times New Roman"/>
                <w:color w:val="000000"/>
                <w:sz w:val="22"/>
              </w:rPr>
              <w:t>Estimate adjusted for optimism</w:t>
            </w:r>
          </w:p>
        </w:tc>
      </w:tr>
      <w:tr w:rsidR="0063319D" w:rsidRPr="00806827" w14:paraId="3D855B17" w14:textId="477CFEDA" w:rsidTr="0063319D">
        <w:trPr>
          <w:trHeight w:val="168"/>
        </w:trPr>
        <w:tc>
          <w:tcPr>
            <w:tcW w:w="2659" w:type="dxa"/>
            <w:tcBorders>
              <w:top w:val="single" w:sz="4" w:space="0" w:color="auto"/>
            </w:tcBorders>
            <w:shd w:val="clear" w:color="auto" w:fill="auto"/>
            <w:noWrap/>
            <w:vAlign w:val="center"/>
            <w:hideMark/>
          </w:tcPr>
          <w:p w14:paraId="29882E44" w14:textId="77777777" w:rsidR="0063319D" w:rsidRPr="00806827" w:rsidRDefault="0063319D" w:rsidP="00BB4169">
            <w:pPr>
              <w:spacing w:after="0" w:line="240" w:lineRule="auto"/>
              <w:rPr>
                <w:rFonts w:eastAsia="Times New Roman" w:cs="Times New Roman"/>
                <w:i/>
                <w:iCs/>
                <w:color w:val="000000"/>
                <w:sz w:val="22"/>
                <w:u w:val="single"/>
              </w:rPr>
            </w:pPr>
            <w:r w:rsidRPr="00806827">
              <w:rPr>
                <w:rFonts w:eastAsia="Times New Roman" w:cs="Times New Roman"/>
                <w:i/>
                <w:iCs/>
                <w:color w:val="000000"/>
                <w:sz w:val="22"/>
                <w:u w:val="single"/>
              </w:rPr>
              <w:t>Discrimination</w:t>
            </w:r>
          </w:p>
        </w:tc>
        <w:tc>
          <w:tcPr>
            <w:tcW w:w="1571" w:type="dxa"/>
            <w:tcBorders>
              <w:top w:val="single" w:sz="4" w:space="0" w:color="auto"/>
            </w:tcBorders>
            <w:shd w:val="clear" w:color="auto" w:fill="auto"/>
            <w:noWrap/>
            <w:vAlign w:val="bottom"/>
            <w:hideMark/>
          </w:tcPr>
          <w:p w14:paraId="6863A4BE" w14:textId="77777777" w:rsidR="0063319D" w:rsidRPr="00806827" w:rsidRDefault="0063319D" w:rsidP="00BB4169">
            <w:pPr>
              <w:spacing w:after="0" w:line="240" w:lineRule="auto"/>
              <w:rPr>
                <w:rFonts w:eastAsia="Times New Roman" w:cs="Times New Roman"/>
                <w:color w:val="000000"/>
                <w:sz w:val="22"/>
              </w:rPr>
            </w:pPr>
            <w:r w:rsidRPr="00806827">
              <w:rPr>
                <w:rFonts w:eastAsia="Times New Roman" w:cs="Times New Roman"/>
                <w:color w:val="000000"/>
                <w:sz w:val="22"/>
              </w:rPr>
              <w:t> </w:t>
            </w:r>
          </w:p>
        </w:tc>
        <w:tc>
          <w:tcPr>
            <w:tcW w:w="1800" w:type="dxa"/>
            <w:tcBorders>
              <w:top w:val="single" w:sz="4" w:space="0" w:color="auto"/>
            </w:tcBorders>
          </w:tcPr>
          <w:p w14:paraId="2149D97F" w14:textId="77777777" w:rsidR="0063319D" w:rsidRPr="00806827" w:rsidRDefault="0063319D" w:rsidP="00BB4169">
            <w:pPr>
              <w:spacing w:after="0" w:line="240" w:lineRule="auto"/>
              <w:rPr>
                <w:rFonts w:eastAsia="Times New Roman" w:cs="Times New Roman"/>
                <w:color w:val="000000"/>
                <w:sz w:val="22"/>
              </w:rPr>
            </w:pPr>
          </w:p>
        </w:tc>
      </w:tr>
      <w:tr w:rsidR="0063319D" w:rsidRPr="00806827" w14:paraId="2AB83E41" w14:textId="2929B0FC" w:rsidTr="0063319D">
        <w:trPr>
          <w:trHeight w:val="191"/>
        </w:trPr>
        <w:tc>
          <w:tcPr>
            <w:tcW w:w="2659" w:type="dxa"/>
            <w:shd w:val="clear" w:color="auto" w:fill="auto"/>
            <w:vAlign w:val="center"/>
            <w:hideMark/>
          </w:tcPr>
          <w:p w14:paraId="5563B652" w14:textId="31B5BCAB" w:rsidR="0063319D" w:rsidRPr="00806827" w:rsidRDefault="0063319D" w:rsidP="00BB4169">
            <w:pPr>
              <w:spacing w:after="0" w:line="240" w:lineRule="auto"/>
              <w:rPr>
                <w:rFonts w:eastAsia="Times New Roman" w:cs="Times New Roman"/>
                <w:color w:val="000000"/>
                <w:sz w:val="22"/>
              </w:rPr>
            </w:pPr>
            <w:r w:rsidRPr="00806827">
              <w:rPr>
                <w:rFonts w:eastAsia="Times New Roman" w:cs="Times New Roman"/>
                <w:color w:val="000000"/>
                <w:sz w:val="22"/>
              </w:rPr>
              <w:t>C-index difference</w:t>
            </w:r>
          </w:p>
        </w:tc>
        <w:tc>
          <w:tcPr>
            <w:tcW w:w="1571" w:type="dxa"/>
            <w:shd w:val="clear" w:color="auto" w:fill="auto"/>
            <w:noWrap/>
            <w:vAlign w:val="center"/>
            <w:hideMark/>
          </w:tcPr>
          <w:p w14:paraId="6D56429A" w14:textId="77777777" w:rsidR="0063319D" w:rsidRPr="00806827" w:rsidRDefault="0063319D" w:rsidP="00BB4169">
            <w:pPr>
              <w:spacing w:after="0" w:line="240" w:lineRule="auto"/>
              <w:jc w:val="right"/>
              <w:rPr>
                <w:rFonts w:eastAsia="Times New Roman" w:cs="Times New Roman"/>
                <w:color w:val="000000"/>
                <w:sz w:val="22"/>
              </w:rPr>
            </w:pPr>
            <w:r w:rsidRPr="00806827">
              <w:rPr>
                <w:rFonts w:eastAsia="Times New Roman" w:cs="Times New Roman"/>
                <w:color w:val="000000"/>
                <w:sz w:val="22"/>
              </w:rPr>
              <w:t>0.004</w:t>
            </w:r>
          </w:p>
        </w:tc>
        <w:tc>
          <w:tcPr>
            <w:tcW w:w="1800" w:type="dxa"/>
          </w:tcPr>
          <w:p w14:paraId="3F7770D7" w14:textId="68EB4510" w:rsidR="0063319D" w:rsidRPr="00806827" w:rsidRDefault="004D171D" w:rsidP="00BB4169">
            <w:pPr>
              <w:spacing w:after="0" w:line="240" w:lineRule="auto"/>
              <w:jc w:val="right"/>
              <w:rPr>
                <w:rFonts w:eastAsia="Times New Roman" w:cs="Times New Roman"/>
                <w:color w:val="000000"/>
                <w:sz w:val="22"/>
              </w:rPr>
            </w:pPr>
            <w:r w:rsidRPr="00806827">
              <w:rPr>
                <w:rFonts w:eastAsia="Times New Roman" w:cs="Times New Roman"/>
                <w:color w:val="000000"/>
                <w:sz w:val="22"/>
              </w:rPr>
              <w:t>0.003</w:t>
            </w:r>
          </w:p>
        </w:tc>
      </w:tr>
      <w:tr w:rsidR="0063319D" w:rsidRPr="00806827" w14:paraId="006F4E35" w14:textId="6430B1E8" w:rsidTr="0063319D">
        <w:trPr>
          <w:trHeight w:val="110"/>
        </w:trPr>
        <w:tc>
          <w:tcPr>
            <w:tcW w:w="2659" w:type="dxa"/>
            <w:shd w:val="clear" w:color="auto" w:fill="auto"/>
            <w:vAlign w:val="center"/>
            <w:hideMark/>
          </w:tcPr>
          <w:p w14:paraId="793903D3" w14:textId="236519A6" w:rsidR="0063319D" w:rsidRPr="00806827" w:rsidRDefault="0063319D" w:rsidP="00BB4169">
            <w:pPr>
              <w:spacing w:after="0" w:line="240" w:lineRule="auto"/>
              <w:rPr>
                <w:rFonts w:eastAsia="Times New Roman" w:cs="Times New Roman"/>
                <w:i/>
                <w:iCs/>
                <w:color w:val="000000"/>
                <w:sz w:val="22"/>
                <w:u w:val="single"/>
              </w:rPr>
            </w:pPr>
            <w:r w:rsidRPr="00806827">
              <w:rPr>
                <w:rFonts w:eastAsia="Times New Roman" w:cs="Times New Roman"/>
                <w:i/>
                <w:iCs/>
                <w:color w:val="000000"/>
                <w:sz w:val="22"/>
                <w:u w:val="single"/>
              </w:rPr>
              <w:t>Reclassification</w:t>
            </w:r>
          </w:p>
        </w:tc>
        <w:tc>
          <w:tcPr>
            <w:tcW w:w="1571" w:type="dxa"/>
            <w:shd w:val="clear" w:color="auto" w:fill="auto"/>
            <w:noWrap/>
            <w:vAlign w:val="center"/>
            <w:hideMark/>
          </w:tcPr>
          <w:p w14:paraId="1B54A90B" w14:textId="77777777" w:rsidR="0063319D" w:rsidRPr="00806827" w:rsidRDefault="0063319D" w:rsidP="00BB4169">
            <w:pPr>
              <w:spacing w:after="0" w:line="240" w:lineRule="auto"/>
              <w:jc w:val="right"/>
              <w:rPr>
                <w:rFonts w:eastAsia="Times New Roman" w:cs="Times New Roman"/>
                <w:color w:val="000000"/>
                <w:sz w:val="22"/>
              </w:rPr>
            </w:pPr>
            <w:r w:rsidRPr="00806827">
              <w:rPr>
                <w:rFonts w:eastAsia="Times New Roman" w:cs="Times New Roman"/>
                <w:color w:val="000000"/>
                <w:sz w:val="22"/>
              </w:rPr>
              <w:t> </w:t>
            </w:r>
          </w:p>
        </w:tc>
        <w:tc>
          <w:tcPr>
            <w:tcW w:w="1800" w:type="dxa"/>
          </w:tcPr>
          <w:p w14:paraId="3B260E43" w14:textId="77777777" w:rsidR="0063319D" w:rsidRPr="00806827" w:rsidRDefault="0063319D" w:rsidP="00BB4169">
            <w:pPr>
              <w:spacing w:after="0" w:line="240" w:lineRule="auto"/>
              <w:jc w:val="right"/>
              <w:rPr>
                <w:rFonts w:eastAsia="Times New Roman" w:cs="Times New Roman"/>
                <w:color w:val="000000"/>
                <w:sz w:val="22"/>
              </w:rPr>
            </w:pPr>
          </w:p>
        </w:tc>
      </w:tr>
      <w:tr w:rsidR="0063319D" w:rsidRPr="00806827" w14:paraId="77ECB525" w14:textId="3DFDF948" w:rsidTr="0063319D">
        <w:trPr>
          <w:trHeight w:val="168"/>
        </w:trPr>
        <w:tc>
          <w:tcPr>
            <w:tcW w:w="2659" w:type="dxa"/>
            <w:shd w:val="clear" w:color="auto" w:fill="auto"/>
            <w:noWrap/>
            <w:vAlign w:val="center"/>
            <w:hideMark/>
          </w:tcPr>
          <w:p w14:paraId="49180764" w14:textId="77777777" w:rsidR="0063319D" w:rsidRPr="00806827" w:rsidRDefault="0063319D" w:rsidP="00BB4169">
            <w:pPr>
              <w:spacing w:after="0" w:line="240" w:lineRule="auto"/>
              <w:rPr>
                <w:rFonts w:eastAsia="Times New Roman" w:cs="Times New Roman"/>
                <w:color w:val="000000"/>
                <w:sz w:val="22"/>
              </w:rPr>
            </w:pPr>
            <w:r w:rsidRPr="00806827">
              <w:rPr>
                <w:rFonts w:eastAsia="Times New Roman" w:cs="Times New Roman"/>
                <w:color w:val="000000"/>
                <w:sz w:val="22"/>
              </w:rPr>
              <w:t>NRI</w:t>
            </w:r>
          </w:p>
        </w:tc>
        <w:tc>
          <w:tcPr>
            <w:tcW w:w="1571" w:type="dxa"/>
            <w:shd w:val="clear" w:color="auto" w:fill="auto"/>
            <w:noWrap/>
            <w:vAlign w:val="center"/>
            <w:hideMark/>
          </w:tcPr>
          <w:p w14:paraId="39E073C0" w14:textId="77777777" w:rsidR="0063319D" w:rsidRPr="00806827" w:rsidRDefault="0063319D" w:rsidP="00BB4169">
            <w:pPr>
              <w:spacing w:after="0" w:line="240" w:lineRule="auto"/>
              <w:jc w:val="right"/>
              <w:rPr>
                <w:rFonts w:eastAsia="Times New Roman" w:cs="Times New Roman"/>
                <w:color w:val="000000"/>
                <w:sz w:val="22"/>
              </w:rPr>
            </w:pPr>
            <w:r w:rsidRPr="00806827">
              <w:rPr>
                <w:rFonts w:eastAsia="Times New Roman" w:cs="Times New Roman"/>
                <w:color w:val="000000"/>
                <w:sz w:val="22"/>
              </w:rPr>
              <w:t>0.02</w:t>
            </w:r>
          </w:p>
        </w:tc>
        <w:tc>
          <w:tcPr>
            <w:tcW w:w="1800" w:type="dxa"/>
          </w:tcPr>
          <w:p w14:paraId="535109EF" w14:textId="68A120D5" w:rsidR="0063319D" w:rsidRPr="00806827" w:rsidRDefault="004D171D" w:rsidP="00BB4169">
            <w:pPr>
              <w:spacing w:after="0" w:line="240" w:lineRule="auto"/>
              <w:jc w:val="right"/>
              <w:rPr>
                <w:rFonts w:eastAsia="Times New Roman" w:cs="Times New Roman"/>
                <w:color w:val="000000"/>
                <w:sz w:val="22"/>
              </w:rPr>
            </w:pPr>
            <w:r w:rsidRPr="00806827">
              <w:rPr>
                <w:rFonts w:eastAsia="Times New Roman" w:cs="Times New Roman"/>
                <w:color w:val="000000"/>
                <w:sz w:val="22"/>
              </w:rPr>
              <w:t>0.02</w:t>
            </w:r>
          </w:p>
        </w:tc>
      </w:tr>
      <w:tr w:rsidR="0063319D" w:rsidRPr="00806827" w14:paraId="30D945C9" w14:textId="66F6FA4D" w:rsidTr="0063319D">
        <w:trPr>
          <w:trHeight w:val="168"/>
        </w:trPr>
        <w:tc>
          <w:tcPr>
            <w:tcW w:w="2659" w:type="dxa"/>
            <w:shd w:val="clear" w:color="auto" w:fill="auto"/>
            <w:noWrap/>
            <w:vAlign w:val="center"/>
            <w:hideMark/>
          </w:tcPr>
          <w:p w14:paraId="4EEE4214" w14:textId="77777777" w:rsidR="0063319D" w:rsidRPr="00806827" w:rsidRDefault="0063319D" w:rsidP="00BB4169">
            <w:pPr>
              <w:spacing w:after="0" w:line="240" w:lineRule="auto"/>
              <w:rPr>
                <w:rFonts w:eastAsia="Times New Roman" w:cs="Times New Roman"/>
                <w:color w:val="000000"/>
                <w:sz w:val="22"/>
              </w:rPr>
            </w:pPr>
            <w:r w:rsidRPr="00806827">
              <w:rPr>
                <w:rFonts w:eastAsia="Times New Roman" w:cs="Times New Roman"/>
                <w:color w:val="000000"/>
                <w:sz w:val="22"/>
              </w:rPr>
              <w:t>NRI events</w:t>
            </w:r>
          </w:p>
        </w:tc>
        <w:tc>
          <w:tcPr>
            <w:tcW w:w="1571" w:type="dxa"/>
            <w:shd w:val="clear" w:color="auto" w:fill="auto"/>
            <w:noWrap/>
            <w:vAlign w:val="center"/>
            <w:hideMark/>
          </w:tcPr>
          <w:p w14:paraId="2569DA00" w14:textId="77777777" w:rsidR="0063319D" w:rsidRPr="00806827" w:rsidRDefault="0063319D" w:rsidP="00BB4169">
            <w:pPr>
              <w:spacing w:after="0" w:line="240" w:lineRule="auto"/>
              <w:jc w:val="right"/>
              <w:rPr>
                <w:rFonts w:eastAsia="Times New Roman" w:cs="Times New Roman"/>
                <w:color w:val="000000"/>
                <w:sz w:val="22"/>
              </w:rPr>
            </w:pPr>
            <w:r w:rsidRPr="00806827">
              <w:rPr>
                <w:rFonts w:eastAsia="Times New Roman" w:cs="Times New Roman"/>
                <w:color w:val="000000"/>
                <w:sz w:val="22"/>
              </w:rPr>
              <w:t>0.02</w:t>
            </w:r>
          </w:p>
        </w:tc>
        <w:tc>
          <w:tcPr>
            <w:tcW w:w="1800" w:type="dxa"/>
          </w:tcPr>
          <w:p w14:paraId="2BED4C11" w14:textId="08756E4A" w:rsidR="0063319D" w:rsidRPr="00806827" w:rsidRDefault="004D171D" w:rsidP="00BB4169">
            <w:pPr>
              <w:spacing w:after="0" w:line="240" w:lineRule="auto"/>
              <w:jc w:val="right"/>
              <w:rPr>
                <w:rFonts w:eastAsia="Times New Roman" w:cs="Times New Roman"/>
                <w:color w:val="000000"/>
                <w:sz w:val="22"/>
              </w:rPr>
            </w:pPr>
            <w:r w:rsidRPr="00806827">
              <w:rPr>
                <w:rFonts w:eastAsia="Times New Roman" w:cs="Times New Roman"/>
                <w:color w:val="000000"/>
                <w:sz w:val="22"/>
              </w:rPr>
              <w:t>0.02</w:t>
            </w:r>
          </w:p>
        </w:tc>
      </w:tr>
      <w:tr w:rsidR="0063319D" w:rsidRPr="00806827" w14:paraId="23B90CBD" w14:textId="498BF7D3" w:rsidTr="0063319D">
        <w:trPr>
          <w:trHeight w:val="168"/>
        </w:trPr>
        <w:tc>
          <w:tcPr>
            <w:tcW w:w="2659" w:type="dxa"/>
            <w:shd w:val="clear" w:color="auto" w:fill="auto"/>
            <w:noWrap/>
            <w:vAlign w:val="center"/>
            <w:hideMark/>
          </w:tcPr>
          <w:p w14:paraId="1A56EAB1" w14:textId="77777777" w:rsidR="0063319D" w:rsidRPr="00806827" w:rsidRDefault="0063319D" w:rsidP="00BB4169">
            <w:pPr>
              <w:spacing w:after="0" w:line="240" w:lineRule="auto"/>
              <w:rPr>
                <w:rFonts w:eastAsia="Times New Roman" w:cs="Times New Roman"/>
                <w:color w:val="000000"/>
                <w:sz w:val="22"/>
              </w:rPr>
            </w:pPr>
            <w:r w:rsidRPr="00806827">
              <w:rPr>
                <w:rFonts w:eastAsia="Times New Roman" w:cs="Times New Roman"/>
                <w:color w:val="000000"/>
                <w:sz w:val="22"/>
              </w:rPr>
              <w:t>NRI non-events</w:t>
            </w:r>
          </w:p>
        </w:tc>
        <w:tc>
          <w:tcPr>
            <w:tcW w:w="1571" w:type="dxa"/>
            <w:shd w:val="clear" w:color="auto" w:fill="auto"/>
            <w:noWrap/>
            <w:vAlign w:val="center"/>
            <w:hideMark/>
          </w:tcPr>
          <w:p w14:paraId="137652C8" w14:textId="77777777" w:rsidR="0063319D" w:rsidRPr="00806827" w:rsidRDefault="0063319D" w:rsidP="00BB4169">
            <w:pPr>
              <w:spacing w:after="0" w:line="240" w:lineRule="auto"/>
              <w:jc w:val="right"/>
              <w:rPr>
                <w:rFonts w:eastAsia="Times New Roman" w:cs="Times New Roman"/>
                <w:color w:val="000000"/>
                <w:sz w:val="22"/>
              </w:rPr>
            </w:pPr>
            <w:r w:rsidRPr="00806827">
              <w:rPr>
                <w:rFonts w:eastAsia="Times New Roman" w:cs="Times New Roman"/>
                <w:color w:val="000000"/>
                <w:sz w:val="22"/>
              </w:rPr>
              <w:t>0.004</w:t>
            </w:r>
          </w:p>
        </w:tc>
        <w:tc>
          <w:tcPr>
            <w:tcW w:w="1800" w:type="dxa"/>
          </w:tcPr>
          <w:p w14:paraId="19AF36B7" w14:textId="61CB6A9C" w:rsidR="0063319D" w:rsidRPr="00806827" w:rsidRDefault="004D171D" w:rsidP="00BB4169">
            <w:pPr>
              <w:spacing w:after="0" w:line="240" w:lineRule="auto"/>
              <w:jc w:val="right"/>
              <w:rPr>
                <w:rFonts w:eastAsia="Times New Roman" w:cs="Times New Roman"/>
                <w:color w:val="000000"/>
                <w:sz w:val="22"/>
              </w:rPr>
            </w:pPr>
            <w:r w:rsidRPr="00806827">
              <w:rPr>
                <w:rFonts w:eastAsia="Times New Roman" w:cs="Times New Roman"/>
                <w:color w:val="000000"/>
                <w:sz w:val="22"/>
              </w:rPr>
              <w:t>0.004</w:t>
            </w:r>
          </w:p>
        </w:tc>
      </w:tr>
      <w:tr w:rsidR="0063319D" w:rsidRPr="00806827" w14:paraId="066CD884" w14:textId="71D2D4E2" w:rsidTr="0063319D">
        <w:trPr>
          <w:trHeight w:val="176"/>
        </w:trPr>
        <w:tc>
          <w:tcPr>
            <w:tcW w:w="2659" w:type="dxa"/>
            <w:tcBorders>
              <w:bottom w:val="single" w:sz="4" w:space="0" w:color="auto"/>
            </w:tcBorders>
            <w:shd w:val="clear" w:color="auto" w:fill="auto"/>
            <w:noWrap/>
            <w:vAlign w:val="center"/>
            <w:hideMark/>
          </w:tcPr>
          <w:p w14:paraId="0D2A7373" w14:textId="77777777" w:rsidR="0063319D" w:rsidRPr="00806827" w:rsidRDefault="0063319D" w:rsidP="00BB4169">
            <w:pPr>
              <w:spacing w:after="0" w:line="240" w:lineRule="auto"/>
              <w:rPr>
                <w:rFonts w:eastAsia="Times New Roman" w:cs="Times New Roman"/>
                <w:color w:val="000000"/>
                <w:sz w:val="22"/>
              </w:rPr>
            </w:pPr>
            <w:r w:rsidRPr="00806827">
              <w:rPr>
                <w:rFonts w:eastAsia="Times New Roman" w:cs="Times New Roman"/>
                <w:color w:val="000000"/>
                <w:sz w:val="22"/>
              </w:rPr>
              <w:t>IDI</w:t>
            </w:r>
          </w:p>
        </w:tc>
        <w:tc>
          <w:tcPr>
            <w:tcW w:w="1571" w:type="dxa"/>
            <w:tcBorders>
              <w:bottom w:val="single" w:sz="4" w:space="0" w:color="auto"/>
            </w:tcBorders>
            <w:shd w:val="clear" w:color="auto" w:fill="auto"/>
            <w:vAlign w:val="center"/>
            <w:hideMark/>
          </w:tcPr>
          <w:p w14:paraId="309BAC84" w14:textId="77777777" w:rsidR="0063319D" w:rsidRPr="00806827" w:rsidRDefault="0063319D" w:rsidP="00BB4169">
            <w:pPr>
              <w:spacing w:after="0" w:line="240" w:lineRule="auto"/>
              <w:jc w:val="right"/>
              <w:rPr>
                <w:rFonts w:eastAsia="Times New Roman" w:cs="Times New Roman"/>
                <w:color w:val="000000"/>
                <w:sz w:val="22"/>
              </w:rPr>
            </w:pPr>
            <w:r w:rsidRPr="00806827">
              <w:rPr>
                <w:rFonts w:eastAsia="Times New Roman" w:cs="Times New Roman"/>
                <w:color w:val="000000"/>
                <w:sz w:val="22"/>
              </w:rPr>
              <w:t>-0.0002</w:t>
            </w:r>
          </w:p>
        </w:tc>
        <w:tc>
          <w:tcPr>
            <w:tcW w:w="1800" w:type="dxa"/>
            <w:tcBorders>
              <w:bottom w:val="single" w:sz="4" w:space="0" w:color="auto"/>
            </w:tcBorders>
          </w:tcPr>
          <w:p w14:paraId="403DCA1A" w14:textId="28C403C6" w:rsidR="0063319D" w:rsidRPr="00806827" w:rsidRDefault="00886CE3" w:rsidP="00BB4169">
            <w:pPr>
              <w:spacing w:after="0" w:line="240" w:lineRule="auto"/>
              <w:jc w:val="right"/>
              <w:rPr>
                <w:rFonts w:eastAsia="Times New Roman" w:cs="Times New Roman"/>
                <w:color w:val="000000"/>
                <w:sz w:val="22"/>
              </w:rPr>
            </w:pPr>
            <w:r w:rsidRPr="00806827">
              <w:rPr>
                <w:rFonts w:eastAsia="Times New Roman" w:cs="Times New Roman"/>
                <w:color w:val="000000"/>
                <w:sz w:val="22"/>
              </w:rPr>
              <w:t>-0.0002</w:t>
            </w:r>
          </w:p>
        </w:tc>
      </w:tr>
    </w:tbl>
    <w:p w14:paraId="711644A6" w14:textId="77777777" w:rsidR="00ED5DF5" w:rsidRPr="00806827" w:rsidRDefault="00ED5DF5" w:rsidP="00ED5DF5">
      <w:pPr>
        <w:spacing w:after="0" w:line="240" w:lineRule="auto"/>
        <w:rPr>
          <w:sz w:val="22"/>
          <w:vertAlign w:val="superscript"/>
        </w:rPr>
      </w:pPr>
    </w:p>
    <w:p w14:paraId="02C6E29D" w14:textId="77777777" w:rsidR="00ED5DF5" w:rsidRPr="00806827" w:rsidRDefault="00ED5DF5" w:rsidP="00ED5DF5">
      <w:pPr>
        <w:spacing w:after="0" w:line="240" w:lineRule="auto"/>
        <w:rPr>
          <w:sz w:val="20"/>
          <w:szCs w:val="20"/>
        </w:rPr>
      </w:pPr>
      <w:r w:rsidRPr="00806827">
        <w:rPr>
          <w:sz w:val="22"/>
          <w:vertAlign w:val="superscript"/>
        </w:rPr>
        <w:t>a</w:t>
      </w:r>
      <w:r w:rsidRPr="00806827">
        <w:rPr>
          <w:sz w:val="22"/>
        </w:rPr>
        <w:t xml:space="preserve"> </w:t>
      </w:r>
      <w:r w:rsidRPr="00806827">
        <w:rPr>
          <w:sz w:val="20"/>
          <w:szCs w:val="20"/>
        </w:rPr>
        <w:t>Pregnancy complications include preeclampsia, gestational hypertension, preterm delivery, and small for gestational age delivery</w:t>
      </w:r>
    </w:p>
    <w:p w14:paraId="6FEB42CB" w14:textId="4C31A7D7" w:rsidR="00C53105" w:rsidRPr="001340AB" w:rsidRDefault="00ED5DF5" w:rsidP="00D24523">
      <w:pPr>
        <w:spacing w:after="0" w:line="240" w:lineRule="auto"/>
        <w:rPr>
          <w:sz w:val="20"/>
          <w:szCs w:val="20"/>
        </w:rPr>
      </w:pPr>
      <w:r w:rsidRPr="00806827">
        <w:rPr>
          <w:sz w:val="22"/>
          <w:vertAlign w:val="superscript"/>
        </w:rPr>
        <w:t>b</w:t>
      </w:r>
      <w:r w:rsidRPr="00806827">
        <w:rPr>
          <w:sz w:val="20"/>
          <w:szCs w:val="20"/>
        </w:rPr>
        <w:t xml:space="preserve"> </w:t>
      </w:r>
      <w:r w:rsidR="00C22B34" w:rsidRPr="00806827">
        <w:rPr>
          <w:sz w:val="20"/>
          <w:szCs w:val="20"/>
        </w:rPr>
        <w:t xml:space="preserve">Optimism is </w:t>
      </w:r>
      <w:r w:rsidRPr="00806827">
        <w:rPr>
          <w:sz w:val="20"/>
          <w:szCs w:val="20"/>
        </w:rPr>
        <w:t xml:space="preserve">a measure of the degree of </w:t>
      </w:r>
      <w:r w:rsidR="0063319D" w:rsidRPr="00806827">
        <w:rPr>
          <w:sz w:val="20"/>
          <w:szCs w:val="20"/>
        </w:rPr>
        <w:t xml:space="preserve">model </w:t>
      </w:r>
      <w:r w:rsidRPr="00806827">
        <w:rPr>
          <w:sz w:val="20"/>
          <w:szCs w:val="20"/>
        </w:rPr>
        <w:t>overfitting</w:t>
      </w:r>
    </w:p>
    <w:sectPr w:rsidR="00C53105" w:rsidRPr="001340AB" w:rsidSect="00ED5DF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4B9AF" w16cid:durableId="1F58D8C9"/>
  <w16cid:commentId w16cid:paraId="4354DC0E" w16cid:durableId="1F58D93E"/>
  <w16cid:commentId w16cid:paraId="3AF6D20E" w16cid:durableId="1F58DAFC"/>
  <w16cid:commentId w16cid:paraId="6A89360E" w16cid:durableId="1F58C9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F3160" w14:textId="77777777" w:rsidR="008C60A7" w:rsidRDefault="008C60A7" w:rsidP="00F37191">
      <w:pPr>
        <w:spacing w:after="0" w:line="240" w:lineRule="auto"/>
      </w:pPr>
      <w:r>
        <w:separator/>
      </w:r>
    </w:p>
  </w:endnote>
  <w:endnote w:type="continuationSeparator" w:id="0">
    <w:p w14:paraId="104E07DE" w14:textId="77777777" w:rsidR="008C60A7" w:rsidRDefault="008C60A7" w:rsidP="00F3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161400"/>
      <w:docPartObj>
        <w:docPartGallery w:val="Page Numbers (Bottom of Page)"/>
        <w:docPartUnique/>
      </w:docPartObj>
    </w:sdtPr>
    <w:sdtEndPr>
      <w:rPr>
        <w:noProof/>
      </w:rPr>
    </w:sdtEndPr>
    <w:sdtContent>
      <w:p w14:paraId="4C630583" w14:textId="2AAD8913" w:rsidR="008C60A7" w:rsidRDefault="008C60A7">
        <w:pPr>
          <w:pStyle w:val="Footer"/>
          <w:jc w:val="center"/>
        </w:pPr>
        <w:r>
          <w:fldChar w:fldCharType="begin"/>
        </w:r>
        <w:r>
          <w:instrText xml:space="preserve"> PAGE   \* MERGEFORMAT </w:instrText>
        </w:r>
        <w:r>
          <w:fldChar w:fldCharType="separate"/>
        </w:r>
        <w:r w:rsidR="00806827">
          <w:rPr>
            <w:noProof/>
          </w:rPr>
          <w:t>21</w:t>
        </w:r>
        <w:r>
          <w:rPr>
            <w:noProof/>
          </w:rPr>
          <w:fldChar w:fldCharType="end"/>
        </w:r>
      </w:p>
    </w:sdtContent>
  </w:sdt>
  <w:p w14:paraId="7C95EEC5" w14:textId="77777777" w:rsidR="008C60A7" w:rsidRDefault="008C6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DB0E8" w14:textId="77777777" w:rsidR="008C60A7" w:rsidRDefault="008C60A7" w:rsidP="00F37191">
      <w:pPr>
        <w:spacing w:after="0" w:line="240" w:lineRule="auto"/>
      </w:pPr>
      <w:r>
        <w:separator/>
      </w:r>
    </w:p>
  </w:footnote>
  <w:footnote w:type="continuationSeparator" w:id="0">
    <w:p w14:paraId="1F91FF8B" w14:textId="77777777" w:rsidR="008C60A7" w:rsidRDefault="008C60A7" w:rsidP="00F37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5FE4"/>
    <w:multiLevelType w:val="hybridMultilevel"/>
    <w:tmpl w:val="8574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D4A82"/>
    <w:multiLevelType w:val="hybridMultilevel"/>
    <w:tmpl w:val="C262C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021DB"/>
    <w:multiLevelType w:val="hybridMultilevel"/>
    <w:tmpl w:val="578CF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D5CC0"/>
    <w:multiLevelType w:val="hybridMultilevel"/>
    <w:tmpl w:val="B0320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57E7C"/>
    <w:multiLevelType w:val="hybridMultilevel"/>
    <w:tmpl w:val="5A1C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42837"/>
    <w:multiLevelType w:val="hybridMultilevel"/>
    <w:tmpl w:val="62421272"/>
    <w:lvl w:ilvl="0" w:tplc="4B30EC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270CF"/>
    <w:multiLevelType w:val="hybridMultilevel"/>
    <w:tmpl w:val="8574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E203C"/>
    <w:multiLevelType w:val="multilevel"/>
    <w:tmpl w:val="A0FA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33F79"/>
    <w:multiLevelType w:val="hybridMultilevel"/>
    <w:tmpl w:val="7ADE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B0FA6"/>
    <w:multiLevelType w:val="hybridMultilevel"/>
    <w:tmpl w:val="F5BE2D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0176046"/>
    <w:multiLevelType w:val="hybridMultilevel"/>
    <w:tmpl w:val="07A0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90BE9"/>
    <w:multiLevelType w:val="hybridMultilevel"/>
    <w:tmpl w:val="3EF6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C63FB"/>
    <w:multiLevelType w:val="hybridMultilevel"/>
    <w:tmpl w:val="E2B0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11"/>
  </w:num>
  <w:num w:numId="5">
    <w:abstractNumId w:val="5"/>
  </w:num>
  <w:num w:numId="6">
    <w:abstractNumId w:val="1"/>
  </w:num>
  <w:num w:numId="7">
    <w:abstractNumId w:val="8"/>
  </w:num>
  <w:num w:numId="8">
    <w:abstractNumId w:val="9"/>
  </w:num>
  <w:num w:numId="9">
    <w:abstractNumId w:val="2"/>
  </w:num>
  <w:num w:numId="10">
    <w:abstractNumId w:val="3"/>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BB"/>
    <w:rsid w:val="000041C5"/>
    <w:rsid w:val="00005712"/>
    <w:rsid w:val="00005DCB"/>
    <w:rsid w:val="00006FB7"/>
    <w:rsid w:val="00007CB1"/>
    <w:rsid w:val="000108DF"/>
    <w:rsid w:val="00010FF8"/>
    <w:rsid w:val="00012049"/>
    <w:rsid w:val="00013FC1"/>
    <w:rsid w:val="00015B16"/>
    <w:rsid w:val="00017F1E"/>
    <w:rsid w:val="00020CB8"/>
    <w:rsid w:val="00022965"/>
    <w:rsid w:val="0002603D"/>
    <w:rsid w:val="00030D1F"/>
    <w:rsid w:val="00032040"/>
    <w:rsid w:val="0003639F"/>
    <w:rsid w:val="00037B33"/>
    <w:rsid w:val="000477EA"/>
    <w:rsid w:val="00050DB0"/>
    <w:rsid w:val="00050E86"/>
    <w:rsid w:val="00052298"/>
    <w:rsid w:val="000613A4"/>
    <w:rsid w:val="00063624"/>
    <w:rsid w:val="00067436"/>
    <w:rsid w:val="00072CE5"/>
    <w:rsid w:val="000762FA"/>
    <w:rsid w:val="00076EC8"/>
    <w:rsid w:val="0008174B"/>
    <w:rsid w:val="00082EFE"/>
    <w:rsid w:val="00086226"/>
    <w:rsid w:val="000866BB"/>
    <w:rsid w:val="000900CB"/>
    <w:rsid w:val="0009163F"/>
    <w:rsid w:val="000A0314"/>
    <w:rsid w:val="000A0B49"/>
    <w:rsid w:val="000A233A"/>
    <w:rsid w:val="000A6BD0"/>
    <w:rsid w:val="000B0584"/>
    <w:rsid w:val="000B48F3"/>
    <w:rsid w:val="000C4EAE"/>
    <w:rsid w:val="000C574A"/>
    <w:rsid w:val="000E27D6"/>
    <w:rsid w:val="000E3B49"/>
    <w:rsid w:val="000E3E54"/>
    <w:rsid w:val="000F037D"/>
    <w:rsid w:val="000F58D8"/>
    <w:rsid w:val="0010122E"/>
    <w:rsid w:val="00102454"/>
    <w:rsid w:val="001050AB"/>
    <w:rsid w:val="0010528A"/>
    <w:rsid w:val="00105DBA"/>
    <w:rsid w:val="00106851"/>
    <w:rsid w:val="00111EAB"/>
    <w:rsid w:val="00112472"/>
    <w:rsid w:val="00114799"/>
    <w:rsid w:val="00114923"/>
    <w:rsid w:val="00117A75"/>
    <w:rsid w:val="00123977"/>
    <w:rsid w:val="00126505"/>
    <w:rsid w:val="0013207D"/>
    <w:rsid w:val="00132870"/>
    <w:rsid w:val="001340AB"/>
    <w:rsid w:val="00135D50"/>
    <w:rsid w:val="001369E2"/>
    <w:rsid w:val="001404EC"/>
    <w:rsid w:val="00144D57"/>
    <w:rsid w:val="0014655D"/>
    <w:rsid w:val="00146AD9"/>
    <w:rsid w:val="0015178F"/>
    <w:rsid w:val="001611CE"/>
    <w:rsid w:val="00167E3B"/>
    <w:rsid w:val="001743BF"/>
    <w:rsid w:val="00174761"/>
    <w:rsid w:val="00174AB6"/>
    <w:rsid w:val="0017540F"/>
    <w:rsid w:val="0017555B"/>
    <w:rsid w:val="00176794"/>
    <w:rsid w:val="00176E28"/>
    <w:rsid w:val="00180C19"/>
    <w:rsid w:val="00182C56"/>
    <w:rsid w:val="00183FE0"/>
    <w:rsid w:val="0019015C"/>
    <w:rsid w:val="00190213"/>
    <w:rsid w:val="00190396"/>
    <w:rsid w:val="001920F7"/>
    <w:rsid w:val="001923B7"/>
    <w:rsid w:val="0019486E"/>
    <w:rsid w:val="00195CD3"/>
    <w:rsid w:val="001A19F5"/>
    <w:rsid w:val="001B4213"/>
    <w:rsid w:val="001B4739"/>
    <w:rsid w:val="001B51D8"/>
    <w:rsid w:val="001B64C2"/>
    <w:rsid w:val="001C0820"/>
    <w:rsid w:val="001C37BC"/>
    <w:rsid w:val="001D02E3"/>
    <w:rsid w:val="001D34DB"/>
    <w:rsid w:val="001D64D7"/>
    <w:rsid w:val="001D7B23"/>
    <w:rsid w:val="001E0302"/>
    <w:rsid w:val="001E08BC"/>
    <w:rsid w:val="001E0AAC"/>
    <w:rsid w:val="001E35F0"/>
    <w:rsid w:val="001E6346"/>
    <w:rsid w:val="001F1CD0"/>
    <w:rsid w:val="001F2661"/>
    <w:rsid w:val="001F55AD"/>
    <w:rsid w:val="001F5AC6"/>
    <w:rsid w:val="001F68CA"/>
    <w:rsid w:val="001F6917"/>
    <w:rsid w:val="001F6D2C"/>
    <w:rsid w:val="0020070C"/>
    <w:rsid w:val="00203014"/>
    <w:rsid w:val="00203B52"/>
    <w:rsid w:val="00204053"/>
    <w:rsid w:val="00206E8F"/>
    <w:rsid w:val="00206F6F"/>
    <w:rsid w:val="00222612"/>
    <w:rsid w:val="0023062C"/>
    <w:rsid w:val="00231235"/>
    <w:rsid w:val="00231957"/>
    <w:rsid w:val="002346B1"/>
    <w:rsid w:val="00234781"/>
    <w:rsid w:val="00240238"/>
    <w:rsid w:val="002414F0"/>
    <w:rsid w:val="00242FB2"/>
    <w:rsid w:val="0025406D"/>
    <w:rsid w:val="002544F8"/>
    <w:rsid w:val="00256533"/>
    <w:rsid w:val="002570DE"/>
    <w:rsid w:val="0026086B"/>
    <w:rsid w:val="00262DBC"/>
    <w:rsid w:val="002649B0"/>
    <w:rsid w:val="00267A10"/>
    <w:rsid w:val="00270217"/>
    <w:rsid w:val="0027732A"/>
    <w:rsid w:val="0027773F"/>
    <w:rsid w:val="00277742"/>
    <w:rsid w:val="00281D0F"/>
    <w:rsid w:val="002840CA"/>
    <w:rsid w:val="00286DCB"/>
    <w:rsid w:val="00287F37"/>
    <w:rsid w:val="0029020B"/>
    <w:rsid w:val="0029387D"/>
    <w:rsid w:val="00295EF4"/>
    <w:rsid w:val="002970D1"/>
    <w:rsid w:val="002975E1"/>
    <w:rsid w:val="002A1B48"/>
    <w:rsid w:val="002A68ED"/>
    <w:rsid w:val="002B178F"/>
    <w:rsid w:val="002B3771"/>
    <w:rsid w:val="002B3905"/>
    <w:rsid w:val="002B4436"/>
    <w:rsid w:val="002B6BB2"/>
    <w:rsid w:val="002C1FFB"/>
    <w:rsid w:val="002C5800"/>
    <w:rsid w:val="002C6E90"/>
    <w:rsid w:val="002C7C53"/>
    <w:rsid w:val="002D04A4"/>
    <w:rsid w:val="002D1B8F"/>
    <w:rsid w:val="002D2ACC"/>
    <w:rsid w:val="002D49EE"/>
    <w:rsid w:val="002D6965"/>
    <w:rsid w:val="002E02FA"/>
    <w:rsid w:val="002E1C7E"/>
    <w:rsid w:val="002E4C02"/>
    <w:rsid w:val="002E5CA7"/>
    <w:rsid w:val="002E778A"/>
    <w:rsid w:val="002E782C"/>
    <w:rsid w:val="003014D1"/>
    <w:rsid w:val="00306E4F"/>
    <w:rsid w:val="003106A2"/>
    <w:rsid w:val="00312580"/>
    <w:rsid w:val="00315C57"/>
    <w:rsid w:val="00316AB7"/>
    <w:rsid w:val="0032333A"/>
    <w:rsid w:val="0032375C"/>
    <w:rsid w:val="00325817"/>
    <w:rsid w:val="003276F9"/>
    <w:rsid w:val="00330667"/>
    <w:rsid w:val="00331CFF"/>
    <w:rsid w:val="00333FAD"/>
    <w:rsid w:val="003341EC"/>
    <w:rsid w:val="0033478B"/>
    <w:rsid w:val="003369B8"/>
    <w:rsid w:val="00336F9A"/>
    <w:rsid w:val="0034179D"/>
    <w:rsid w:val="00341A1C"/>
    <w:rsid w:val="00342566"/>
    <w:rsid w:val="00343FFB"/>
    <w:rsid w:val="003452EF"/>
    <w:rsid w:val="003534B2"/>
    <w:rsid w:val="00353640"/>
    <w:rsid w:val="003555E0"/>
    <w:rsid w:val="00355AB6"/>
    <w:rsid w:val="00355F3F"/>
    <w:rsid w:val="00356DE6"/>
    <w:rsid w:val="00362602"/>
    <w:rsid w:val="00363574"/>
    <w:rsid w:val="00367E13"/>
    <w:rsid w:val="00370C61"/>
    <w:rsid w:val="0037283A"/>
    <w:rsid w:val="00373A3F"/>
    <w:rsid w:val="003742BC"/>
    <w:rsid w:val="00380D99"/>
    <w:rsid w:val="0038163C"/>
    <w:rsid w:val="00383E4C"/>
    <w:rsid w:val="003855F7"/>
    <w:rsid w:val="003921ED"/>
    <w:rsid w:val="00392D82"/>
    <w:rsid w:val="00393A7A"/>
    <w:rsid w:val="00394331"/>
    <w:rsid w:val="003B05F2"/>
    <w:rsid w:val="003B2068"/>
    <w:rsid w:val="003B4F4F"/>
    <w:rsid w:val="003B549B"/>
    <w:rsid w:val="003C1A04"/>
    <w:rsid w:val="003C290C"/>
    <w:rsid w:val="003C6070"/>
    <w:rsid w:val="003D262D"/>
    <w:rsid w:val="003D7D6B"/>
    <w:rsid w:val="003E769C"/>
    <w:rsid w:val="003F23F7"/>
    <w:rsid w:val="003F2CE8"/>
    <w:rsid w:val="003F65C3"/>
    <w:rsid w:val="00400B52"/>
    <w:rsid w:val="00403AE4"/>
    <w:rsid w:val="0040504A"/>
    <w:rsid w:val="004065E0"/>
    <w:rsid w:val="0040678E"/>
    <w:rsid w:val="00406B16"/>
    <w:rsid w:val="00407F1E"/>
    <w:rsid w:val="00414D4B"/>
    <w:rsid w:val="00415B44"/>
    <w:rsid w:val="00420971"/>
    <w:rsid w:val="00422DE7"/>
    <w:rsid w:val="00423807"/>
    <w:rsid w:val="00424622"/>
    <w:rsid w:val="004256D2"/>
    <w:rsid w:val="00425E73"/>
    <w:rsid w:val="00431ADB"/>
    <w:rsid w:val="0043502A"/>
    <w:rsid w:val="0044170C"/>
    <w:rsid w:val="0044242C"/>
    <w:rsid w:val="00445512"/>
    <w:rsid w:val="00447703"/>
    <w:rsid w:val="00453C42"/>
    <w:rsid w:val="00453C9A"/>
    <w:rsid w:val="00454F37"/>
    <w:rsid w:val="0046472E"/>
    <w:rsid w:val="00470E19"/>
    <w:rsid w:val="00471A83"/>
    <w:rsid w:val="00472B94"/>
    <w:rsid w:val="004732B5"/>
    <w:rsid w:val="00476980"/>
    <w:rsid w:val="0048106F"/>
    <w:rsid w:val="004847CB"/>
    <w:rsid w:val="00485486"/>
    <w:rsid w:val="00491E6E"/>
    <w:rsid w:val="00493893"/>
    <w:rsid w:val="00495402"/>
    <w:rsid w:val="00496355"/>
    <w:rsid w:val="004974C5"/>
    <w:rsid w:val="004A2A0A"/>
    <w:rsid w:val="004A3210"/>
    <w:rsid w:val="004A5666"/>
    <w:rsid w:val="004A5F1B"/>
    <w:rsid w:val="004B25FE"/>
    <w:rsid w:val="004B3B04"/>
    <w:rsid w:val="004B63E1"/>
    <w:rsid w:val="004B78D9"/>
    <w:rsid w:val="004C1A65"/>
    <w:rsid w:val="004C415D"/>
    <w:rsid w:val="004C4853"/>
    <w:rsid w:val="004C64EC"/>
    <w:rsid w:val="004C7094"/>
    <w:rsid w:val="004C7367"/>
    <w:rsid w:val="004D0D1D"/>
    <w:rsid w:val="004D171D"/>
    <w:rsid w:val="004D49C1"/>
    <w:rsid w:val="004D5096"/>
    <w:rsid w:val="004E024D"/>
    <w:rsid w:val="004E47AB"/>
    <w:rsid w:val="004E7339"/>
    <w:rsid w:val="004E74CE"/>
    <w:rsid w:val="004F0083"/>
    <w:rsid w:val="004F1408"/>
    <w:rsid w:val="004F14BB"/>
    <w:rsid w:val="0050034D"/>
    <w:rsid w:val="00502790"/>
    <w:rsid w:val="00502C35"/>
    <w:rsid w:val="0051638B"/>
    <w:rsid w:val="0052027A"/>
    <w:rsid w:val="00520DEB"/>
    <w:rsid w:val="00523917"/>
    <w:rsid w:val="00524BBD"/>
    <w:rsid w:val="00527B3A"/>
    <w:rsid w:val="005302AF"/>
    <w:rsid w:val="00534C76"/>
    <w:rsid w:val="005406A2"/>
    <w:rsid w:val="00541B28"/>
    <w:rsid w:val="00546387"/>
    <w:rsid w:val="00547BA8"/>
    <w:rsid w:val="005535C8"/>
    <w:rsid w:val="00561457"/>
    <w:rsid w:val="00562B70"/>
    <w:rsid w:val="00565B43"/>
    <w:rsid w:val="00567F1D"/>
    <w:rsid w:val="00572DBC"/>
    <w:rsid w:val="00575633"/>
    <w:rsid w:val="00584CFB"/>
    <w:rsid w:val="00586609"/>
    <w:rsid w:val="005903F9"/>
    <w:rsid w:val="00592D66"/>
    <w:rsid w:val="0059394A"/>
    <w:rsid w:val="005A014C"/>
    <w:rsid w:val="005A3578"/>
    <w:rsid w:val="005A575D"/>
    <w:rsid w:val="005B0EE6"/>
    <w:rsid w:val="005B459A"/>
    <w:rsid w:val="005B549E"/>
    <w:rsid w:val="005C1AEA"/>
    <w:rsid w:val="005C29FF"/>
    <w:rsid w:val="005C30C7"/>
    <w:rsid w:val="005D196B"/>
    <w:rsid w:val="005D3B71"/>
    <w:rsid w:val="005D7DD5"/>
    <w:rsid w:val="005F36C9"/>
    <w:rsid w:val="006009E6"/>
    <w:rsid w:val="0060140C"/>
    <w:rsid w:val="00602430"/>
    <w:rsid w:val="00603D8C"/>
    <w:rsid w:val="00606355"/>
    <w:rsid w:val="0061433E"/>
    <w:rsid w:val="006265CB"/>
    <w:rsid w:val="00626615"/>
    <w:rsid w:val="00626CF5"/>
    <w:rsid w:val="0063319D"/>
    <w:rsid w:val="00634E66"/>
    <w:rsid w:val="006360E2"/>
    <w:rsid w:val="006417B7"/>
    <w:rsid w:val="00646DB4"/>
    <w:rsid w:val="00652AA1"/>
    <w:rsid w:val="00654B20"/>
    <w:rsid w:val="006551FB"/>
    <w:rsid w:val="00655B00"/>
    <w:rsid w:val="00661B52"/>
    <w:rsid w:val="00664425"/>
    <w:rsid w:val="00666E44"/>
    <w:rsid w:val="00672F42"/>
    <w:rsid w:val="00676EAD"/>
    <w:rsid w:val="006827D2"/>
    <w:rsid w:val="00687A23"/>
    <w:rsid w:val="00690853"/>
    <w:rsid w:val="00690F1D"/>
    <w:rsid w:val="006947C3"/>
    <w:rsid w:val="00695BEC"/>
    <w:rsid w:val="006A08DF"/>
    <w:rsid w:val="006A362D"/>
    <w:rsid w:val="006B2FD3"/>
    <w:rsid w:val="006B5CDB"/>
    <w:rsid w:val="006B6B4A"/>
    <w:rsid w:val="006C30D2"/>
    <w:rsid w:val="006C668A"/>
    <w:rsid w:val="006D3D73"/>
    <w:rsid w:val="006E35B8"/>
    <w:rsid w:val="006E636A"/>
    <w:rsid w:val="006F11C5"/>
    <w:rsid w:val="0070182D"/>
    <w:rsid w:val="00703D15"/>
    <w:rsid w:val="0070424A"/>
    <w:rsid w:val="00705675"/>
    <w:rsid w:val="007106AE"/>
    <w:rsid w:val="0071108D"/>
    <w:rsid w:val="007134BA"/>
    <w:rsid w:val="00714ED6"/>
    <w:rsid w:val="00716F50"/>
    <w:rsid w:val="00717C48"/>
    <w:rsid w:val="007219A0"/>
    <w:rsid w:val="00721AF7"/>
    <w:rsid w:val="00724413"/>
    <w:rsid w:val="00724455"/>
    <w:rsid w:val="00725C02"/>
    <w:rsid w:val="0072635A"/>
    <w:rsid w:val="00732FE8"/>
    <w:rsid w:val="00733700"/>
    <w:rsid w:val="00734579"/>
    <w:rsid w:val="00736EED"/>
    <w:rsid w:val="007370DE"/>
    <w:rsid w:val="007376CC"/>
    <w:rsid w:val="00737C21"/>
    <w:rsid w:val="00743303"/>
    <w:rsid w:val="00744E50"/>
    <w:rsid w:val="00745FF9"/>
    <w:rsid w:val="00746E08"/>
    <w:rsid w:val="00750569"/>
    <w:rsid w:val="007542EC"/>
    <w:rsid w:val="00756048"/>
    <w:rsid w:val="007571C3"/>
    <w:rsid w:val="00761E87"/>
    <w:rsid w:val="00763451"/>
    <w:rsid w:val="007678F4"/>
    <w:rsid w:val="00767AD6"/>
    <w:rsid w:val="0077071A"/>
    <w:rsid w:val="00774228"/>
    <w:rsid w:val="00774693"/>
    <w:rsid w:val="0077629D"/>
    <w:rsid w:val="00776418"/>
    <w:rsid w:val="0077667E"/>
    <w:rsid w:val="00777548"/>
    <w:rsid w:val="0078116E"/>
    <w:rsid w:val="00781F56"/>
    <w:rsid w:val="00784BF9"/>
    <w:rsid w:val="00794AC7"/>
    <w:rsid w:val="00794E37"/>
    <w:rsid w:val="0079643B"/>
    <w:rsid w:val="00796774"/>
    <w:rsid w:val="00797B06"/>
    <w:rsid w:val="007A0F7B"/>
    <w:rsid w:val="007A1FCD"/>
    <w:rsid w:val="007A3ECA"/>
    <w:rsid w:val="007A5E8D"/>
    <w:rsid w:val="007A7B98"/>
    <w:rsid w:val="007B05FB"/>
    <w:rsid w:val="007B284A"/>
    <w:rsid w:val="007C23A6"/>
    <w:rsid w:val="007C4332"/>
    <w:rsid w:val="007C45A2"/>
    <w:rsid w:val="007C6F90"/>
    <w:rsid w:val="007D4327"/>
    <w:rsid w:val="007D6D61"/>
    <w:rsid w:val="007E0AA4"/>
    <w:rsid w:val="007E0CB5"/>
    <w:rsid w:val="007E3DC2"/>
    <w:rsid w:val="007E57FE"/>
    <w:rsid w:val="007F05E2"/>
    <w:rsid w:val="007F2CB4"/>
    <w:rsid w:val="007F6B49"/>
    <w:rsid w:val="007F6FEB"/>
    <w:rsid w:val="0080001A"/>
    <w:rsid w:val="00803CD5"/>
    <w:rsid w:val="00804563"/>
    <w:rsid w:val="00804735"/>
    <w:rsid w:val="00805B1A"/>
    <w:rsid w:val="00806827"/>
    <w:rsid w:val="00807C3E"/>
    <w:rsid w:val="008114EB"/>
    <w:rsid w:val="00812417"/>
    <w:rsid w:val="008126FD"/>
    <w:rsid w:val="00813F52"/>
    <w:rsid w:val="00817CB4"/>
    <w:rsid w:val="00820FCC"/>
    <w:rsid w:val="008219F1"/>
    <w:rsid w:val="0082206D"/>
    <w:rsid w:val="00822D1E"/>
    <w:rsid w:val="00823B4D"/>
    <w:rsid w:val="00824C06"/>
    <w:rsid w:val="00825CB8"/>
    <w:rsid w:val="00826106"/>
    <w:rsid w:val="00826983"/>
    <w:rsid w:val="00831EFC"/>
    <w:rsid w:val="008343A8"/>
    <w:rsid w:val="00836B87"/>
    <w:rsid w:val="008414A9"/>
    <w:rsid w:val="0084453F"/>
    <w:rsid w:val="00844E6D"/>
    <w:rsid w:val="00851EB3"/>
    <w:rsid w:val="00857586"/>
    <w:rsid w:val="008615CA"/>
    <w:rsid w:val="008634AC"/>
    <w:rsid w:val="0086484A"/>
    <w:rsid w:val="00866E75"/>
    <w:rsid w:val="00871744"/>
    <w:rsid w:val="00873AD8"/>
    <w:rsid w:val="00875553"/>
    <w:rsid w:val="00877030"/>
    <w:rsid w:val="008778AC"/>
    <w:rsid w:val="008800ED"/>
    <w:rsid w:val="00886CE3"/>
    <w:rsid w:val="00890106"/>
    <w:rsid w:val="00893681"/>
    <w:rsid w:val="00897AFB"/>
    <w:rsid w:val="008A1851"/>
    <w:rsid w:val="008A370E"/>
    <w:rsid w:val="008A62E2"/>
    <w:rsid w:val="008A754A"/>
    <w:rsid w:val="008B1D70"/>
    <w:rsid w:val="008B2CDC"/>
    <w:rsid w:val="008B524A"/>
    <w:rsid w:val="008B5949"/>
    <w:rsid w:val="008B6405"/>
    <w:rsid w:val="008C0509"/>
    <w:rsid w:val="008C23D6"/>
    <w:rsid w:val="008C35B0"/>
    <w:rsid w:val="008C3E91"/>
    <w:rsid w:val="008C477C"/>
    <w:rsid w:val="008C60A7"/>
    <w:rsid w:val="008D4EAF"/>
    <w:rsid w:val="008D4FF8"/>
    <w:rsid w:val="008D7896"/>
    <w:rsid w:val="008D799C"/>
    <w:rsid w:val="008E2804"/>
    <w:rsid w:val="008E444F"/>
    <w:rsid w:val="008E4C1A"/>
    <w:rsid w:val="008F2AA6"/>
    <w:rsid w:val="00914AB9"/>
    <w:rsid w:val="00915899"/>
    <w:rsid w:val="009247CD"/>
    <w:rsid w:val="0092742F"/>
    <w:rsid w:val="00927C14"/>
    <w:rsid w:val="00933C49"/>
    <w:rsid w:val="0093779C"/>
    <w:rsid w:val="009423A6"/>
    <w:rsid w:val="00943650"/>
    <w:rsid w:val="0094581F"/>
    <w:rsid w:val="009471EA"/>
    <w:rsid w:val="00947622"/>
    <w:rsid w:val="00950BEF"/>
    <w:rsid w:val="00952381"/>
    <w:rsid w:val="00952487"/>
    <w:rsid w:val="009536A1"/>
    <w:rsid w:val="009573B9"/>
    <w:rsid w:val="00957FCE"/>
    <w:rsid w:val="00961A45"/>
    <w:rsid w:val="00965F9D"/>
    <w:rsid w:val="0096726B"/>
    <w:rsid w:val="00970509"/>
    <w:rsid w:val="00972223"/>
    <w:rsid w:val="00972A53"/>
    <w:rsid w:val="00975B14"/>
    <w:rsid w:val="00984FEA"/>
    <w:rsid w:val="00986445"/>
    <w:rsid w:val="00990065"/>
    <w:rsid w:val="00991976"/>
    <w:rsid w:val="00993445"/>
    <w:rsid w:val="00997791"/>
    <w:rsid w:val="009A438A"/>
    <w:rsid w:val="009A6D92"/>
    <w:rsid w:val="009B11AD"/>
    <w:rsid w:val="009B32BB"/>
    <w:rsid w:val="009B64EE"/>
    <w:rsid w:val="009B70FC"/>
    <w:rsid w:val="009C47F6"/>
    <w:rsid w:val="009C4DA9"/>
    <w:rsid w:val="009C6B64"/>
    <w:rsid w:val="009D6107"/>
    <w:rsid w:val="009E1F7A"/>
    <w:rsid w:val="009E2D9D"/>
    <w:rsid w:val="009F0B5A"/>
    <w:rsid w:val="009F7FDF"/>
    <w:rsid w:val="00A00D8E"/>
    <w:rsid w:val="00A0419B"/>
    <w:rsid w:val="00A126B0"/>
    <w:rsid w:val="00A136F5"/>
    <w:rsid w:val="00A15364"/>
    <w:rsid w:val="00A165FA"/>
    <w:rsid w:val="00A17427"/>
    <w:rsid w:val="00A1758E"/>
    <w:rsid w:val="00A20375"/>
    <w:rsid w:val="00A24F51"/>
    <w:rsid w:val="00A36991"/>
    <w:rsid w:val="00A374C1"/>
    <w:rsid w:val="00A44B86"/>
    <w:rsid w:val="00A45660"/>
    <w:rsid w:val="00A464B9"/>
    <w:rsid w:val="00A47489"/>
    <w:rsid w:val="00A5207F"/>
    <w:rsid w:val="00A533CD"/>
    <w:rsid w:val="00A5487C"/>
    <w:rsid w:val="00A55B8A"/>
    <w:rsid w:val="00A60CD8"/>
    <w:rsid w:val="00A73A94"/>
    <w:rsid w:val="00A7498D"/>
    <w:rsid w:val="00A8148E"/>
    <w:rsid w:val="00A8464F"/>
    <w:rsid w:val="00A86895"/>
    <w:rsid w:val="00A8698F"/>
    <w:rsid w:val="00A871D6"/>
    <w:rsid w:val="00A8770B"/>
    <w:rsid w:val="00A878E0"/>
    <w:rsid w:val="00A900DA"/>
    <w:rsid w:val="00A902FD"/>
    <w:rsid w:val="00A96200"/>
    <w:rsid w:val="00A97CBB"/>
    <w:rsid w:val="00AA2860"/>
    <w:rsid w:val="00AB2A1C"/>
    <w:rsid w:val="00AB343E"/>
    <w:rsid w:val="00AC0C21"/>
    <w:rsid w:val="00AC2269"/>
    <w:rsid w:val="00AC4BC4"/>
    <w:rsid w:val="00AC64AF"/>
    <w:rsid w:val="00AC64C7"/>
    <w:rsid w:val="00AD39EF"/>
    <w:rsid w:val="00AD3CC5"/>
    <w:rsid w:val="00AD44B8"/>
    <w:rsid w:val="00AD4C5A"/>
    <w:rsid w:val="00AE1E52"/>
    <w:rsid w:val="00AE2E68"/>
    <w:rsid w:val="00AE3062"/>
    <w:rsid w:val="00AE5EFD"/>
    <w:rsid w:val="00AE60DC"/>
    <w:rsid w:val="00AF14E4"/>
    <w:rsid w:val="00AF7091"/>
    <w:rsid w:val="00B0023D"/>
    <w:rsid w:val="00B0033E"/>
    <w:rsid w:val="00B068F0"/>
    <w:rsid w:val="00B07AB5"/>
    <w:rsid w:val="00B07AEB"/>
    <w:rsid w:val="00B22667"/>
    <w:rsid w:val="00B226BF"/>
    <w:rsid w:val="00B24CBC"/>
    <w:rsid w:val="00B26137"/>
    <w:rsid w:val="00B32723"/>
    <w:rsid w:val="00B34CF7"/>
    <w:rsid w:val="00B356CE"/>
    <w:rsid w:val="00B37B05"/>
    <w:rsid w:val="00B43717"/>
    <w:rsid w:val="00B45CD7"/>
    <w:rsid w:val="00B46139"/>
    <w:rsid w:val="00B47DFF"/>
    <w:rsid w:val="00B5051C"/>
    <w:rsid w:val="00B50BFD"/>
    <w:rsid w:val="00B608B2"/>
    <w:rsid w:val="00B62A96"/>
    <w:rsid w:val="00B64F2F"/>
    <w:rsid w:val="00B66617"/>
    <w:rsid w:val="00B67629"/>
    <w:rsid w:val="00B769C2"/>
    <w:rsid w:val="00B83B37"/>
    <w:rsid w:val="00B85DC3"/>
    <w:rsid w:val="00B90323"/>
    <w:rsid w:val="00B90338"/>
    <w:rsid w:val="00B96B46"/>
    <w:rsid w:val="00BA1F20"/>
    <w:rsid w:val="00BA2134"/>
    <w:rsid w:val="00BA54BB"/>
    <w:rsid w:val="00BA5D19"/>
    <w:rsid w:val="00BB1C60"/>
    <w:rsid w:val="00BB2571"/>
    <w:rsid w:val="00BB4169"/>
    <w:rsid w:val="00BB4DA5"/>
    <w:rsid w:val="00BB5BF4"/>
    <w:rsid w:val="00BC0300"/>
    <w:rsid w:val="00BC43D0"/>
    <w:rsid w:val="00BC4DC9"/>
    <w:rsid w:val="00BC5036"/>
    <w:rsid w:val="00BC67C1"/>
    <w:rsid w:val="00BC7108"/>
    <w:rsid w:val="00BD3322"/>
    <w:rsid w:val="00BD48D5"/>
    <w:rsid w:val="00BD511C"/>
    <w:rsid w:val="00BD5F49"/>
    <w:rsid w:val="00BD6DE2"/>
    <w:rsid w:val="00BE4006"/>
    <w:rsid w:val="00BE5F0E"/>
    <w:rsid w:val="00BF2367"/>
    <w:rsid w:val="00BF529A"/>
    <w:rsid w:val="00BF7585"/>
    <w:rsid w:val="00C008ED"/>
    <w:rsid w:val="00C04441"/>
    <w:rsid w:val="00C0453A"/>
    <w:rsid w:val="00C06E32"/>
    <w:rsid w:val="00C07841"/>
    <w:rsid w:val="00C07D5C"/>
    <w:rsid w:val="00C10385"/>
    <w:rsid w:val="00C128CA"/>
    <w:rsid w:val="00C1388C"/>
    <w:rsid w:val="00C17746"/>
    <w:rsid w:val="00C2080A"/>
    <w:rsid w:val="00C22B34"/>
    <w:rsid w:val="00C238FE"/>
    <w:rsid w:val="00C253E8"/>
    <w:rsid w:val="00C332C6"/>
    <w:rsid w:val="00C348D4"/>
    <w:rsid w:val="00C4756D"/>
    <w:rsid w:val="00C53105"/>
    <w:rsid w:val="00C57A31"/>
    <w:rsid w:val="00C62D8C"/>
    <w:rsid w:val="00C6327E"/>
    <w:rsid w:val="00C648AD"/>
    <w:rsid w:val="00C65460"/>
    <w:rsid w:val="00C66707"/>
    <w:rsid w:val="00C67951"/>
    <w:rsid w:val="00C67B0A"/>
    <w:rsid w:val="00C71BED"/>
    <w:rsid w:val="00C76745"/>
    <w:rsid w:val="00C821EF"/>
    <w:rsid w:val="00C851D2"/>
    <w:rsid w:val="00C9621A"/>
    <w:rsid w:val="00CA04AC"/>
    <w:rsid w:val="00CA0FF9"/>
    <w:rsid w:val="00CA478D"/>
    <w:rsid w:val="00CA53BB"/>
    <w:rsid w:val="00CB1853"/>
    <w:rsid w:val="00CB196F"/>
    <w:rsid w:val="00CB2DE7"/>
    <w:rsid w:val="00CB3823"/>
    <w:rsid w:val="00CB3A83"/>
    <w:rsid w:val="00CB4932"/>
    <w:rsid w:val="00CB57E6"/>
    <w:rsid w:val="00CB624F"/>
    <w:rsid w:val="00CC07DF"/>
    <w:rsid w:val="00CC2DC2"/>
    <w:rsid w:val="00CC5A75"/>
    <w:rsid w:val="00CD2DC6"/>
    <w:rsid w:val="00CD3650"/>
    <w:rsid w:val="00CE4D6F"/>
    <w:rsid w:val="00CF08A6"/>
    <w:rsid w:val="00CF14A5"/>
    <w:rsid w:val="00CF14D4"/>
    <w:rsid w:val="00CF1CF9"/>
    <w:rsid w:val="00CF4426"/>
    <w:rsid w:val="00CF50B6"/>
    <w:rsid w:val="00CF7AE6"/>
    <w:rsid w:val="00D00E09"/>
    <w:rsid w:val="00D014C2"/>
    <w:rsid w:val="00D02B54"/>
    <w:rsid w:val="00D06810"/>
    <w:rsid w:val="00D07AE4"/>
    <w:rsid w:val="00D100AE"/>
    <w:rsid w:val="00D1120C"/>
    <w:rsid w:val="00D2413D"/>
    <w:rsid w:val="00D24523"/>
    <w:rsid w:val="00D27336"/>
    <w:rsid w:val="00D27EB4"/>
    <w:rsid w:val="00D354AA"/>
    <w:rsid w:val="00D36611"/>
    <w:rsid w:val="00D3709E"/>
    <w:rsid w:val="00D43505"/>
    <w:rsid w:val="00D44C52"/>
    <w:rsid w:val="00D46331"/>
    <w:rsid w:val="00D5205C"/>
    <w:rsid w:val="00D52113"/>
    <w:rsid w:val="00D52F00"/>
    <w:rsid w:val="00D6166E"/>
    <w:rsid w:val="00D62AF5"/>
    <w:rsid w:val="00D66069"/>
    <w:rsid w:val="00D6608B"/>
    <w:rsid w:val="00D67C6A"/>
    <w:rsid w:val="00D73EDA"/>
    <w:rsid w:val="00D7475C"/>
    <w:rsid w:val="00D76A93"/>
    <w:rsid w:val="00D80BE4"/>
    <w:rsid w:val="00D82FA1"/>
    <w:rsid w:val="00D83238"/>
    <w:rsid w:val="00D83FCB"/>
    <w:rsid w:val="00D840AD"/>
    <w:rsid w:val="00D841AA"/>
    <w:rsid w:val="00D86C54"/>
    <w:rsid w:val="00D91EE4"/>
    <w:rsid w:val="00D92DB0"/>
    <w:rsid w:val="00D9381D"/>
    <w:rsid w:val="00D9439C"/>
    <w:rsid w:val="00D95E1F"/>
    <w:rsid w:val="00DB0559"/>
    <w:rsid w:val="00DB44F2"/>
    <w:rsid w:val="00DB7B0E"/>
    <w:rsid w:val="00DC1DA2"/>
    <w:rsid w:val="00DC1FF6"/>
    <w:rsid w:val="00DC524F"/>
    <w:rsid w:val="00DC55A9"/>
    <w:rsid w:val="00DD0771"/>
    <w:rsid w:val="00DD2ADA"/>
    <w:rsid w:val="00DD68DC"/>
    <w:rsid w:val="00DD7C5B"/>
    <w:rsid w:val="00DE28E8"/>
    <w:rsid w:val="00DE2CCC"/>
    <w:rsid w:val="00DE3CF9"/>
    <w:rsid w:val="00DE472E"/>
    <w:rsid w:val="00DE566E"/>
    <w:rsid w:val="00DF65F3"/>
    <w:rsid w:val="00E00D93"/>
    <w:rsid w:val="00E01A95"/>
    <w:rsid w:val="00E03196"/>
    <w:rsid w:val="00E07E2D"/>
    <w:rsid w:val="00E11ECB"/>
    <w:rsid w:val="00E13DF1"/>
    <w:rsid w:val="00E15185"/>
    <w:rsid w:val="00E16E7B"/>
    <w:rsid w:val="00E2122E"/>
    <w:rsid w:val="00E24AFF"/>
    <w:rsid w:val="00E252A9"/>
    <w:rsid w:val="00E2729C"/>
    <w:rsid w:val="00E27D9D"/>
    <w:rsid w:val="00E31FC4"/>
    <w:rsid w:val="00E3234E"/>
    <w:rsid w:val="00E3486F"/>
    <w:rsid w:val="00E34ABE"/>
    <w:rsid w:val="00E357C1"/>
    <w:rsid w:val="00E364C5"/>
    <w:rsid w:val="00E36F27"/>
    <w:rsid w:val="00E370FE"/>
    <w:rsid w:val="00E377AC"/>
    <w:rsid w:val="00E50963"/>
    <w:rsid w:val="00E53128"/>
    <w:rsid w:val="00E5384C"/>
    <w:rsid w:val="00E5626B"/>
    <w:rsid w:val="00E57FFC"/>
    <w:rsid w:val="00E602FF"/>
    <w:rsid w:val="00E62E19"/>
    <w:rsid w:val="00E64C27"/>
    <w:rsid w:val="00E64C78"/>
    <w:rsid w:val="00E66C56"/>
    <w:rsid w:val="00E70951"/>
    <w:rsid w:val="00E75573"/>
    <w:rsid w:val="00E77B2E"/>
    <w:rsid w:val="00E8151F"/>
    <w:rsid w:val="00E82536"/>
    <w:rsid w:val="00E840FD"/>
    <w:rsid w:val="00E9136A"/>
    <w:rsid w:val="00E95665"/>
    <w:rsid w:val="00EA0DB3"/>
    <w:rsid w:val="00EA561A"/>
    <w:rsid w:val="00EB1BC8"/>
    <w:rsid w:val="00EB286B"/>
    <w:rsid w:val="00EB2B28"/>
    <w:rsid w:val="00EB4F8E"/>
    <w:rsid w:val="00EB575C"/>
    <w:rsid w:val="00EB6D6A"/>
    <w:rsid w:val="00EC1312"/>
    <w:rsid w:val="00EC41BC"/>
    <w:rsid w:val="00EC5D4E"/>
    <w:rsid w:val="00EC6A32"/>
    <w:rsid w:val="00ED09CF"/>
    <w:rsid w:val="00ED1957"/>
    <w:rsid w:val="00ED208F"/>
    <w:rsid w:val="00ED5AE4"/>
    <w:rsid w:val="00ED5DF5"/>
    <w:rsid w:val="00ED5F6C"/>
    <w:rsid w:val="00EE066A"/>
    <w:rsid w:val="00EE20A8"/>
    <w:rsid w:val="00EE3A64"/>
    <w:rsid w:val="00EF0060"/>
    <w:rsid w:val="00EF133B"/>
    <w:rsid w:val="00EF6826"/>
    <w:rsid w:val="00F02E9D"/>
    <w:rsid w:val="00F04482"/>
    <w:rsid w:val="00F13DA3"/>
    <w:rsid w:val="00F16C46"/>
    <w:rsid w:val="00F2035D"/>
    <w:rsid w:val="00F209ED"/>
    <w:rsid w:val="00F21E16"/>
    <w:rsid w:val="00F2350C"/>
    <w:rsid w:val="00F239E6"/>
    <w:rsid w:val="00F23D4D"/>
    <w:rsid w:val="00F23DE3"/>
    <w:rsid w:val="00F264F5"/>
    <w:rsid w:val="00F303CB"/>
    <w:rsid w:val="00F32A52"/>
    <w:rsid w:val="00F35621"/>
    <w:rsid w:val="00F37191"/>
    <w:rsid w:val="00F4032F"/>
    <w:rsid w:val="00F40E37"/>
    <w:rsid w:val="00F52570"/>
    <w:rsid w:val="00F53E9D"/>
    <w:rsid w:val="00F54FB8"/>
    <w:rsid w:val="00F554B1"/>
    <w:rsid w:val="00F61E01"/>
    <w:rsid w:val="00F62D49"/>
    <w:rsid w:val="00F633B9"/>
    <w:rsid w:val="00F65B10"/>
    <w:rsid w:val="00F7384B"/>
    <w:rsid w:val="00F84D75"/>
    <w:rsid w:val="00F91F62"/>
    <w:rsid w:val="00F92358"/>
    <w:rsid w:val="00F943B8"/>
    <w:rsid w:val="00F959DA"/>
    <w:rsid w:val="00F96701"/>
    <w:rsid w:val="00FA0BE0"/>
    <w:rsid w:val="00FA1565"/>
    <w:rsid w:val="00FA1C79"/>
    <w:rsid w:val="00FA2E0B"/>
    <w:rsid w:val="00FA31E4"/>
    <w:rsid w:val="00FA480B"/>
    <w:rsid w:val="00FA6626"/>
    <w:rsid w:val="00FA6C00"/>
    <w:rsid w:val="00FA6EBB"/>
    <w:rsid w:val="00FA7A4D"/>
    <w:rsid w:val="00FB0270"/>
    <w:rsid w:val="00FB4D05"/>
    <w:rsid w:val="00FB56CC"/>
    <w:rsid w:val="00FB5DE8"/>
    <w:rsid w:val="00FC1DE5"/>
    <w:rsid w:val="00FD6E62"/>
    <w:rsid w:val="00FE342C"/>
    <w:rsid w:val="00FE399F"/>
    <w:rsid w:val="00FE3D92"/>
    <w:rsid w:val="00FE422D"/>
    <w:rsid w:val="00FE7B71"/>
    <w:rsid w:val="00FF0653"/>
    <w:rsid w:val="00FF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6D2E1A"/>
  <w15:chartTrackingRefBased/>
  <w15:docId w15:val="{8C93E7C9-3975-4203-979B-3913ABE4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E4F"/>
    <w:rPr>
      <w:rFonts w:ascii="Times New Roman" w:hAnsi="Times New Roman"/>
      <w:sz w:val="24"/>
    </w:rPr>
  </w:style>
  <w:style w:type="paragraph" w:styleId="Heading1">
    <w:name w:val="heading 1"/>
    <w:basedOn w:val="Normal"/>
    <w:next w:val="Normal"/>
    <w:link w:val="Heading1Char"/>
    <w:uiPriority w:val="9"/>
    <w:qFormat/>
    <w:rsid w:val="00FE399F"/>
    <w:pPr>
      <w:keepNext/>
      <w:keepLines/>
      <w:spacing w:after="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00D8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34C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9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A00D8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97CB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A97CBB"/>
    <w:rPr>
      <w:i/>
      <w:iCs/>
    </w:rPr>
  </w:style>
  <w:style w:type="paragraph" w:styleId="Header">
    <w:name w:val="header"/>
    <w:basedOn w:val="Normal"/>
    <w:link w:val="HeaderChar"/>
    <w:uiPriority w:val="99"/>
    <w:unhideWhenUsed/>
    <w:rsid w:val="00F37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191"/>
  </w:style>
  <w:style w:type="paragraph" w:styleId="Footer">
    <w:name w:val="footer"/>
    <w:basedOn w:val="Normal"/>
    <w:link w:val="FooterChar"/>
    <w:uiPriority w:val="99"/>
    <w:unhideWhenUsed/>
    <w:rsid w:val="00F37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191"/>
  </w:style>
  <w:style w:type="paragraph" w:styleId="TOCHeading">
    <w:name w:val="TOC Heading"/>
    <w:basedOn w:val="Heading1"/>
    <w:next w:val="Normal"/>
    <w:uiPriority w:val="39"/>
    <w:unhideWhenUsed/>
    <w:qFormat/>
    <w:rsid w:val="00C851D2"/>
    <w:pPr>
      <w:outlineLvl w:val="9"/>
    </w:pPr>
  </w:style>
  <w:style w:type="paragraph" w:styleId="TOC2">
    <w:name w:val="toc 2"/>
    <w:basedOn w:val="Normal"/>
    <w:next w:val="Normal"/>
    <w:autoRedefine/>
    <w:uiPriority w:val="39"/>
    <w:unhideWhenUsed/>
    <w:rsid w:val="00C851D2"/>
    <w:pPr>
      <w:spacing w:before="120" w:after="0"/>
      <w:ind w:left="240"/>
    </w:pPr>
    <w:rPr>
      <w:rFonts w:asciiTheme="minorHAnsi" w:hAnsiTheme="minorHAnsi" w:cstheme="minorHAnsi"/>
      <w:b/>
      <w:bCs/>
      <w:sz w:val="22"/>
    </w:rPr>
  </w:style>
  <w:style w:type="paragraph" w:styleId="TOC1">
    <w:name w:val="toc 1"/>
    <w:basedOn w:val="Normal"/>
    <w:next w:val="Normal"/>
    <w:autoRedefine/>
    <w:uiPriority w:val="39"/>
    <w:unhideWhenUsed/>
    <w:rsid w:val="00C851D2"/>
    <w:pPr>
      <w:spacing w:before="120" w:after="0"/>
    </w:pPr>
    <w:rPr>
      <w:rFonts w:asciiTheme="minorHAnsi" w:hAnsiTheme="minorHAnsi" w:cstheme="minorHAnsi"/>
      <w:b/>
      <w:bCs/>
      <w:i/>
      <w:iCs/>
      <w:szCs w:val="24"/>
    </w:rPr>
  </w:style>
  <w:style w:type="paragraph" w:styleId="TOC3">
    <w:name w:val="toc 3"/>
    <w:basedOn w:val="Normal"/>
    <w:next w:val="Normal"/>
    <w:autoRedefine/>
    <w:uiPriority w:val="39"/>
    <w:unhideWhenUsed/>
    <w:rsid w:val="00C851D2"/>
    <w:pPr>
      <w:spacing w:after="0"/>
      <w:ind w:left="480"/>
    </w:pPr>
    <w:rPr>
      <w:rFonts w:asciiTheme="minorHAnsi" w:hAnsiTheme="minorHAnsi" w:cstheme="minorHAnsi"/>
      <w:sz w:val="20"/>
      <w:szCs w:val="20"/>
    </w:rPr>
  </w:style>
  <w:style w:type="character" w:styleId="Hyperlink">
    <w:name w:val="Hyperlink"/>
    <w:basedOn w:val="DefaultParagraphFont"/>
    <w:uiPriority w:val="99"/>
    <w:unhideWhenUsed/>
    <w:rsid w:val="00C851D2"/>
    <w:rPr>
      <w:color w:val="0563C1" w:themeColor="hyperlink"/>
      <w:u w:val="single"/>
    </w:rPr>
  </w:style>
  <w:style w:type="character" w:styleId="LineNumber">
    <w:name w:val="line number"/>
    <w:basedOn w:val="DefaultParagraphFont"/>
    <w:uiPriority w:val="99"/>
    <w:semiHidden/>
    <w:unhideWhenUsed/>
    <w:rsid w:val="00C851D2"/>
  </w:style>
  <w:style w:type="character" w:styleId="CommentReference">
    <w:name w:val="annotation reference"/>
    <w:basedOn w:val="DefaultParagraphFont"/>
    <w:uiPriority w:val="99"/>
    <w:semiHidden/>
    <w:unhideWhenUsed/>
    <w:rsid w:val="00C851D2"/>
    <w:rPr>
      <w:sz w:val="16"/>
      <w:szCs w:val="16"/>
    </w:rPr>
  </w:style>
  <w:style w:type="paragraph" w:styleId="CommentText">
    <w:name w:val="annotation text"/>
    <w:basedOn w:val="Normal"/>
    <w:link w:val="CommentTextChar"/>
    <w:uiPriority w:val="99"/>
    <w:unhideWhenUsed/>
    <w:rsid w:val="00C851D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C851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1D2"/>
    <w:rPr>
      <w:b/>
      <w:bCs/>
    </w:rPr>
  </w:style>
  <w:style w:type="character" w:customStyle="1" w:styleId="CommentSubjectChar">
    <w:name w:val="Comment Subject Char"/>
    <w:basedOn w:val="CommentTextChar"/>
    <w:link w:val="CommentSubject"/>
    <w:uiPriority w:val="99"/>
    <w:semiHidden/>
    <w:rsid w:val="00C851D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851D2"/>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51D2"/>
    <w:rPr>
      <w:rFonts w:ascii="Segoe UI" w:eastAsia="Times New Roman" w:hAnsi="Segoe UI" w:cs="Segoe UI"/>
      <w:sz w:val="18"/>
      <w:szCs w:val="18"/>
    </w:rPr>
  </w:style>
  <w:style w:type="paragraph" w:styleId="Bibliography">
    <w:name w:val="Bibliography"/>
    <w:basedOn w:val="Normal"/>
    <w:next w:val="Normal"/>
    <w:uiPriority w:val="37"/>
    <w:unhideWhenUsed/>
    <w:rsid w:val="00C851D2"/>
    <w:pPr>
      <w:tabs>
        <w:tab w:val="left" w:pos="504"/>
      </w:tabs>
      <w:spacing w:after="240" w:line="240" w:lineRule="auto"/>
      <w:ind w:left="504" w:hanging="504"/>
    </w:pPr>
    <w:rPr>
      <w:rFonts w:eastAsia="Times New Roman" w:cs="Times New Roman"/>
      <w:szCs w:val="24"/>
    </w:rPr>
  </w:style>
  <w:style w:type="paragraph" w:styleId="Revision">
    <w:name w:val="Revision"/>
    <w:hidden/>
    <w:uiPriority w:val="99"/>
    <w:semiHidden/>
    <w:rsid w:val="00C851D2"/>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851D2"/>
    <w:rPr>
      <w:color w:val="954F72" w:themeColor="followedHyperlink"/>
      <w:u w:val="single"/>
    </w:rPr>
  </w:style>
  <w:style w:type="paragraph" w:customStyle="1" w:styleId="DissertationStyle">
    <w:name w:val="DissertationStyle"/>
    <w:basedOn w:val="Heading1"/>
    <w:link w:val="DissertationStyleChar"/>
    <w:qFormat/>
    <w:rsid w:val="002C6E90"/>
    <w:pPr>
      <w:spacing w:after="120"/>
    </w:pPr>
    <w:rPr>
      <w:rFonts w:cs="Times New Roman"/>
    </w:rPr>
  </w:style>
  <w:style w:type="character" w:customStyle="1" w:styleId="DissertationStyleChar">
    <w:name w:val="DissertationStyle Char"/>
    <w:basedOn w:val="Heading1Char"/>
    <w:link w:val="DissertationStyle"/>
    <w:rsid w:val="002C6E90"/>
    <w:rPr>
      <w:rFonts w:ascii="Times New Roman" w:eastAsiaTheme="majorEastAsia" w:hAnsi="Times New Roman" w:cs="Times New Roman"/>
      <w:b/>
      <w:sz w:val="24"/>
      <w:szCs w:val="32"/>
    </w:rPr>
  </w:style>
  <w:style w:type="paragraph" w:styleId="Caption">
    <w:name w:val="caption"/>
    <w:basedOn w:val="Normal"/>
    <w:next w:val="Normal"/>
    <w:uiPriority w:val="35"/>
    <w:unhideWhenUsed/>
    <w:qFormat/>
    <w:rsid w:val="00A00D8E"/>
    <w:pPr>
      <w:spacing w:after="200" w:line="240" w:lineRule="auto"/>
    </w:pPr>
    <w:rPr>
      <w:b/>
      <w:bCs/>
      <w:color w:val="5B9BD5" w:themeColor="accent1"/>
      <w:sz w:val="18"/>
      <w:szCs w:val="18"/>
    </w:rPr>
  </w:style>
  <w:style w:type="paragraph" w:styleId="ListParagraph">
    <w:name w:val="List Paragraph"/>
    <w:basedOn w:val="Normal"/>
    <w:uiPriority w:val="34"/>
    <w:qFormat/>
    <w:rsid w:val="00A00D8E"/>
    <w:pPr>
      <w:spacing w:after="0" w:line="240" w:lineRule="auto"/>
      <w:ind w:left="720"/>
      <w:contextualSpacing/>
    </w:pPr>
    <w:rPr>
      <w:rFonts w:eastAsia="Times New Roman" w:cs="Times New Roman"/>
      <w:szCs w:val="24"/>
    </w:rPr>
  </w:style>
  <w:style w:type="paragraph" w:customStyle="1" w:styleId="Figure">
    <w:name w:val="Figure"/>
    <w:basedOn w:val="Normal"/>
    <w:link w:val="FigureChar"/>
    <w:qFormat/>
    <w:rsid w:val="00306E4F"/>
    <w:rPr>
      <w:rFonts w:cs="Times New Roman"/>
      <w:noProof/>
      <w:szCs w:val="24"/>
    </w:rPr>
  </w:style>
  <w:style w:type="paragraph" w:customStyle="1" w:styleId="Table">
    <w:name w:val="Table"/>
    <w:basedOn w:val="Normal"/>
    <w:link w:val="TableChar"/>
    <w:qFormat/>
    <w:rsid w:val="008219F1"/>
    <w:rPr>
      <w:rFonts w:cs="Times New Roman"/>
      <w:szCs w:val="24"/>
    </w:rPr>
  </w:style>
  <w:style w:type="paragraph" w:styleId="Quote">
    <w:name w:val="Quote"/>
    <w:basedOn w:val="Normal"/>
    <w:next w:val="Normal"/>
    <w:link w:val="QuoteChar"/>
    <w:uiPriority w:val="29"/>
    <w:qFormat/>
    <w:rsid w:val="008219F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219F1"/>
    <w:rPr>
      <w:i/>
      <w:iCs/>
      <w:color w:val="404040" w:themeColor="text1" w:themeTint="BF"/>
    </w:rPr>
  </w:style>
  <w:style w:type="character" w:customStyle="1" w:styleId="FigureChar">
    <w:name w:val="Figure Char"/>
    <w:basedOn w:val="DefaultParagraphFont"/>
    <w:link w:val="Figure"/>
    <w:rsid w:val="00306E4F"/>
    <w:rPr>
      <w:rFonts w:ascii="Times New Roman" w:hAnsi="Times New Roman" w:cs="Times New Roman"/>
      <w:noProof/>
      <w:sz w:val="24"/>
      <w:szCs w:val="24"/>
    </w:rPr>
  </w:style>
  <w:style w:type="paragraph" w:styleId="TableofFigures">
    <w:name w:val="table of figures"/>
    <w:basedOn w:val="Normal"/>
    <w:next w:val="Normal"/>
    <w:uiPriority w:val="99"/>
    <w:unhideWhenUsed/>
    <w:rsid w:val="0040504A"/>
    <w:pPr>
      <w:spacing w:after="0"/>
    </w:pPr>
    <w:rPr>
      <w:rFonts w:asciiTheme="minorHAnsi" w:hAnsiTheme="minorHAnsi" w:cstheme="minorHAnsi"/>
      <w:i/>
      <w:iCs/>
      <w:sz w:val="20"/>
      <w:szCs w:val="20"/>
    </w:rPr>
  </w:style>
  <w:style w:type="character" w:customStyle="1" w:styleId="TableChar">
    <w:name w:val="Table Char"/>
    <w:basedOn w:val="DefaultParagraphFont"/>
    <w:link w:val="Table"/>
    <w:rsid w:val="00306E4F"/>
    <w:rPr>
      <w:rFonts w:ascii="Times New Roman" w:hAnsi="Times New Roman" w:cs="Times New Roman"/>
      <w:sz w:val="24"/>
      <w:szCs w:val="24"/>
    </w:rPr>
  </w:style>
  <w:style w:type="paragraph" w:customStyle="1" w:styleId="nothing">
    <w:name w:val="nothing"/>
    <w:basedOn w:val="Figure"/>
    <w:link w:val="nothingChar"/>
    <w:qFormat/>
    <w:rsid w:val="00306E4F"/>
  </w:style>
  <w:style w:type="character" w:customStyle="1" w:styleId="mixed-citation">
    <w:name w:val="mixed-citation"/>
    <w:basedOn w:val="DefaultParagraphFont"/>
    <w:rsid w:val="003C290C"/>
  </w:style>
  <w:style w:type="character" w:customStyle="1" w:styleId="nothingChar">
    <w:name w:val="nothing Char"/>
    <w:basedOn w:val="FigureChar"/>
    <w:link w:val="nothing"/>
    <w:rsid w:val="00306E4F"/>
    <w:rPr>
      <w:rFonts w:ascii="Times New Roman" w:hAnsi="Times New Roman" w:cs="Times New Roman"/>
      <w:noProof/>
      <w:sz w:val="24"/>
      <w:szCs w:val="24"/>
    </w:rPr>
  </w:style>
  <w:style w:type="character" w:customStyle="1" w:styleId="ref-journal">
    <w:name w:val="ref-journal"/>
    <w:basedOn w:val="DefaultParagraphFont"/>
    <w:rsid w:val="003C290C"/>
  </w:style>
  <w:style w:type="character" w:customStyle="1" w:styleId="ref-vol">
    <w:name w:val="ref-vol"/>
    <w:basedOn w:val="DefaultParagraphFont"/>
    <w:rsid w:val="003C290C"/>
  </w:style>
  <w:style w:type="character" w:customStyle="1" w:styleId="EndNoteBibliographyChar">
    <w:name w:val="EndNote Bibliography Char"/>
    <w:basedOn w:val="DefaultParagraphFont"/>
    <w:link w:val="EndNoteBibliography"/>
    <w:locked/>
    <w:rsid w:val="00167E3B"/>
    <w:rPr>
      <w:rFonts w:ascii="Calibri" w:hAnsi="Calibri"/>
      <w:noProof/>
    </w:rPr>
  </w:style>
  <w:style w:type="paragraph" w:customStyle="1" w:styleId="EndNoteBibliography">
    <w:name w:val="EndNote Bibliography"/>
    <w:basedOn w:val="Normal"/>
    <w:link w:val="EndNoteBibliographyChar"/>
    <w:rsid w:val="00167E3B"/>
    <w:pPr>
      <w:spacing w:line="240" w:lineRule="auto"/>
    </w:pPr>
    <w:rPr>
      <w:rFonts w:ascii="Calibri" w:hAnsi="Calibri"/>
      <w:noProof/>
      <w:sz w:val="22"/>
    </w:rPr>
  </w:style>
  <w:style w:type="character" w:customStyle="1" w:styleId="Mention1">
    <w:name w:val="Mention1"/>
    <w:basedOn w:val="DefaultParagraphFont"/>
    <w:uiPriority w:val="99"/>
    <w:semiHidden/>
    <w:unhideWhenUsed/>
    <w:rsid w:val="00167E3B"/>
    <w:rPr>
      <w:color w:val="2B579A"/>
      <w:shd w:val="clear" w:color="auto" w:fill="E6E6E6"/>
    </w:rPr>
  </w:style>
  <w:style w:type="table" w:styleId="TableGrid">
    <w:name w:val="Table Grid"/>
    <w:basedOn w:val="TableNormal"/>
    <w:uiPriority w:val="39"/>
    <w:rsid w:val="00167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167E3B"/>
    <w:rPr>
      <w:color w:val="2B579A"/>
      <w:shd w:val="clear" w:color="auto" w:fill="E6E6E6"/>
    </w:rPr>
  </w:style>
  <w:style w:type="paragraph" w:customStyle="1" w:styleId="Subtitle1">
    <w:name w:val="Subtitle1"/>
    <w:basedOn w:val="Normal"/>
    <w:qFormat/>
    <w:rsid w:val="003106A2"/>
    <w:pPr>
      <w:spacing w:line="480" w:lineRule="auto"/>
    </w:pPr>
    <w:rPr>
      <w:b/>
    </w:rPr>
  </w:style>
  <w:style w:type="paragraph" w:styleId="NoSpacing">
    <w:name w:val="No Spacing"/>
    <w:uiPriority w:val="1"/>
    <w:qFormat/>
    <w:rsid w:val="003106A2"/>
    <w:pPr>
      <w:spacing w:after="0" w:line="240" w:lineRule="auto"/>
    </w:pPr>
    <w:rPr>
      <w:rFonts w:ascii="Times New Roman" w:hAnsi="Times New Roman"/>
      <w:sz w:val="24"/>
    </w:rPr>
  </w:style>
  <w:style w:type="character" w:customStyle="1" w:styleId="Heading3Char">
    <w:name w:val="Heading 3 Char"/>
    <w:basedOn w:val="DefaultParagraphFont"/>
    <w:link w:val="Heading3"/>
    <w:uiPriority w:val="9"/>
    <w:semiHidden/>
    <w:rsid w:val="00B34CF7"/>
    <w:rPr>
      <w:rFonts w:asciiTheme="majorHAnsi" w:eastAsiaTheme="majorEastAsia" w:hAnsiTheme="majorHAnsi" w:cstheme="majorBidi"/>
      <w:color w:val="1F4D78" w:themeColor="accent1" w:themeShade="7F"/>
      <w:sz w:val="24"/>
      <w:szCs w:val="24"/>
    </w:rPr>
  </w:style>
  <w:style w:type="paragraph" w:styleId="TOC4">
    <w:name w:val="toc 4"/>
    <w:basedOn w:val="Normal"/>
    <w:next w:val="Normal"/>
    <w:autoRedefine/>
    <w:uiPriority w:val="39"/>
    <w:unhideWhenUsed/>
    <w:rsid w:val="00B34CF7"/>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B34CF7"/>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B34CF7"/>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B34CF7"/>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B34CF7"/>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B34CF7"/>
    <w:pPr>
      <w:spacing w:after="0"/>
      <w:ind w:left="1920"/>
    </w:pPr>
    <w:rPr>
      <w:rFonts w:asciiTheme="minorHAnsi" w:hAnsiTheme="minorHAnsi" w:cstheme="minorHAnsi"/>
      <w:sz w:val="20"/>
      <w:szCs w:val="20"/>
    </w:rPr>
  </w:style>
  <w:style w:type="paragraph" w:styleId="Subtitle">
    <w:name w:val="Subtitle"/>
    <w:basedOn w:val="Normal"/>
    <w:next w:val="Normal"/>
    <w:link w:val="SubtitleChar"/>
    <w:uiPriority w:val="11"/>
    <w:qFormat/>
    <w:rsid w:val="001C37BC"/>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C37BC"/>
    <w:rPr>
      <w:rFonts w:eastAsiaTheme="minorEastAsia"/>
      <w:color w:val="5A5A5A" w:themeColor="text1" w:themeTint="A5"/>
      <w:spacing w:val="15"/>
    </w:rPr>
  </w:style>
  <w:style w:type="character" w:styleId="PlaceholderText">
    <w:name w:val="Placeholder Text"/>
    <w:basedOn w:val="DefaultParagraphFont"/>
    <w:uiPriority w:val="99"/>
    <w:semiHidden/>
    <w:rsid w:val="0080001A"/>
    <w:rPr>
      <w:color w:val="808080"/>
    </w:rPr>
  </w:style>
  <w:style w:type="character" w:customStyle="1" w:styleId="current-selection">
    <w:name w:val="current-selection"/>
    <w:basedOn w:val="DefaultParagraphFont"/>
    <w:rsid w:val="00FB4D05"/>
  </w:style>
  <w:style w:type="character" w:customStyle="1" w:styleId="a">
    <w:name w:val="_"/>
    <w:basedOn w:val="DefaultParagraphFont"/>
    <w:rsid w:val="00FB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16552">
      <w:bodyDiv w:val="1"/>
      <w:marLeft w:val="0"/>
      <w:marRight w:val="0"/>
      <w:marTop w:val="0"/>
      <w:marBottom w:val="0"/>
      <w:divBdr>
        <w:top w:val="none" w:sz="0" w:space="0" w:color="auto"/>
        <w:left w:val="none" w:sz="0" w:space="0" w:color="auto"/>
        <w:bottom w:val="none" w:sz="0" w:space="0" w:color="auto"/>
        <w:right w:val="none" w:sz="0" w:space="0" w:color="auto"/>
      </w:divBdr>
    </w:div>
    <w:div w:id="310253306">
      <w:bodyDiv w:val="1"/>
      <w:marLeft w:val="0"/>
      <w:marRight w:val="0"/>
      <w:marTop w:val="0"/>
      <w:marBottom w:val="0"/>
      <w:divBdr>
        <w:top w:val="none" w:sz="0" w:space="0" w:color="auto"/>
        <w:left w:val="none" w:sz="0" w:space="0" w:color="auto"/>
        <w:bottom w:val="none" w:sz="0" w:space="0" w:color="auto"/>
        <w:right w:val="none" w:sz="0" w:space="0" w:color="auto"/>
      </w:divBdr>
    </w:div>
    <w:div w:id="418402919">
      <w:bodyDiv w:val="1"/>
      <w:marLeft w:val="0"/>
      <w:marRight w:val="0"/>
      <w:marTop w:val="0"/>
      <w:marBottom w:val="0"/>
      <w:divBdr>
        <w:top w:val="none" w:sz="0" w:space="0" w:color="auto"/>
        <w:left w:val="none" w:sz="0" w:space="0" w:color="auto"/>
        <w:bottom w:val="none" w:sz="0" w:space="0" w:color="auto"/>
        <w:right w:val="none" w:sz="0" w:space="0" w:color="auto"/>
      </w:divBdr>
    </w:div>
    <w:div w:id="422069629">
      <w:bodyDiv w:val="1"/>
      <w:marLeft w:val="0"/>
      <w:marRight w:val="0"/>
      <w:marTop w:val="0"/>
      <w:marBottom w:val="0"/>
      <w:divBdr>
        <w:top w:val="none" w:sz="0" w:space="0" w:color="auto"/>
        <w:left w:val="none" w:sz="0" w:space="0" w:color="auto"/>
        <w:bottom w:val="none" w:sz="0" w:space="0" w:color="auto"/>
        <w:right w:val="none" w:sz="0" w:space="0" w:color="auto"/>
      </w:divBdr>
    </w:div>
    <w:div w:id="610473854">
      <w:bodyDiv w:val="1"/>
      <w:marLeft w:val="0"/>
      <w:marRight w:val="0"/>
      <w:marTop w:val="0"/>
      <w:marBottom w:val="0"/>
      <w:divBdr>
        <w:top w:val="none" w:sz="0" w:space="0" w:color="auto"/>
        <w:left w:val="none" w:sz="0" w:space="0" w:color="auto"/>
        <w:bottom w:val="none" w:sz="0" w:space="0" w:color="auto"/>
        <w:right w:val="none" w:sz="0" w:space="0" w:color="auto"/>
      </w:divBdr>
    </w:div>
    <w:div w:id="706179588">
      <w:bodyDiv w:val="1"/>
      <w:marLeft w:val="0"/>
      <w:marRight w:val="0"/>
      <w:marTop w:val="0"/>
      <w:marBottom w:val="0"/>
      <w:divBdr>
        <w:top w:val="none" w:sz="0" w:space="0" w:color="auto"/>
        <w:left w:val="none" w:sz="0" w:space="0" w:color="auto"/>
        <w:bottom w:val="none" w:sz="0" w:space="0" w:color="auto"/>
        <w:right w:val="none" w:sz="0" w:space="0" w:color="auto"/>
      </w:divBdr>
      <w:divsChild>
        <w:div w:id="308562833">
          <w:marLeft w:val="0"/>
          <w:marRight w:val="0"/>
          <w:marTop w:val="0"/>
          <w:marBottom w:val="0"/>
          <w:divBdr>
            <w:top w:val="none" w:sz="0" w:space="0" w:color="auto"/>
            <w:left w:val="none" w:sz="0" w:space="0" w:color="auto"/>
            <w:bottom w:val="none" w:sz="0" w:space="0" w:color="auto"/>
            <w:right w:val="none" w:sz="0" w:space="0" w:color="auto"/>
          </w:divBdr>
        </w:div>
        <w:div w:id="1256129837">
          <w:marLeft w:val="0"/>
          <w:marRight w:val="0"/>
          <w:marTop w:val="0"/>
          <w:marBottom w:val="0"/>
          <w:divBdr>
            <w:top w:val="none" w:sz="0" w:space="0" w:color="auto"/>
            <w:left w:val="none" w:sz="0" w:space="0" w:color="auto"/>
            <w:bottom w:val="none" w:sz="0" w:space="0" w:color="auto"/>
            <w:right w:val="none" w:sz="0" w:space="0" w:color="auto"/>
          </w:divBdr>
        </w:div>
        <w:div w:id="1292008886">
          <w:marLeft w:val="0"/>
          <w:marRight w:val="0"/>
          <w:marTop w:val="0"/>
          <w:marBottom w:val="0"/>
          <w:divBdr>
            <w:top w:val="none" w:sz="0" w:space="0" w:color="auto"/>
            <w:left w:val="none" w:sz="0" w:space="0" w:color="auto"/>
            <w:bottom w:val="none" w:sz="0" w:space="0" w:color="auto"/>
            <w:right w:val="none" w:sz="0" w:space="0" w:color="auto"/>
          </w:divBdr>
        </w:div>
      </w:divsChild>
    </w:div>
    <w:div w:id="724377784">
      <w:bodyDiv w:val="1"/>
      <w:marLeft w:val="0"/>
      <w:marRight w:val="0"/>
      <w:marTop w:val="0"/>
      <w:marBottom w:val="0"/>
      <w:divBdr>
        <w:top w:val="none" w:sz="0" w:space="0" w:color="auto"/>
        <w:left w:val="none" w:sz="0" w:space="0" w:color="auto"/>
        <w:bottom w:val="none" w:sz="0" w:space="0" w:color="auto"/>
        <w:right w:val="none" w:sz="0" w:space="0" w:color="auto"/>
      </w:divBdr>
    </w:div>
    <w:div w:id="748044665">
      <w:bodyDiv w:val="1"/>
      <w:marLeft w:val="0"/>
      <w:marRight w:val="0"/>
      <w:marTop w:val="0"/>
      <w:marBottom w:val="0"/>
      <w:divBdr>
        <w:top w:val="none" w:sz="0" w:space="0" w:color="auto"/>
        <w:left w:val="none" w:sz="0" w:space="0" w:color="auto"/>
        <w:bottom w:val="none" w:sz="0" w:space="0" w:color="auto"/>
        <w:right w:val="none" w:sz="0" w:space="0" w:color="auto"/>
      </w:divBdr>
    </w:div>
    <w:div w:id="778915365">
      <w:bodyDiv w:val="1"/>
      <w:marLeft w:val="0"/>
      <w:marRight w:val="0"/>
      <w:marTop w:val="0"/>
      <w:marBottom w:val="0"/>
      <w:divBdr>
        <w:top w:val="none" w:sz="0" w:space="0" w:color="auto"/>
        <w:left w:val="none" w:sz="0" w:space="0" w:color="auto"/>
        <w:bottom w:val="none" w:sz="0" w:space="0" w:color="auto"/>
        <w:right w:val="none" w:sz="0" w:space="0" w:color="auto"/>
      </w:divBdr>
    </w:div>
    <w:div w:id="979575322">
      <w:bodyDiv w:val="1"/>
      <w:marLeft w:val="0"/>
      <w:marRight w:val="0"/>
      <w:marTop w:val="0"/>
      <w:marBottom w:val="0"/>
      <w:divBdr>
        <w:top w:val="none" w:sz="0" w:space="0" w:color="auto"/>
        <w:left w:val="none" w:sz="0" w:space="0" w:color="auto"/>
        <w:bottom w:val="none" w:sz="0" w:space="0" w:color="auto"/>
        <w:right w:val="none" w:sz="0" w:space="0" w:color="auto"/>
      </w:divBdr>
    </w:div>
    <w:div w:id="1010839959">
      <w:bodyDiv w:val="1"/>
      <w:marLeft w:val="0"/>
      <w:marRight w:val="0"/>
      <w:marTop w:val="0"/>
      <w:marBottom w:val="0"/>
      <w:divBdr>
        <w:top w:val="none" w:sz="0" w:space="0" w:color="auto"/>
        <w:left w:val="none" w:sz="0" w:space="0" w:color="auto"/>
        <w:bottom w:val="none" w:sz="0" w:space="0" w:color="auto"/>
        <w:right w:val="none" w:sz="0" w:space="0" w:color="auto"/>
      </w:divBdr>
    </w:div>
    <w:div w:id="1188983910">
      <w:bodyDiv w:val="1"/>
      <w:marLeft w:val="0"/>
      <w:marRight w:val="0"/>
      <w:marTop w:val="0"/>
      <w:marBottom w:val="0"/>
      <w:divBdr>
        <w:top w:val="none" w:sz="0" w:space="0" w:color="auto"/>
        <w:left w:val="none" w:sz="0" w:space="0" w:color="auto"/>
        <w:bottom w:val="none" w:sz="0" w:space="0" w:color="auto"/>
        <w:right w:val="none" w:sz="0" w:space="0" w:color="auto"/>
      </w:divBdr>
    </w:div>
    <w:div w:id="1217012812">
      <w:bodyDiv w:val="1"/>
      <w:marLeft w:val="0"/>
      <w:marRight w:val="0"/>
      <w:marTop w:val="0"/>
      <w:marBottom w:val="0"/>
      <w:divBdr>
        <w:top w:val="none" w:sz="0" w:space="0" w:color="auto"/>
        <w:left w:val="none" w:sz="0" w:space="0" w:color="auto"/>
        <w:bottom w:val="none" w:sz="0" w:space="0" w:color="auto"/>
        <w:right w:val="none" w:sz="0" w:space="0" w:color="auto"/>
      </w:divBdr>
    </w:div>
    <w:div w:id="1285112216">
      <w:bodyDiv w:val="1"/>
      <w:marLeft w:val="0"/>
      <w:marRight w:val="0"/>
      <w:marTop w:val="0"/>
      <w:marBottom w:val="0"/>
      <w:divBdr>
        <w:top w:val="none" w:sz="0" w:space="0" w:color="auto"/>
        <w:left w:val="none" w:sz="0" w:space="0" w:color="auto"/>
        <w:bottom w:val="none" w:sz="0" w:space="0" w:color="auto"/>
        <w:right w:val="none" w:sz="0" w:space="0" w:color="auto"/>
      </w:divBdr>
    </w:div>
    <w:div w:id="1431967497">
      <w:bodyDiv w:val="1"/>
      <w:marLeft w:val="0"/>
      <w:marRight w:val="0"/>
      <w:marTop w:val="0"/>
      <w:marBottom w:val="0"/>
      <w:divBdr>
        <w:top w:val="none" w:sz="0" w:space="0" w:color="auto"/>
        <w:left w:val="none" w:sz="0" w:space="0" w:color="auto"/>
        <w:bottom w:val="none" w:sz="0" w:space="0" w:color="auto"/>
        <w:right w:val="none" w:sz="0" w:space="0" w:color="auto"/>
      </w:divBdr>
      <w:divsChild>
        <w:div w:id="1995256367">
          <w:marLeft w:val="0"/>
          <w:marRight w:val="0"/>
          <w:marTop w:val="0"/>
          <w:marBottom w:val="0"/>
          <w:divBdr>
            <w:top w:val="none" w:sz="0" w:space="0" w:color="auto"/>
            <w:left w:val="none" w:sz="0" w:space="0" w:color="auto"/>
            <w:bottom w:val="none" w:sz="0" w:space="0" w:color="auto"/>
            <w:right w:val="none" w:sz="0" w:space="0" w:color="auto"/>
          </w:divBdr>
        </w:div>
      </w:divsChild>
    </w:div>
    <w:div w:id="1684866521">
      <w:bodyDiv w:val="1"/>
      <w:marLeft w:val="0"/>
      <w:marRight w:val="0"/>
      <w:marTop w:val="0"/>
      <w:marBottom w:val="0"/>
      <w:divBdr>
        <w:top w:val="none" w:sz="0" w:space="0" w:color="auto"/>
        <w:left w:val="none" w:sz="0" w:space="0" w:color="auto"/>
        <w:bottom w:val="none" w:sz="0" w:space="0" w:color="auto"/>
        <w:right w:val="none" w:sz="0" w:space="0" w:color="auto"/>
      </w:divBdr>
    </w:div>
    <w:div w:id="1704667531">
      <w:bodyDiv w:val="1"/>
      <w:marLeft w:val="0"/>
      <w:marRight w:val="0"/>
      <w:marTop w:val="0"/>
      <w:marBottom w:val="0"/>
      <w:divBdr>
        <w:top w:val="none" w:sz="0" w:space="0" w:color="auto"/>
        <w:left w:val="none" w:sz="0" w:space="0" w:color="auto"/>
        <w:bottom w:val="none" w:sz="0" w:space="0" w:color="auto"/>
        <w:right w:val="none" w:sz="0" w:space="0" w:color="auto"/>
      </w:divBdr>
    </w:div>
    <w:div w:id="1837257757">
      <w:bodyDiv w:val="1"/>
      <w:marLeft w:val="0"/>
      <w:marRight w:val="0"/>
      <w:marTop w:val="0"/>
      <w:marBottom w:val="0"/>
      <w:divBdr>
        <w:top w:val="none" w:sz="0" w:space="0" w:color="auto"/>
        <w:left w:val="none" w:sz="0" w:space="0" w:color="auto"/>
        <w:bottom w:val="none" w:sz="0" w:space="0" w:color="auto"/>
        <w:right w:val="none" w:sz="0" w:space="0" w:color="auto"/>
      </w:divBdr>
    </w:div>
    <w:div w:id="1850290123">
      <w:bodyDiv w:val="1"/>
      <w:marLeft w:val="0"/>
      <w:marRight w:val="0"/>
      <w:marTop w:val="0"/>
      <w:marBottom w:val="0"/>
      <w:divBdr>
        <w:top w:val="none" w:sz="0" w:space="0" w:color="auto"/>
        <w:left w:val="none" w:sz="0" w:space="0" w:color="auto"/>
        <w:bottom w:val="none" w:sz="0" w:space="0" w:color="auto"/>
        <w:right w:val="none" w:sz="0" w:space="0" w:color="auto"/>
      </w:divBdr>
    </w:div>
    <w:div w:id="1884704836">
      <w:bodyDiv w:val="1"/>
      <w:marLeft w:val="0"/>
      <w:marRight w:val="0"/>
      <w:marTop w:val="0"/>
      <w:marBottom w:val="0"/>
      <w:divBdr>
        <w:top w:val="none" w:sz="0" w:space="0" w:color="auto"/>
        <w:left w:val="none" w:sz="0" w:space="0" w:color="auto"/>
        <w:bottom w:val="none" w:sz="0" w:space="0" w:color="auto"/>
        <w:right w:val="none" w:sz="0" w:space="0" w:color="auto"/>
      </w:divBdr>
    </w:div>
    <w:div w:id="1924139403">
      <w:bodyDiv w:val="1"/>
      <w:marLeft w:val="0"/>
      <w:marRight w:val="0"/>
      <w:marTop w:val="0"/>
      <w:marBottom w:val="0"/>
      <w:divBdr>
        <w:top w:val="none" w:sz="0" w:space="0" w:color="auto"/>
        <w:left w:val="none" w:sz="0" w:space="0" w:color="auto"/>
        <w:bottom w:val="none" w:sz="0" w:space="0" w:color="auto"/>
        <w:right w:val="none" w:sz="0" w:space="0" w:color="auto"/>
      </w:divBdr>
    </w:div>
    <w:div w:id="1932273238">
      <w:bodyDiv w:val="1"/>
      <w:marLeft w:val="0"/>
      <w:marRight w:val="0"/>
      <w:marTop w:val="0"/>
      <w:marBottom w:val="0"/>
      <w:divBdr>
        <w:top w:val="none" w:sz="0" w:space="0" w:color="auto"/>
        <w:left w:val="none" w:sz="0" w:space="0" w:color="auto"/>
        <w:bottom w:val="none" w:sz="0" w:space="0" w:color="auto"/>
        <w:right w:val="none" w:sz="0" w:space="0" w:color="auto"/>
      </w:divBdr>
    </w:div>
    <w:div w:id="21167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F37A0-8BBC-452F-955B-1F017939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5647</Words>
  <Characters>32192</Characters>
  <Application>Microsoft Office Word</Application>
  <DocSecurity>0</DocSecurity>
  <Lines>268</Lines>
  <Paragraphs>75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Markovitz</dc:creator>
  <cp:keywords/>
  <dc:description/>
  <cp:lastModifiedBy>Amanda Markovitz</cp:lastModifiedBy>
  <cp:revision>4</cp:revision>
  <cp:lastPrinted>2018-04-19T17:14:00Z</cp:lastPrinted>
  <dcterms:created xsi:type="dcterms:W3CDTF">2018-10-31T22:32:00Z</dcterms:created>
  <dcterms:modified xsi:type="dcterms:W3CDTF">2018-10-31T23:53:00Z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id="3SqfOk2N"/&gt;&lt;style id="http://www.zotero.org/styles/european-heart-journal" hasBibliography="1" bibliographyStyleHasBeenSet="1"/&gt;&lt;prefs&gt;&lt;pref name="fieldType" value="Field"/&gt;&lt;/prefs&gt;&lt;/data&gt;</vt:lpwstr>
  </property>
</Properties>
</file>