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B8E" w:rsidRPr="006325C2" w:rsidRDefault="00450984" w:rsidP="000F594B">
      <w:pPr>
        <w:spacing w:before="60" w:after="0" w:line="480" w:lineRule="auto"/>
        <w:rPr>
          <w:b/>
        </w:rPr>
      </w:pPr>
      <w:bookmarkStart w:id="0" w:name="_GoBack"/>
      <w:bookmarkEnd w:id="0"/>
      <w:r w:rsidRPr="006325C2">
        <w:rPr>
          <w:b/>
        </w:rPr>
        <w:t>Prediagnos</w:t>
      </w:r>
      <w:r w:rsidR="0066602C" w:rsidRPr="006325C2">
        <w:rPr>
          <w:b/>
        </w:rPr>
        <w:t>tic</w:t>
      </w:r>
      <w:r w:rsidR="00D75552" w:rsidRPr="006325C2">
        <w:rPr>
          <w:b/>
        </w:rPr>
        <w:t xml:space="preserve"> </w:t>
      </w:r>
      <w:r w:rsidR="002349FC" w:rsidRPr="006325C2">
        <w:rPr>
          <w:b/>
        </w:rPr>
        <w:t>Calcium Intake and Lung Cancer Survival: A Pooled Analysis of 12 Cohort Studies</w:t>
      </w:r>
    </w:p>
    <w:p w:rsidR="002349FC" w:rsidRPr="006325C2" w:rsidRDefault="002349FC" w:rsidP="000F594B">
      <w:pPr>
        <w:spacing w:before="60" w:after="0" w:line="480" w:lineRule="auto"/>
      </w:pPr>
      <w:r w:rsidRPr="006325C2">
        <w:rPr>
          <w:b/>
        </w:rPr>
        <w:t>Word count:</w:t>
      </w:r>
      <w:r w:rsidRPr="006325C2">
        <w:t xml:space="preserve"> </w:t>
      </w:r>
    </w:p>
    <w:p w:rsidR="009D72A8" w:rsidRPr="006325C2" w:rsidRDefault="00A16BE7" w:rsidP="000F594B">
      <w:pPr>
        <w:spacing w:before="60" w:after="0" w:line="240" w:lineRule="auto"/>
      </w:pPr>
      <w:bookmarkStart w:id="1" w:name="OLE_LINK1"/>
      <w:r w:rsidRPr="006325C2">
        <w:t>Danxia Yu</w:t>
      </w:r>
      <w:r w:rsidR="00367EE7" w:rsidRPr="006325C2">
        <w:rPr>
          <w:vertAlign w:val="superscript"/>
        </w:rPr>
        <w:t>1</w:t>
      </w:r>
      <w:r w:rsidR="00FF6DC6" w:rsidRPr="006325C2">
        <w:rPr>
          <w:vertAlign w:val="superscript"/>
        </w:rPr>
        <w:t>,*</w:t>
      </w:r>
      <w:r w:rsidR="00634182" w:rsidRPr="006325C2">
        <w:t>,</w:t>
      </w:r>
      <w:r w:rsidR="00412014" w:rsidRPr="006325C2">
        <w:t xml:space="preserve"> </w:t>
      </w:r>
      <w:r w:rsidR="00367EE7" w:rsidRPr="006325C2">
        <w:t>Yumie Takata</w:t>
      </w:r>
      <w:r w:rsidR="007609F0" w:rsidRPr="006325C2">
        <w:rPr>
          <w:vertAlign w:val="superscript"/>
        </w:rPr>
        <w:t>1,</w:t>
      </w:r>
      <w:r w:rsidR="006C4B40" w:rsidRPr="006325C2">
        <w:rPr>
          <w:vertAlign w:val="superscript"/>
        </w:rPr>
        <w:t>2</w:t>
      </w:r>
      <w:r w:rsidR="00FF6DC6" w:rsidRPr="006325C2">
        <w:rPr>
          <w:vertAlign w:val="superscript"/>
        </w:rPr>
        <w:t>,*</w:t>
      </w:r>
      <w:r w:rsidR="00FF6DC6" w:rsidRPr="006325C2">
        <w:t>,</w:t>
      </w:r>
      <w:r w:rsidR="00EF7749" w:rsidRPr="006325C2">
        <w:t xml:space="preserve"> </w:t>
      </w:r>
      <w:r w:rsidR="004C080F" w:rsidRPr="006325C2">
        <w:t>Stephanie Smith-Warner</w:t>
      </w:r>
      <w:r w:rsidR="007609F0" w:rsidRPr="006325C2">
        <w:rPr>
          <w:vertAlign w:val="superscript"/>
        </w:rPr>
        <w:t>3</w:t>
      </w:r>
      <w:r w:rsidR="00634182" w:rsidRPr="006325C2">
        <w:t>,</w:t>
      </w:r>
      <w:r w:rsidR="00FF6DC6" w:rsidRPr="006325C2">
        <w:t xml:space="preserve"> </w:t>
      </w:r>
      <w:r w:rsidR="004C080F" w:rsidRPr="006325C2">
        <w:t>William Blot</w:t>
      </w:r>
      <w:r w:rsidR="007609F0" w:rsidRPr="006325C2">
        <w:rPr>
          <w:vertAlign w:val="superscript"/>
        </w:rPr>
        <w:t>1</w:t>
      </w:r>
      <w:r w:rsidR="004C080F" w:rsidRPr="006325C2">
        <w:t>,</w:t>
      </w:r>
      <w:r w:rsidR="00634182" w:rsidRPr="006325C2">
        <w:t xml:space="preserve"> Norie Sawada</w:t>
      </w:r>
      <w:r w:rsidR="00634182" w:rsidRPr="006325C2">
        <w:rPr>
          <w:vertAlign w:val="superscript"/>
        </w:rPr>
        <w:t>4</w:t>
      </w:r>
      <w:r w:rsidR="00634182" w:rsidRPr="006325C2">
        <w:t>,</w:t>
      </w:r>
      <w:r w:rsidR="00FF6DC6" w:rsidRPr="006325C2">
        <w:t xml:space="preserve"> </w:t>
      </w:r>
      <w:r w:rsidR="00440CDD" w:rsidRPr="006325C2">
        <w:t>Emily White</w:t>
      </w:r>
      <w:r w:rsidR="001A43AC" w:rsidRPr="006325C2">
        <w:rPr>
          <w:vertAlign w:val="superscript"/>
        </w:rPr>
        <w:t>5</w:t>
      </w:r>
      <w:r w:rsidR="00440CDD" w:rsidRPr="006325C2">
        <w:t>,</w:t>
      </w:r>
      <w:r w:rsidR="00634182" w:rsidRPr="006325C2">
        <w:t xml:space="preserve"> </w:t>
      </w:r>
      <w:r w:rsidR="00440CDD" w:rsidRPr="006325C2">
        <w:t xml:space="preserve"> </w:t>
      </w:r>
      <w:r w:rsidR="004C080F" w:rsidRPr="006325C2">
        <w:t>Neal Freedman</w:t>
      </w:r>
      <w:r w:rsidR="001A43AC" w:rsidRPr="006325C2">
        <w:rPr>
          <w:vertAlign w:val="superscript"/>
        </w:rPr>
        <w:t>6</w:t>
      </w:r>
      <w:r w:rsidR="004C080F" w:rsidRPr="006325C2">
        <w:t>,</w:t>
      </w:r>
      <w:r w:rsidR="00287310" w:rsidRPr="006325C2">
        <w:t xml:space="preserve"> </w:t>
      </w:r>
      <w:r w:rsidR="00634182" w:rsidRPr="006325C2">
        <w:t>Kim Robien</w:t>
      </w:r>
      <w:r w:rsidR="001A43AC" w:rsidRPr="006325C2">
        <w:rPr>
          <w:vertAlign w:val="superscript"/>
        </w:rPr>
        <w:t>7</w:t>
      </w:r>
      <w:r w:rsidR="00634182" w:rsidRPr="006325C2">
        <w:t>,</w:t>
      </w:r>
      <w:r w:rsidR="00287310" w:rsidRPr="006325C2">
        <w:t xml:space="preserve"> </w:t>
      </w:r>
      <w:r w:rsidR="004C080F" w:rsidRPr="006325C2">
        <w:t>Edward Giovannucci</w:t>
      </w:r>
      <w:r w:rsidR="007609F0" w:rsidRPr="006325C2">
        <w:rPr>
          <w:vertAlign w:val="superscript"/>
        </w:rPr>
        <w:t>3</w:t>
      </w:r>
      <w:r w:rsidR="00634182" w:rsidRPr="006325C2">
        <w:t>,</w:t>
      </w:r>
      <w:r w:rsidR="00287310" w:rsidRPr="006325C2">
        <w:t xml:space="preserve"> </w:t>
      </w:r>
      <w:r w:rsidR="00440CDD" w:rsidRPr="006325C2">
        <w:t xml:space="preserve">Xuehong </w:t>
      </w:r>
      <w:r w:rsidR="004C080F" w:rsidRPr="006325C2">
        <w:t>Zhang</w:t>
      </w:r>
      <w:r w:rsidR="001C7662" w:rsidRPr="006325C2">
        <w:rPr>
          <w:vertAlign w:val="superscript"/>
        </w:rPr>
        <w:t>8</w:t>
      </w:r>
      <w:r w:rsidR="00634182" w:rsidRPr="006325C2">
        <w:t>,</w:t>
      </w:r>
      <w:r w:rsidR="00287310" w:rsidRPr="006325C2">
        <w:t xml:space="preserve"> </w:t>
      </w:r>
      <w:r w:rsidR="00634182" w:rsidRPr="006325C2">
        <w:t>Yikyung Park</w:t>
      </w:r>
      <w:r w:rsidR="001C7662" w:rsidRPr="006325C2">
        <w:rPr>
          <w:vertAlign w:val="superscript"/>
        </w:rPr>
        <w:t>9</w:t>
      </w:r>
      <w:r w:rsidR="00634182" w:rsidRPr="006325C2">
        <w:t>,</w:t>
      </w:r>
      <w:r w:rsidR="004C080F" w:rsidRPr="006325C2">
        <w:t xml:space="preserve"> </w:t>
      </w:r>
      <w:r w:rsidR="00634182" w:rsidRPr="006325C2">
        <w:t>Yu-Tang Gao</w:t>
      </w:r>
      <w:r w:rsidR="00095BBA" w:rsidRPr="006325C2">
        <w:rPr>
          <w:vertAlign w:val="superscript"/>
        </w:rPr>
        <w:t>10</w:t>
      </w:r>
      <w:r w:rsidR="00634182" w:rsidRPr="006325C2">
        <w:t xml:space="preserve">, </w:t>
      </w:r>
      <w:r w:rsidR="007609F0" w:rsidRPr="006325C2">
        <w:rPr>
          <w:color w:val="000000" w:themeColor="text1"/>
        </w:rPr>
        <w:t>Rowan Chlebowski</w:t>
      </w:r>
      <w:r w:rsidR="0096326F" w:rsidRPr="006325C2">
        <w:rPr>
          <w:color w:val="000000" w:themeColor="text1"/>
          <w:vertAlign w:val="superscript"/>
        </w:rPr>
        <w:t>11</w:t>
      </w:r>
      <w:r w:rsidR="007609F0" w:rsidRPr="006325C2">
        <w:rPr>
          <w:color w:val="000000" w:themeColor="text1"/>
        </w:rPr>
        <w:t>,</w:t>
      </w:r>
      <w:r w:rsidR="00440CDD" w:rsidRPr="006325C2">
        <w:rPr>
          <w:color w:val="000000" w:themeColor="text1"/>
        </w:rPr>
        <w:t xml:space="preserve"> </w:t>
      </w:r>
      <w:r w:rsidR="004C080F" w:rsidRPr="006325C2">
        <w:t>Arnulf Langhammer</w:t>
      </w:r>
      <w:r w:rsidR="0096326F" w:rsidRPr="006325C2">
        <w:rPr>
          <w:vertAlign w:val="superscript"/>
        </w:rPr>
        <w:t>12</w:t>
      </w:r>
      <w:r w:rsidR="00634182" w:rsidRPr="006325C2">
        <w:t>,</w:t>
      </w:r>
      <w:r w:rsidR="004C080F" w:rsidRPr="006325C2">
        <w:t xml:space="preserve"> </w:t>
      </w:r>
      <w:r w:rsidR="00440CDD" w:rsidRPr="006325C2">
        <w:t xml:space="preserve"> </w:t>
      </w:r>
      <w:r w:rsidR="007609F0" w:rsidRPr="006325C2">
        <w:t>Gong Yang</w:t>
      </w:r>
      <w:r w:rsidR="007609F0" w:rsidRPr="006325C2">
        <w:rPr>
          <w:vertAlign w:val="superscript"/>
        </w:rPr>
        <w:t>1</w:t>
      </w:r>
      <w:r w:rsidR="00634182" w:rsidRPr="006325C2">
        <w:t>,</w:t>
      </w:r>
      <w:r w:rsidR="007609F0" w:rsidRPr="006325C2">
        <w:t xml:space="preserve"> </w:t>
      </w:r>
      <w:r w:rsidR="00440CDD" w:rsidRPr="006325C2">
        <w:t>(</w:t>
      </w:r>
      <w:r w:rsidR="007609F0" w:rsidRPr="006325C2">
        <w:t>EPIC</w:t>
      </w:r>
      <w:r w:rsidR="00440CDD" w:rsidRPr="006325C2">
        <w:t xml:space="preserve"> co-authors </w:t>
      </w:r>
      <w:r w:rsidR="007609F0" w:rsidRPr="006325C2">
        <w:t xml:space="preserve">from contributing cohorts </w:t>
      </w:r>
      <w:r w:rsidR="00440CDD" w:rsidRPr="006325C2">
        <w:t>by alphabetic</w:t>
      </w:r>
      <w:r w:rsidR="00634182" w:rsidRPr="006325C2">
        <w:t>al</w:t>
      </w:r>
      <w:r w:rsidR="00440CDD" w:rsidRPr="006325C2">
        <w:t xml:space="preserve"> order),</w:t>
      </w:r>
      <w:r w:rsidR="004C080F" w:rsidRPr="006325C2">
        <w:t xml:space="preserve"> </w:t>
      </w:r>
      <w:r w:rsidR="00336A26" w:rsidRPr="006325C2">
        <w:t xml:space="preserve">Linda </w:t>
      </w:r>
      <w:r w:rsidR="00634182" w:rsidRPr="006325C2">
        <w:t>M Liao</w:t>
      </w:r>
      <w:r w:rsidR="0096326F" w:rsidRPr="006325C2">
        <w:rPr>
          <w:vertAlign w:val="superscript"/>
        </w:rPr>
        <w:t>6</w:t>
      </w:r>
      <w:r w:rsidR="00634182" w:rsidRPr="006325C2">
        <w:t>,</w:t>
      </w:r>
      <w:r w:rsidR="00336A26" w:rsidRPr="006325C2">
        <w:t xml:space="preserve"> </w:t>
      </w:r>
      <w:r w:rsidR="004C080F" w:rsidRPr="006325C2">
        <w:t>Neil Caporaso</w:t>
      </w:r>
      <w:r w:rsidR="0096326F" w:rsidRPr="006325C2">
        <w:rPr>
          <w:vertAlign w:val="superscript"/>
        </w:rPr>
        <w:t>6</w:t>
      </w:r>
      <w:r w:rsidR="00440CDD" w:rsidRPr="006325C2">
        <w:t>,</w:t>
      </w:r>
      <w:r w:rsidR="008D717F" w:rsidRPr="006325C2">
        <w:t xml:space="preserve"> </w:t>
      </w:r>
      <w:r w:rsidR="004C080F" w:rsidRPr="006325C2">
        <w:t>Steinar Krokstad</w:t>
      </w:r>
      <w:r w:rsidR="0096326F" w:rsidRPr="006325C2">
        <w:rPr>
          <w:vertAlign w:val="superscript"/>
        </w:rPr>
        <w:t>12</w:t>
      </w:r>
      <w:r w:rsidR="004C080F" w:rsidRPr="006325C2">
        <w:t>,</w:t>
      </w:r>
      <w:r w:rsidR="008D717F" w:rsidRPr="006325C2">
        <w:t xml:space="preserve"> </w:t>
      </w:r>
      <w:r w:rsidR="00634182" w:rsidRPr="006325C2">
        <w:t>Kristian Hveem</w:t>
      </w:r>
      <w:r w:rsidR="0096326F" w:rsidRPr="006325C2">
        <w:rPr>
          <w:vertAlign w:val="superscript"/>
        </w:rPr>
        <w:t>12</w:t>
      </w:r>
      <w:r w:rsidR="00634182" w:rsidRPr="006325C2">
        <w:t>,</w:t>
      </w:r>
      <w:r w:rsidR="008D717F" w:rsidRPr="006325C2">
        <w:t xml:space="preserve"> </w:t>
      </w:r>
      <w:r w:rsidR="00634182" w:rsidRPr="006325C2">
        <w:t>Rashmi Sinha</w:t>
      </w:r>
      <w:r w:rsidR="0096326F" w:rsidRPr="006325C2">
        <w:rPr>
          <w:vertAlign w:val="superscript"/>
        </w:rPr>
        <w:t>6</w:t>
      </w:r>
      <w:r w:rsidR="00634182" w:rsidRPr="006325C2">
        <w:t>,</w:t>
      </w:r>
      <w:r w:rsidR="008D717F" w:rsidRPr="006325C2">
        <w:t xml:space="preserve"> </w:t>
      </w:r>
      <w:r w:rsidR="00634182" w:rsidRPr="006325C2">
        <w:t>Regina Ziegler</w:t>
      </w:r>
      <w:r w:rsidR="0096326F" w:rsidRPr="006325C2">
        <w:rPr>
          <w:vertAlign w:val="superscript"/>
        </w:rPr>
        <w:t>6</w:t>
      </w:r>
      <w:r w:rsidR="00634182" w:rsidRPr="006325C2">
        <w:t>,</w:t>
      </w:r>
      <w:r w:rsidR="00287310" w:rsidRPr="006325C2">
        <w:t xml:space="preserve"> </w:t>
      </w:r>
      <w:r w:rsidR="00634182" w:rsidRPr="006325C2">
        <w:t>Shoichiro Tsugane</w:t>
      </w:r>
      <w:r w:rsidR="0096326F" w:rsidRPr="006325C2">
        <w:rPr>
          <w:vertAlign w:val="superscript"/>
        </w:rPr>
        <w:t>4</w:t>
      </w:r>
      <w:r w:rsidR="00634182" w:rsidRPr="006325C2">
        <w:t>,</w:t>
      </w:r>
      <w:r w:rsidR="008D717F" w:rsidRPr="006325C2">
        <w:t xml:space="preserve"> </w:t>
      </w:r>
      <w:r w:rsidR="004C080F" w:rsidRPr="006325C2">
        <w:t>Yong-Bing Xiang</w:t>
      </w:r>
      <w:r w:rsidR="0096326F" w:rsidRPr="006325C2">
        <w:rPr>
          <w:vertAlign w:val="superscript"/>
        </w:rPr>
        <w:t>10</w:t>
      </w:r>
      <w:r w:rsidR="00440CDD" w:rsidRPr="006325C2">
        <w:t>, Mattias Johansson</w:t>
      </w:r>
      <w:r w:rsidR="0096326F" w:rsidRPr="006325C2">
        <w:rPr>
          <w:vertAlign w:val="superscript"/>
        </w:rPr>
        <w:t>13</w:t>
      </w:r>
      <w:r w:rsidR="00440CDD" w:rsidRPr="006325C2">
        <w:t>,</w:t>
      </w:r>
      <w:r w:rsidR="008D717F" w:rsidRPr="006325C2">
        <w:t xml:space="preserve"> </w:t>
      </w:r>
      <w:r w:rsidR="004C080F" w:rsidRPr="006325C2">
        <w:t>Wei Zheng</w:t>
      </w:r>
      <w:r w:rsidR="007609F0" w:rsidRPr="006325C2">
        <w:rPr>
          <w:vertAlign w:val="superscript"/>
        </w:rPr>
        <w:t>1</w:t>
      </w:r>
      <w:r w:rsidR="00634182" w:rsidRPr="006325C2">
        <w:t>,</w:t>
      </w:r>
      <w:r w:rsidR="00287310" w:rsidRPr="006325C2">
        <w:t xml:space="preserve"> and </w:t>
      </w:r>
      <w:r w:rsidR="009D72A8" w:rsidRPr="006325C2">
        <w:t>Xiao-Ou Shu</w:t>
      </w:r>
      <w:r w:rsidR="00367EE7" w:rsidRPr="006325C2">
        <w:rPr>
          <w:vertAlign w:val="superscript"/>
        </w:rPr>
        <w:t>1</w:t>
      </w:r>
    </w:p>
    <w:bookmarkEnd w:id="1"/>
    <w:p w:rsidR="00B46ECB" w:rsidRPr="006325C2" w:rsidRDefault="00B46ECB" w:rsidP="000F594B">
      <w:pPr>
        <w:spacing w:before="60" w:after="0" w:line="240" w:lineRule="auto"/>
      </w:pPr>
    </w:p>
    <w:p w:rsidR="002349FC" w:rsidRPr="006325C2" w:rsidRDefault="006C4B40" w:rsidP="000F594B">
      <w:pPr>
        <w:spacing w:before="60" w:after="0" w:line="240" w:lineRule="auto"/>
      </w:pPr>
      <w:r w:rsidRPr="006325C2">
        <w:rPr>
          <w:vertAlign w:val="superscript"/>
        </w:rPr>
        <w:t>1</w:t>
      </w:r>
      <w:r w:rsidR="00634182" w:rsidRPr="006325C2">
        <w:rPr>
          <w:vertAlign w:val="superscript"/>
        </w:rPr>
        <w:t xml:space="preserve"> </w:t>
      </w:r>
      <w:r w:rsidR="00DF5A43" w:rsidRPr="006325C2">
        <w:t xml:space="preserve">Vanderbilt </w:t>
      </w:r>
      <w:r w:rsidR="00A16BE7" w:rsidRPr="006325C2">
        <w:t>Epidemiology</w:t>
      </w:r>
      <w:r w:rsidR="00DF5A43" w:rsidRPr="006325C2">
        <w:t xml:space="preserve"> Center</w:t>
      </w:r>
      <w:r w:rsidR="00A16BE7" w:rsidRPr="006325C2">
        <w:t xml:space="preserve">, </w:t>
      </w:r>
      <w:r w:rsidR="00DF5A43" w:rsidRPr="006325C2">
        <w:t xml:space="preserve">Vanderbilt </w:t>
      </w:r>
      <w:r w:rsidR="00A16BE7" w:rsidRPr="006325C2">
        <w:t xml:space="preserve">University </w:t>
      </w:r>
      <w:r w:rsidR="00DF5A43" w:rsidRPr="006325C2">
        <w:t>Medical Center</w:t>
      </w:r>
      <w:r w:rsidR="001C7662" w:rsidRPr="006325C2">
        <w:t>, Nashville, TN, USA</w:t>
      </w:r>
    </w:p>
    <w:p w:rsidR="006C4B40" w:rsidRPr="006325C2" w:rsidRDefault="006C4B40" w:rsidP="000F594B">
      <w:pPr>
        <w:spacing w:before="60" w:after="0" w:line="240" w:lineRule="auto"/>
      </w:pPr>
      <w:r w:rsidRPr="006325C2">
        <w:rPr>
          <w:vertAlign w:val="superscript"/>
        </w:rPr>
        <w:t>2</w:t>
      </w:r>
      <w:r w:rsidR="00634182" w:rsidRPr="006325C2">
        <w:rPr>
          <w:vertAlign w:val="superscript"/>
        </w:rPr>
        <w:t xml:space="preserve"> </w:t>
      </w:r>
      <w:r w:rsidRPr="006325C2">
        <w:t>College of Public Health and Human Sciences, Oregon State University, Corvallis, OR</w:t>
      </w:r>
      <w:r w:rsidR="0044053D" w:rsidRPr="006325C2">
        <w:t>,</w:t>
      </w:r>
      <w:r w:rsidR="001C7662" w:rsidRPr="006325C2">
        <w:t xml:space="preserve"> USA</w:t>
      </w:r>
    </w:p>
    <w:p w:rsidR="0044053D" w:rsidRPr="006325C2" w:rsidRDefault="00634182" w:rsidP="000F594B">
      <w:pPr>
        <w:spacing w:before="60" w:after="0" w:line="240" w:lineRule="auto"/>
      </w:pPr>
      <w:r w:rsidRPr="006325C2">
        <w:rPr>
          <w:vertAlign w:val="superscript"/>
        </w:rPr>
        <w:t xml:space="preserve">3 </w:t>
      </w:r>
      <w:r w:rsidR="007609F0" w:rsidRPr="006325C2">
        <w:t>Departments of Nutrition and Epidemiology, Harvard T.H. Chan School of Public Health, Boston, M</w:t>
      </w:r>
      <w:r w:rsidR="001C7662" w:rsidRPr="006325C2">
        <w:t>A, USA</w:t>
      </w:r>
    </w:p>
    <w:p w:rsidR="00634182" w:rsidRPr="006325C2" w:rsidRDefault="00634182" w:rsidP="000F594B">
      <w:pPr>
        <w:spacing w:before="60" w:after="0" w:line="240" w:lineRule="auto"/>
      </w:pPr>
      <w:r w:rsidRPr="006325C2">
        <w:rPr>
          <w:vertAlign w:val="superscript"/>
        </w:rPr>
        <w:t xml:space="preserve">4 </w:t>
      </w:r>
      <w:r w:rsidRPr="006325C2">
        <w:t>Epidemiology and Prevention Group, Center for Public Health Sciences, National Cancer Center, Tokyo, Japan</w:t>
      </w:r>
    </w:p>
    <w:p w:rsidR="00634182" w:rsidRPr="006325C2" w:rsidRDefault="00634182" w:rsidP="00634182">
      <w:pPr>
        <w:spacing w:before="60" w:after="0" w:line="240" w:lineRule="auto"/>
      </w:pPr>
      <w:r w:rsidRPr="006325C2">
        <w:rPr>
          <w:vertAlign w:val="superscript"/>
        </w:rPr>
        <w:t>5</w:t>
      </w:r>
      <w:r w:rsidRPr="006325C2">
        <w:rPr>
          <w:rFonts w:ascii="Calibri" w:hAnsi="Calibri"/>
          <w:color w:val="000000"/>
        </w:rPr>
        <w:t xml:space="preserve"> </w:t>
      </w:r>
      <w:r w:rsidRPr="006325C2">
        <w:t>Cancer Prevention Program, Fred Hutchinson Cancer Research Center, Seattle, WA</w:t>
      </w:r>
      <w:r w:rsidR="001C7662" w:rsidRPr="006325C2">
        <w:t>, USA</w:t>
      </w:r>
    </w:p>
    <w:p w:rsidR="001A43AC" w:rsidRPr="006325C2" w:rsidRDefault="001A43AC" w:rsidP="001A43AC">
      <w:pPr>
        <w:spacing w:before="60" w:after="0" w:line="240" w:lineRule="auto"/>
      </w:pPr>
      <w:r w:rsidRPr="006325C2">
        <w:rPr>
          <w:vertAlign w:val="superscript"/>
        </w:rPr>
        <w:t xml:space="preserve">6 </w:t>
      </w:r>
      <w:r w:rsidRPr="006325C2">
        <w:t>Division of Epidemiology &amp; Genetics, National Cancer Institute, Bethesda, MD</w:t>
      </w:r>
      <w:r w:rsidR="001C7662" w:rsidRPr="006325C2">
        <w:t>, USA</w:t>
      </w:r>
    </w:p>
    <w:p w:rsidR="001A43AC" w:rsidRPr="006325C2" w:rsidRDefault="001A43AC" w:rsidP="001A43AC">
      <w:pPr>
        <w:spacing w:before="60" w:after="0" w:line="240" w:lineRule="auto"/>
      </w:pPr>
      <w:r w:rsidRPr="006325C2">
        <w:rPr>
          <w:vertAlign w:val="superscript"/>
        </w:rPr>
        <w:t xml:space="preserve">7 </w:t>
      </w:r>
      <w:r w:rsidRPr="006325C2">
        <w:t>Department of Exercise and Nutrition Sciences, Milken Institute School of Public Health, George Washington University, Washington, DC</w:t>
      </w:r>
      <w:r w:rsidR="001C7662" w:rsidRPr="006325C2">
        <w:t>, USA</w:t>
      </w:r>
    </w:p>
    <w:p w:rsidR="001C7662" w:rsidRPr="006325C2" w:rsidRDefault="001C7662" w:rsidP="001C7662">
      <w:pPr>
        <w:spacing w:before="60" w:after="0" w:line="240" w:lineRule="auto"/>
      </w:pPr>
      <w:r w:rsidRPr="006325C2">
        <w:rPr>
          <w:vertAlign w:val="superscript"/>
        </w:rPr>
        <w:t xml:space="preserve">8 </w:t>
      </w:r>
      <w:r w:rsidRPr="006325C2">
        <w:t>Channing Division of Network Medicine, Department of Medicine, Brigham and Women’s Hospital and Harvard Medical School, Boston, MA, USA</w:t>
      </w:r>
    </w:p>
    <w:p w:rsidR="001C7662" w:rsidRPr="006325C2" w:rsidRDefault="001C7662" w:rsidP="001C7662">
      <w:pPr>
        <w:spacing w:before="60" w:after="0" w:line="240" w:lineRule="auto"/>
      </w:pPr>
      <w:r w:rsidRPr="006325C2">
        <w:rPr>
          <w:vertAlign w:val="superscript"/>
        </w:rPr>
        <w:t xml:space="preserve">9 </w:t>
      </w:r>
      <w:r w:rsidRPr="006325C2">
        <w:t>Division of Public Health Sciences, Department of Surgery, Washington University School of Medicine, St. Louis, MO, USA</w:t>
      </w:r>
    </w:p>
    <w:p w:rsidR="00095BBA" w:rsidRPr="006325C2" w:rsidRDefault="00095BBA" w:rsidP="00095BBA">
      <w:pPr>
        <w:spacing w:before="60" w:after="0" w:line="240" w:lineRule="auto"/>
      </w:pPr>
      <w:r w:rsidRPr="006325C2">
        <w:rPr>
          <w:vertAlign w:val="superscript"/>
        </w:rPr>
        <w:t xml:space="preserve">10 </w:t>
      </w:r>
      <w:r w:rsidRPr="006325C2">
        <w:t>Shanghai Cancer Institute, Shanghai, China</w:t>
      </w:r>
    </w:p>
    <w:p w:rsidR="0096326F" w:rsidRPr="006325C2" w:rsidRDefault="0096326F" w:rsidP="0096326F">
      <w:pPr>
        <w:spacing w:before="60" w:after="0" w:line="240" w:lineRule="auto"/>
      </w:pPr>
      <w:r w:rsidRPr="006325C2">
        <w:rPr>
          <w:vertAlign w:val="superscript"/>
        </w:rPr>
        <w:t xml:space="preserve">11 </w:t>
      </w:r>
      <w:r w:rsidRPr="006325C2">
        <w:t>Department of Oncology and Hematology, University of California, Torrance, CA, USA</w:t>
      </w:r>
    </w:p>
    <w:p w:rsidR="0096326F" w:rsidRPr="006325C2" w:rsidRDefault="0096326F" w:rsidP="0096326F">
      <w:pPr>
        <w:spacing w:before="60" w:after="0" w:line="240" w:lineRule="auto"/>
      </w:pPr>
      <w:r w:rsidRPr="006325C2">
        <w:rPr>
          <w:vertAlign w:val="superscript"/>
        </w:rPr>
        <w:t xml:space="preserve">12 </w:t>
      </w:r>
      <w:r w:rsidRPr="006325C2">
        <w:t>Department of Public Health and General Practice, Norwegian University of Science and Technology, Trondheim, Norway</w:t>
      </w:r>
    </w:p>
    <w:p w:rsidR="0096326F" w:rsidRPr="006325C2" w:rsidRDefault="0096326F" w:rsidP="0096326F">
      <w:pPr>
        <w:spacing w:before="60" w:after="0" w:line="240" w:lineRule="auto"/>
      </w:pPr>
      <w:r w:rsidRPr="006325C2">
        <w:rPr>
          <w:vertAlign w:val="superscript"/>
        </w:rPr>
        <w:t xml:space="preserve">13 </w:t>
      </w:r>
      <w:r w:rsidRPr="006325C2">
        <w:t>Genetic Epidemiology Group, International Agency for Research on Cancer, Lyons, France</w:t>
      </w:r>
    </w:p>
    <w:p w:rsidR="00276087" w:rsidRPr="006325C2" w:rsidRDefault="00276087" w:rsidP="000F594B">
      <w:pPr>
        <w:pStyle w:val="ListParagraph"/>
        <w:spacing w:before="60" w:after="0" w:line="240" w:lineRule="auto"/>
        <w:ind w:left="0"/>
      </w:pPr>
    </w:p>
    <w:p w:rsidR="00BC316E" w:rsidRDefault="00632661" w:rsidP="000F594B">
      <w:pPr>
        <w:spacing w:before="60" w:after="0" w:line="480" w:lineRule="auto"/>
        <w:rPr>
          <w:b/>
        </w:rPr>
      </w:pPr>
      <w:r w:rsidRPr="006325C2">
        <w:rPr>
          <w:b/>
        </w:rPr>
        <w:t>*co-first authors</w:t>
      </w:r>
    </w:p>
    <w:p w:rsidR="006325C2" w:rsidRPr="00BC316E" w:rsidRDefault="00060FF5" w:rsidP="000F594B">
      <w:pPr>
        <w:spacing w:before="60" w:after="0" w:line="480" w:lineRule="auto"/>
        <w:rPr>
          <w:b/>
        </w:rPr>
      </w:pPr>
      <w:r w:rsidRPr="006325C2">
        <w:rPr>
          <w:b/>
        </w:rPr>
        <w:t>Corresponding author:</w:t>
      </w:r>
      <w:r w:rsidRPr="006325C2">
        <w:t xml:space="preserve"> Xiao-Ou Shu, MD, PhD; Vanderbilt Epidemiology Center, 2525 West End Avenue, Suite 600, Nashville, TN, USA 37203; Tel: 615-936-0713; Email: </w:t>
      </w:r>
      <w:hyperlink r:id="rId8" w:history="1">
        <w:r w:rsidRPr="006325C2">
          <w:rPr>
            <w:rStyle w:val="Hyperlink"/>
          </w:rPr>
          <w:t>xiao-ou.shu@vanderbilt.edu</w:t>
        </w:r>
      </w:hyperlink>
      <w:r w:rsidRPr="006325C2">
        <w:t xml:space="preserve"> </w:t>
      </w:r>
    </w:p>
    <w:p w:rsidR="006325C2" w:rsidRPr="006325C2" w:rsidRDefault="006325C2" w:rsidP="000F594B">
      <w:pPr>
        <w:spacing w:before="60" w:after="0" w:line="480" w:lineRule="auto"/>
      </w:pPr>
      <w:r w:rsidRPr="00BC316E">
        <w:rPr>
          <w:b/>
        </w:rPr>
        <w:t>Running Title:</w:t>
      </w:r>
      <w:r w:rsidR="00BC316E" w:rsidRPr="00BC316E">
        <w:t xml:space="preserve"> Prediagnostic </w:t>
      </w:r>
      <w:r w:rsidR="00BC316E">
        <w:t>c</w:t>
      </w:r>
      <w:r w:rsidR="00BC316E" w:rsidRPr="00BC316E">
        <w:t xml:space="preserve">alcium </w:t>
      </w:r>
      <w:r w:rsidR="00BC316E">
        <w:t>i</w:t>
      </w:r>
      <w:r w:rsidR="00BC316E" w:rsidRPr="00BC316E">
        <w:t xml:space="preserve">ntake and </w:t>
      </w:r>
      <w:r w:rsidR="00BC316E">
        <w:t>l</w:t>
      </w:r>
      <w:r w:rsidR="00BC316E" w:rsidRPr="00BC316E">
        <w:t xml:space="preserve">ung </w:t>
      </w:r>
      <w:r w:rsidR="00BC316E">
        <w:t>c</w:t>
      </w:r>
      <w:r w:rsidR="00BC316E" w:rsidRPr="00BC316E">
        <w:t xml:space="preserve">ancer </w:t>
      </w:r>
      <w:r w:rsidR="00BC316E">
        <w:t>s</w:t>
      </w:r>
      <w:r w:rsidR="00BC316E" w:rsidRPr="00BC316E">
        <w:t xml:space="preserve">urvival </w:t>
      </w:r>
      <w:r w:rsidR="00A16BE7" w:rsidRPr="006325C2">
        <w:br w:type="page"/>
      </w:r>
    </w:p>
    <w:p w:rsidR="006325C2" w:rsidRPr="00772C0E" w:rsidRDefault="006325C2" w:rsidP="000F594B">
      <w:pPr>
        <w:spacing w:before="60" w:after="0" w:line="480" w:lineRule="auto"/>
        <w:rPr>
          <w:b/>
        </w:rPr>
      </w:pPr>
      <w:r w:rsidRPr="00772C0E">
        <w:rPr>
          <w:b/>
        </w:rPr>
        <w:lastRenderedPageBreak/>
        <w:t>Abstract</w:t>
      </w:r>
    </w:p>
    <w:p w:rsidR="006325C2" w:rsidRPr="006325C2" w:rsidRDefault="006325C2" w:rsidP="00434502">
      <w:pPr>
        <w:spacing w:before="60" w:after="0" w:line="480" w:lineRule="auto"/>
      </w:pPr>
      <w:r w:rsidRPr="006325C2">
        <w:rPr>
          <w:b/>
        </w:rPr>
        <w:t>PURPOSE</w:t>
      </w:r>
      <w:r w:rsidR="00A240EC" w:rsidRPr="006325C2">
        <w:rPr>
          <w:b/>
        </w:rPr>
        <w:t>:</w:t>
      </w:r>
      <w:r w:rsidR="00C575DA" w:rsidRPr="006325C2">
        <w:rPr>
          <w:b/>
        </w:rPr>
        <w:t xml:space="preserve"> </w:t>
      </w:r>
      <w:r w:rsidR="00211D7E" w:rsidRPr="006325C2">
        <w:t>Lung cancer is the leading cause of cancer death worldwide</w:t>
      </w:r>
      <w:r w:rsidR="007B1E14" w:rsidRPr="006325C2">
        <w:t xml:space="preserve">. Its prognosis is usually poor and little is known about whether prediagnostic nutritional factors may </w:t>
      </w:r>
      <w:r w:rsidR="00D74FD1" w:rsidRPr="006325C2">
        <w:t>affect</w:t>
      </w:r>
      <w:r w:rsidR="007B1E14" w:rsidRPr="006325C2">
        <w:t xml:space="preserve"> </w:t>
      </w:r>
      <w:r w:rsidR="00772C0E">
        <w:t>its</w:t>
      </w:r>
      <w:r w:rsidR="007B1E14" w:rsidRPr="006325C2">
        <w:t xml:space="preserve"> survival.</w:t>
      </w:r>
      <w:r w:rsidR="00772C0E">
        <w:t xml:space="preserve"> </w:t>
      </w:r>
      <w:r w:rsidR="00772C0E" w:rsidRPr="006325C2">
        <w:t>Using data from the Calcium and Lung Cancer Pooling Project, including 12 prospective cohort studies in the US, Europe, and Asia, we examined the associations of prediagnostic calcium intake from foods and/or supplements with lung cancer survival.</w:t>
      </w:r>
      <w:r w:rsidR="00772C0E">
        <w:t xml:space="preserve"> </w:t>
      </w:r>
    </w:p>
    <w:p w:rsidR="004B18A5" w:rsidRPr="006325C2" w:rsidRDefault="006325C2" w:rsidP="00434502">
      <w:pPr>
        <w:spacing w:before="60" w:after="0" w:line="480" w:lineRule="auto"/>
      </w:pPr>
      <w:r w:rsidRPr="00772C0E">
        <w:rPr>
          <w:b/>
        </w:rPr>
        <w:t>PATIENTS AND METHODS:</w:t>
      </w:r>
      <w:r w:rsidR="00772C0E">
        <w:rPr>
          <w:b/>
        </w:rPr>
        <w:t xml:space="preserve"> </w:t>
      </w:r>
      <w:r w:rsidR="00B37BED" w:rsidRPr="006325C2">
        <w:t>The present analys</w:t>
      </w:r>
      <w:r w:rsidR="006D5177" w:rsidRPr="006325C2">
        <w:t>i</w:t>
      </w:r>
      <w:r w:rsidR="00B37BED" w:rsidRPr="006325C2">
        <w:t>s included 23,882 incident</w:t>
      </w:r>
      <w:r w:rsidR="00D74FD1" w:rsidRPr="006325C2">
        <w:t>,</w:t>
      </w:r>
      <w:r w:rsidR="00B37BED" w:rsidRPr="006325C2">
        <w:t xml:space="preserve"> primary lung cancer </w:t>
      </w:r>
      <w:r w:rsidR="00544898" w:rsidRPr="006325C2">
        <w:t>patients</w:t>
      </w:r>
      <w:r w:rsidR="006D5177" w:rsidRPr="006325C2">
        <w:t xml:space="preserve">. </w:t>
      </w:r>
      <w:r w:rsidR="00A240EC" w:rsidRPr="006325C2">
        <w:t xml:space="preserve">Information on </w:t>
      </w:r>
      <w:r w:rsidR="00EE30A2" w:rsidRPr="006325C2">
        <w:t>participant</w:t>
      </w:r>
      <w:r w:rsidR="00544898" w:rsidRPr="006325C2">
        <w:t>s’</w:t>
      </w:r>
      <w:r w:rsidR="00D74FD1" w:rsidRPr="006325C2">
        <w:t xml:space="preserve"> </w:t>
      </w:r>
      <w:r w:rsidR="00A240EC" w:rsidRPr="006325C2">
        <w:t xml:space="preserve">sociodemographics, </w:t>
      </w:r>
      <w:r w:rsidR="00544898" w:rsidRPr="006325C2">
        <w:t xml:space="preserve">diets and </w:t>
      </w:r>
      <w:r w:rsidR="00A240EC" w:rsidRPr="006325C2">
        <w:t xml:space="preserve">lifestyles, medical history, and anthropometrics was collected at </w:t>
      </w:r>
      <w:r w:rsidR="00487439" w:rsidRPr="006325C2">
        <w:t xml:space="preserve">the </w:t>
      </w:r>
      <w:r w:rsidR="00810666" w:rsidRPr="006325C2">
        <w:t xml:space="preserve">baseline survey of </w:t>
      </w:r>
      <w:r w:rsidR="00A240EC" w:rsidRPr="006325C2">
        <w:t xml:space="preserve">each cohort. </w:t>
      </w:r>
      <w:r w:rsidR="005C660D" w:rsidRPr="006325C2">
        <w:t xml:space="preserve">Dietary calcium intake was estimated based on </w:t>
      </w:r>
      <w:r w:rsidR="00537C5C" w:rsidRPr="006325C2">
        <w:t>the</w:t>
      </w:r>
      <w:r w:rsidR="00D30244" w:rsidRPr="006325C2">
        <w:t xml:space="preserve"> cohort</w:t>
      </w:r>
      <w:r w:rsidR="0069341F" w:rsidRPr="006325C2">
        <w:t>-</w:t>
      </w:r>
      <w:r w:rsidR="00D30244" w:rsidRPr="006325C2">
        <w:t>specific</w:t>
      </w:r>
      <w:r w:rsidR="005C660D" w:rsidRPr="006325C2">
        <w:t xml:space="preserve"> food frequency questionnaire</w:t>
      </w:r>
      <w:r w:rsidR="000A3297">
        <w:t>s</w:t>
      </w:r>
      <w:r w:rsidR="00D30244" w:rsidRPr="006325C2">
        <w:t xml:space="preserve"> </w:t>
      </w:r>
      <w:r w:rsidR="00537C5C" w:rsidRPr="006325C2">
        <w:t>linked with</w:t>
      </w:r>
      <w:r w:rsidR="005C660D" w:rsidRPr="006325C2">
        <w:t xml:space="preserve"> country-specific food composition tables</w:t>
      </w:r>
      <w:r w:rsidR="0069341F" w:rsidRPr="006325C2">
        <w:t xml:space="preserve"> and standardized to caloric intake of 2000 kcal/d for women and 2500 kcal/d for men</w:t>
      </w:r>
      <w:r w:rsidR="00537C5C" w:rsidRPr="006325C2">
        <w:t xml:space="preserve">. </w:t>
      </w:r>
      <w:r w:rsidR="00A240EC" w:rsidRPr="006325C2">
        <w:t>Lung cancer incidence</w:t>
      </w:r>
      <w:r w:rsidR="0044053D" w:rsidRPr="006325C2">
        <w:t>,</w:t>
      </w:r>
      <w:r w:rsidR="00A240EC" w:rsidRPr="006325C2">
        <w:t xml:space="preserve"> </w:t>
      </w:r>
      <w:r w:rsidR="0044053D" w:rsidRPr="006325C2">
        <w:t xml:space="preserve">clinical tumor characteristics </w:t>
      </w:r>
      <w:r w:rsidR="00A240EC" w:rsidRPr="006325C2">
        <w:t xml:space="preserve">and </w:t>
      </w:r>
      <w:r w:rsidR="0044053D" w:rsidRPr="006325C2">
        <w:t xml:space="preserve">subsequent </w:t>
      </w:r>
      <w:r w:rsidR="00A240EC" w:rsidRPr="006325C2">
        <w:t>vital status were</w:t>
      </w:r>
      <w:r w:rsidR="00810666" w:rsidRPr="006325C2">
        <w:t xml:space="preserve"> ascertained</w:t>
      </w:r>
      <w:r w:rsidR="00A240EC" w:rsidRPr="006325C2">
        <w:t xml:space="preserve"> </w:t>
      </w:r>
      <w:r w:rsidR="00EE6446" w:rsidRPr="006325C2">
        <w:t xml:space="preserve">per individual cohort </w:t>
      </w:r>
      <w:r w:rsidR="00772C0E" w:rsidRPr="006325C2">
        <w:t>follow-up</w:t>
      </w:r>
      <w:r w:rsidR="00EE6446" w:rsidRPr="006325C2">
        <w:t xml:space="preserve"> protocol</w:t>
      </w:r>
      <w:r w:rsidR="00A240EC" w:rsidRPr="006325C2">
        <w:t>.</w:t>
      </w:r>
      <w:r w:rsidR="004B18A5" w:rsidRPr="006325C2">
        <w:t xml:space="preserve"> Stratified, multivaria</w:t>
      </w:r>
      <w:r w:rsidR="0047506B" w:rsidRPr="006325C2">
        <w:t>ble-adjusted</w:t>
      </w:r>
      <w:r w:rsidR="004B18A5" w:rsidRPr="006325C2">
        <w:t xml:space="preserve"> Cox regression was used to </w:t>
      </w:r>
      <w:r w:rsidR="0044053D" w:rsidRPr="006325C2">
        <w:t xml:space="preserve">compute hazard ratios (HRs) and 95% confidence intervals </w:t>
      </w:r>
      <w:r w:rsidR="00E65495" w:rsidRPr="006325C2">
        <w:t xml:space="preserve">(CIs) </w:t>
      </w:r>
      <w:r w:rsidR="0044053D" w:rsidRPr="006325C2">
        <w:t xml:space="preserve">for </w:t>
      </w:r>
      <w:r w:rsidR="004B18A5" w:rsidRPr="006325C2">
        <w:t xml:space="preserve">the associations </w:t>
      </w:r>
      <w:r w:rsidR="00544898" w:rsidRPr="006325C2">
        <w:t>between</w:t>
      </w:r>
      <w:r w:rsidR="004B18A5" w:rsidRPr="006325C2">
        <w:t xml:space="preserve"> prediagnostic calcium intakes </w:t>
      </w:r>
      <w:r w:rsidR="00544898" w:rsidRPr="006325C2">
        <w:t>and</w:t>
      </w:r>
      <w:r w:rsidR="004B18A5" w:rsidRPr="006325C2">
        <w:t xml:space="preserve"> survival</w:t>
      </w:r>
      <w:r w:rsidR="00D74FD1" w:rsidRPr="006325C2">
        <w:t xml:space="preserve"> among lung cancer patients</w:t>
      </w:r>
      <w:r w:rsidR="004B18A5" w:rsidRPr="006325C2">
        <w:t xml:space="preserve">.   </w:t>
      </w:r>
    </w:p>
    <w:p w:rsidR="00DA6DF6" w:rsidRPr="006325C2" w:rsidRDefault="006325C2" w:rsidP="00DA6DF6">
      <w:pPr>
        <w:spacing w:before="60" w:after="0" w:line="480" w:lineRule="auto"/>
      </w:pPr>
      <w:r w:rsidRPr="006325C2">
        <w:rPr>
          <w:b/>
        </w:rPr>
        <w:t>RESULTS</w:t>
      </w:r>
      <w:r w:rsidR="004B18A5" w:rsidRPr="006325C2">
        <w:rPr>
          <w:b/>
        </w:rPr>
        <w:t>:</w:t>
      </w:r>
      <w:r w:rsidR="0075524F" w:rsidRPr="006325C2">
        <w:rPr>
          <w:b/>
        </w:rPr>
        <w:t xml:space="preserve"> </w:t>
      </w:r>
      <w:r w:rsidR="00E65495" w:rsidRPr="006325C2">
        <w:t xml:space="preserve">A total of </w:t>
      </w:r>
      <w:r w:rsidR="0075524F" w:rsidRPr="006325C2">
        <w:t xml:space="preserve">19,538 </w:t>
      </w:r>
      <w:r w:rsidR="00E65495" w:rsidRPr="006325C2">
        <w:t xml:space="preserve">lung cancer patients </w:t>
      </w:r>
      <w:r w:rsidR="0075524F" w:rsidRPr="006325C2">
        <w:t xml:space="preserve">died during </w:t>
      </w:r>
      <w:r w:rsidR="00F52AC1" w:rsidRPr="006325C2">
        <w:t xml:space="preserve">cohort </w:t>
      </w:r>
      <w:r w:rsidR="0075524F" w:rsidRPr="006325C2">
        <w:t>follow-up</w:t>
      </w:r>
      <w:r w:rsidR="00F52AC1" w:rsidRPr="006325C2">
        <w:t>s</w:t>
      </w:r>
      <w:r w:rsidR="0044053D" w:rsidRPr="006325C2">
        <w:t xml:space="preserve"> </w:t>
      </w:r>
      <w:r w:rsidR="0075524F" w:rsidRPr="006325C2">
        <w:t>with 5-year survival rates of 56%, 2</w:t>
      </w:r>
      <w:r w:rsidR="00CD52AD" w:rsidRPr="006325C2">
        <w:t>1</w:t>
      </w:r>
      <w:r w:rsidR="0075524F" w:rsidRPr="006325C2">
        <w:t xml:space="preserve">%, and </w:t>
      </w:r>
      <w:r w:rsidR="00CD52AD" w:rsidRPr="006325C2">
        <w:t>5</w:t>
      </w:r>
      <w:r w:rsidR="0075524F" w:rsidRPr="006325C2">
        <w:t xml:space="preserve">.7% for </w:t>
      </w:r>
      <w:r w:rsidR="00F52AC1" w:rsidRPr="006325C2">
        <w:t>cancer</w:t>
      </w:r>
      <w:r w:rsidR="0075524F" w:rsidRPr="006325C2">
        <w:t xml:space="preserve"> diagnosed at localized, regional, and distant stage</w:t>
      </w:r>
      <w:r w:rsidR="00D74FD1" w:rsidRPr="006325C2">
        <w:t>s</w:t>
      </w:r>
      <w:r w:rsidR="0075524F" w:rsidRPr="006325C2">
        <w:t>, respectively.</w:t>
      </w:r>
      <w:r w:rsidR="00104740" w:rsidRPr="006325C2">
        <w:t xml:space="preserve"> </w:t>
      </w:r>
      <w:r w:rsidR="00E65495" w:rsidRPr="006325C2">
        <w:t>Low</w:t>
      </w:r>
      <w:r w:rsidR="00544898" w:rsidRPr="006325C2">
        <w:t xml:space="preserve"> prediagnostic</w:t>
      </w:r>
      <w:r w:rsidR="00E65495" w:rsidRPr="006325C2">
        <w:t xml:space="preserve"> </w:t>
      </w:r>
      <w:r w:rsidR="00DA6DF6" w:rsidRPr="006325C2">
        <w:t xml:space="preserve">dietary </w:t>
      </w:r>
      <w:r w:rsidR="008C31D7" w:rsidRPr="006325C2">
        <w:t>calcium intake</w:t>
      </w:r>
      <w:r w:rsidR="00E65495" w:rsidRPr="006325C2">
        <w:t xml:space="preserve"> (&lt;500</w:t>
      </w:r>
      <w:r w:rsidR="00F8641A" w:rsidRPr="006325C2">
        <w:t>-</w:t>
      </w:r>
      <w:r w:rsidR="00E65495" w:rsidRPr="006325C2">
        <w:t>600 mg/d</w:t>
      </w:r>
      <w:r w:rsidR="005949D7" w:rsidRPr="006325C2">
        <w:t xml:space="preserve">, </w:t>
      </w:r>
      <w:r w:rsidR="009F4AE2" w:rsidRPr="006325C2">
        <w:t xml:space="preserve">less than </w:t>
      </w:r>
      <w:r w:rsidR="005949D7" w:rsidRPr="006325C2">
        <w:t>half of the recommended intake</w:t>
      </w:r>
      <w:r w:rsidR="009F4AE2" w:rsidRPr="006325C2">
        <w:t>s</w:t>
      </w:r>
      <w:r w:rsidR="00E65495" w:rsidRPr="006325C2">
        <w:t>)</w:t>
      </w:r>
      <w:r w:rsidR="008C31D7" w:rsidRPr="006325C2">
        <w:t xml:space="preserve">, was associated with </w:t>
      </w:r>
      <w:r w:rsidR="00EC7D09" w:rsidRPr="006325C2">
        <w:t xml:space="preserve">a </w:t>
      </w:r>
      <w:r w:rsidR="008C31D7" w:rsidRPr="006325C2">
        <w:t>sig</w:t>
      </w:r>
      <w:r w:rsidR="00EC7D09" w:rsidRPr="006325C2">
        <w:t xml:space="preserve">nificant, although small, </w:t>
      </w:r>
      <w:r w:rsidR="008C31D7" w:rsidRPr="006325C2">
        <w:t>increase</w:t>
      </w:r>
      <w:r w:rsidR="00EC7D09" w:rsidRPr="006325C2">
        <w:t xml:space="preserve"> in</w:t>
      </w:r>
      <w:r w:rsidR="008C31D7" w:rsidRPr="006325C2">
        <w:t xml:space="preserve"> risk of death compared with </w:t>
      </w:r>
      <w:r w:rsidR="00E65495" w:rsidRPr="006325C2">
        <w:t xml:space="preserve">recommended </w:t>
      </w:r>
      <w:r w:rsidR="008C31D7" w:rsidRPr="006325C2">
        <w:t>calcium intakes</w:t>
      </w:r>
      <w:r w:rsidR="00E65495" w:rsidRPr="006325C2">
        <w:t xml:space="preserve"> (800-1200 mg/d</w:t>
      </w:r>
      <w:r w:rsidR="00EC7D09" w:rsidRPr="006325C2">
        <w:t>)</w:t>
      </w:r>
      <w:r w:rsidR="007C5715" w:rsidRPr="006325C2">
        <w:t>;</w:t>
      </w:r>
      <w:r w:rsidR="00E51B78" w:rsidRPr="006325C2">
        <w:t xml:space="preserve"> </w:t>
      </w:r>
      <w:r w:rsidR="00E65495" w:rsidRPr="006325C2">
        <w:t xml:space="preserve">HR (95% CI) </w:t>
      </w:r>
      <w:r w:rsidR="00BD1B2A" w:rsidRPr="006325C2">
        <w:t>was</w:t>
      </w:r>
      <w:r w:rsidR="00E65495" w:rsidRPr="006325C2">
        <w:t xml:space="preserve"> 1.0</w:t>
      </w:r>
      <w:r w:rsidR="00CD52AD" w:rsidRPr="006325C2">
        <w:t>7</w:t>
      </w:r>
      <w:r w:rsidR="00E65495" w:rsidRPr="006325C2">
        <w:t xml:space="preserve"> (1.0</w:t>
      </w:r>
      <w:r w:rsidR="00CD52AD" w:rsidRPr="006325C2">
        <w:t>1</w:t>
      </w:r>
      <w:r w:rsidR="00E65495" w:rsidRPr="006325C2">
        <w:t xml:space="preserve">, 1.13) after </w:t>
      </w:r>
      <w:r w:rsidR="008C31D7" w:rsidRPr="006325C2">
        <w:t>adjust</w:t>
      </w:r>
      <w:r w:rsidR="00FB7E35" w:rsidRPr="006325C2">
        <w:t>ing</w:t>
      </w:r>
      <w:r w:rsidR="008C31D7" w:rsidRPr="006325C2">
        <w:t xml:space="preserve"> for </w:t>
      </w:r>
      <w:r w:rsidR="00CD52AD" w:rsidRPr="006325C2">
        <w:t xml:space="preserve">age, </w:t>
      </w:r>
      <w:r w:rsidR="006D0865" w:rsidRPr="006325C2">
        <w:t>stage, histologic type, grade,</w:t>
      </w:r>
      <w:r w:rsidR="00E65495" w:rsidRPr="006325C2">
        <w:t xml:space="preserve"> smoking status, pack-years,</w:t>
      </w:r>
      <w:r w:rsidR="006D0865" w:rsidRPr="006325C2">
        <w:t xml:space="preserve"> a</w:t>
      </w:r>
      <w:r w:rsidR="00AF645C" w:rsidRPr="006325C2">
        <w:t>nd other potential prognostic factors</w:t>
      </w:r>
      <w:r w:rsidR="008C31D7" w:rsidRPr="006325C2">
        <w:t xml:space="preserve">. </w:t>
      </w:r>
      <w:r w:rsidR="00BD1B2A" w:rsidRPr="006325C2">
        <w:t xml:space="preserve">The association between low calcium intake and </w:t>
      </w:r>
      <w:r w:rsidR="000A3297">
        <w:t>higher</w:t>
      </w:r>
      <w:r w:rsidR="000D6F04" w:rsidRPr="006325C2">
        <w:t xml:space="preserve"> </w:t>
      </w:r>
      <w:r w:rsidR="00BD1B2A" w:rsidRPr="006325C2">
        <w:t xml:space="preserve">lung </w:t>
      </w:r>
      <w:r w:rsidR="00BD1B2A" w:rsidRPr="006325C2">
        <w:lastRenderedPageBreak/>
        <w:t xml:space="preserve">cancer </w:t>
      </w:r>
      <w:r w:rsidR="000A3297">
        <w:t>case mortality</w:t>
      </w:r>
      <w:r w:rsidR="00392265" w:rsidRPr="006325C2">
        <w:t xml:space="preserve"> </w:t>
      </w:r>
      <w:r w:rsidR="00BD1B2A" w:rsidRPr="006325C2">
        <w:t xml:space="preserve">was evident primarily among patients diagnosed at </w:t>
      </w:r>
      <w:r w:rsidR="00EC7D09" w:rsidRPr="006325C2">
        <w:t>localized and regional</w:t>
      </w:r>
      <w:r w:rsidR="00BD1B2A" w:rsidRPr="006325C2">
        <w:t xml:space="preserve"> stages</w:t>
      </w:r>
      <w:r w:rsidR="00392265" w:rsidRPr="006325C2">
        <w:t>,</w:t>
      </w:r>
      <w:r w:rsidR="00BD1B2A" w:rsidRPr="006325C2">
        <w:t xml:space="preserve"> </w:t>
      </w:r>
      <w:r w:rsidR="00DA38DC" w:rsidRPr="006325C2">
        <w:t xml:space="preserve">with </w:t>
      </w:r>
      <w:r w:rsidR="00BD1B2A" w:rsidRPr="006325C2">
        <w:t xml:space="preserve">HR </w:t>
      </w:r>
      <w:r w:rsidR="00DA38DC" w:rsidRPr="006325C2">
        <w:t>(</w:t>
      </w:r>
      <w:r w:rsidR="00BD1B2A" w:rsidRPr="006325C2">
        <w:t>95% CI</w:t>
      </w:r>
      <w:r w:rsidR="00DA38DC" w:rsidRPr="006325C2">
        <w:t xml:space="preserve">) </w:t>
      </w:r>
      <w:r w:rsidR="000D6F04" w:rsidRPr="006325C2">
        <w:t xml:space="preserve">of </w:t>
      </w:r>
      <w:r w:rsidR="00BD1B2A" w:rsidRPr="006325C2">
        <w:t>1.1</w:t>
      </w:r>
      <w:r w:rsidR="00CD52AD" w:rsidRPr="006325C2">
        <w:t>5</w:t>
      </w:r>
      <w:r w:rsidR="00946C72" w:rsidRPr="006325C2">
        <w:t xml:space="preserve"> </w:t>
      </w:r>
      <w:r w:rsidR="00DA38DC" w:rsidRPr="006325C2">
        <w:t>(</w:t>
      </w:r>
      <w:r w:rsidR="00BD1B2A" w:rsidRPr="006325C2">
        <w:t>1.0</w:t>
      </w:r>
      <w:r w:rsidR="00CD52AD" w:rsidRPr="006325C2">
        <w:t>4</w:t>
      </w:r>
      <w:r w:rsidR="00BD1B2A" w:rsidRPr="006325C2">
        <w:t>, 1.2</w:t>
      </w:r>
      <w:r w:rsidR="00CD52AD" w:rsidRPr="006325C2">
        <w:t>7</w:t>
      </w:r>
      <w:r w:rsidR="00946C72" w:rsidRPr="006325C2">
        <w:t>)</w:t>
      </w:r>
      <w:r w:rsidR="00BD1B2A" w:rsidRPr="006325C2">
        <w:t xml:space="preserve">. </w:t>
      </w:r>
      <w:r w:rsidR="001B570D" w:rsidRPr="006325C2">
        <w:t>Among</w:t>
      </w:r>
      <w:r w:rsidR="00F8641A" w:rsidRPr="006325C2">
        <w:t xml:space="preserve"> early-stage patients, </w:t>
      </w:r>
      <w:r w:rsidR="00775451" w:rsidRPr="006325C2">
        <w:t xml:space="preserve">the association between calcium intake and lung cancer survival </w:t>
      </w:r>
      <w:r w:rsidR="00772C0E">
        <w:t xml:space="preserve">seemed </w:t>
      </w:r>
      <w:r w:rsidR="00775451" w:rsidRPr="006325C2">
        <w:t>differed by sex</w:t>
      </w:r>
      <w:r w:rsidR="002D0F1F" w:rsidRPr="006325C2">
        <w:t xml:space="preserve">. </w:t>
      </w:r>
      <w:r w:rsidR="00687E6F" w:rsidRPr="006325C2">
        <w:t xml:space="preserve">Compared with recommended </w:t>
      </w:r>
      <w:r w:rsidR="0013691E" w:rsidRPr="006325C2">
        <w:t>intake</w:t>
      </w:r>
      <w:r w:rsidR="000A3297">
        <w:t>s</w:t>
      </w:r>
      <w:r w:rsidR="00687E6F" w:rsidRPr="006325C2">
        <w:t>, l</w:t>
      </w:r>
      <w:r w:rsidR="00F8641A" w:rsidRPr="006325C2">
        <w:t>ow dietary calcium intake was associated with increase</w:t>
      </w:r>
      <w:r w:rsidR="00AC1297" w:rsidRPr="006325C2">
        <w:t xml:space="preserve">d </w:t>
      </w:r>
      <w:r w:rsidR="00F8641A" w:rsidRPr="006325C2">
        <w:t>mortality</w:t>
      </w:r>
      <w:r w:rsidR="00033027" w:rsidRPr="006325C2">
        <w:t xml:space="preserve"> </w:t>
      </w:r>
      <w:r w:rsidR="002D0F1F" w:rsidRPr="006325C2">
        <w:t xml:space="preserve">in men </w:t>
      </w:r>
      <w:r w:rsidR="00033027" w:rsidRPr="006325C2">
        <w:t>(</w:t>
      </w:r>
      <w:r w:rsidR="00BA2B82" w:rsidRPr="006325C2">
        <w:t>HR [</w:t>
      </w:r>
      <w:r w:rsidR="00033027" w:rsidRPr="006325C2">
        <w:t>95% CI</w:t>
      </w:r>
      <w:r w:rsidR="00BA2B82" w:rsidRPr="006325C2">
        <w:t>] = 1.25[1.08, 1.45]</w:t>
      </w:r>
      <w:r w:rsidR="00033027" w:rsidRPr="006325C2">
        <w:t>)</w:t>
      </w:r>
      <w:r w:rsidR="002D0F1F" w:rsidRPr="006325C2">
        <w:t>,</w:t>
      </w:r>
      <w:r w:rsidR="00687E6F" w:rsidRPr="006325C2">
        <w:t xml:space="preserve"> </w:t>
      </w:r>
      <w:r w:rsidR="000D6F04" w:rsidRPr="006325C2">
        <w:t xml:space="preserve">but </w:t>
      </w:r>
      <w:r w:rsidR="00687E6F" w:rsidRPr="006325C2">
        <w:t>not</w:t>
      </w:r>
      <w:r w:rsidR="002D0F1F" w:rsidRPr="006325C2">
        <w:t xml:space="preserve"> in women (</w:t>
      </w:r>
      <w:r w:rsidR="00BA2B82" w:rsidRPr="006325C2">
        <w:t>HR [95% CI] = 1.08 [0.92, 1.25]</w:t>
      </w:r>
      <w:r w:rsidR="002D0F1F" w:rsidRPr="006325C2">
        <w:t>)</w:t>
      </w:r>
      <w:r w:rsidR="000D6F04" w:rsidRPr="006325C2">
        <w:t>.</w:t>
      </w:r>
      <w:r w:rsidR="00033027" w:rsidRPr="006325C2">
        <w:t xml:space="preserve"> </w:t>
      </w:r>
      <w:r w:rsidR="000D6F04" w:rsidRPr="006325C2">
        <w:t>H</w:t>
      </w:r>
      <w:r w:rsidR="00AC1297" w:rsidRPr="006325C2">
        <w:t>owever,</w:t>
      </w:r>
      <w:r w:rsidR="00033027" w:rsidRPr="006325C2">
        <w:t xml:space="preserve"> </w:t>
      </w:r>
      <w:r w:rsidR="002D0F1F" w:rsidRPr="006325C2">
        <w:t>i</w:t>
      </w:r>
      <w:r w:rsidR="00D30244" w:rsidRPr="006325C2">
        <w:t xml:space="preserve">n women, a </w:t>
      </w:r>
      <w:r w:rsidR="00033027" w:rsidRPr="006325C2">
        <w:t xml:space="preserve">very high calcium intake (&gt;1500-1800 mg/d) </w:t>
      </w:r>
      <w:r w:rsidR="00AC1297" w:rsidRPr="006325C2">
        <w:t>appeared</w:t>
      </w:r>
      <w:r w:rsidR="00033027" w:rsidRPr="006325C2">
        <w:t xml:space="preserve"> to be associated with increase</w:t>
      </w:r>
      <w:r w:rsidR="00AC1297" w:rsidRPr="006325C2">
        <w:t>d</w:t>
      </w:r>
      <w:r w:rsidR="00033027" w:rsidRPr="006325C2">
        <w:t xml:space="preserve"> mortality </w:t>
      </w:r>
      <w:r w:rsidR="00775451" w:rsidRPr="006325C2">
        <w:t>(HR [95% CI] = 1.33 [1.05-1.70])</w:t>
      </w:r>
      <w:r w:rsidR="00033027" w:rsidRPr="006325C2">
        <w:t xml:space="preserve">. </w:t>
      </w:r>
      <w:r w:rsidR="004502C4" w:rsidRPr="006325C2">
        <w:t xml:space="preserve">No association was found </w:t>
      </w:r>
      <w:r w:rsidR="00AC1297" w:rsidRPr="006325C2">
        <w:t>for</w:t>
      </w:r>
      <w:r w:rsidR="004502C4" w:rsidRPr="006325C2">
        <w:t xml:space="preserve"> prediagnostic supplemental calcium intake </w:t>
      </w:r>
      <w:r w:rsidR="00AC1297" w:rsidRPr="006325C2">
        <w:t>with</w:t>
      </w:r>
      <w:r w:rsidR="004502C4" w:rsidRPr="006325C2">
        <w:t xml:space="preserve"> lung cancer survival in the multivariable-adjusted model.</w:t>
      </w:r>
    </w:p>
    <w:p w:rsidR="00A16BE7" w:rsidRPr="006325C2" w:rsidRDefault="006325C2" w:rsidP="00434502">
      <w:pPr>
        <w:spacing w:before="60" w:after="0" w:line="480" w:lineRule="auto"/>
      </w:pPr>
      <w:r w:rsidRPr="006325C2">
        <w:rPr>
          <w:b/>
        </w:rPr>
        <w:t>CONCLUSION</w:t>
      </w:r>
      <w:r w:rsidR="00416795" w:rsidRPr="006325C2">
        <w:rPr>
          <w:b/>
        </w:rPr>
        <w:t xml:space="preserve">: </w:t>
      </w:r>
      <w:r w:rsidR="00E54452" w:rsidRPr="006325C2">
        <w:t xml:space="preserve">This large pooled analysis </w:t>
      </w:r>
      <w:r w:rsidR="005E31A8" w:rsidRPr="006325C2">
        <w:t>is the first</w:t>
      </w:r>
      <w:r w:rsidR="009E0DCA" w:rsidRPr="006325C2">
        <w:t>,</w:t>
      </w:r>
      <w:r w:rsidR="00A4172B" w:rsidRPr="006325C2">
        <w:t xml:space="preserve"> to our knowledge</w:t>
      </w:r>
      <w:r w:rsidR="005E31A8" w:rsidRPr="006325C2">
        <w:t>,</w:t>
      </w:r>
      <w:r w:rsidR="009E0DCA" w:rsidRPr="006325C2">
        <w:t xml:space="preserve"> to </w:t>
      </w:r>
      <w:r w:rsidR="00EB64AD" w:rsidRPr="006325C2">
        <w:t xml:space="preserve">show </w:t>
      </w:r>
      <w:r w:rsidR="00A4172B" w:rsidRPr="006325C2">
        <w:t>that</w:t>
      </w:r>
      <w:r w:rsidR="009A22A6" w:rsidRPr="006325C2">
        <w:t xml:space="preserve"> </w:t>
      </w:r>
      <w:r w:rsidR="006A7D35" w:rsidRPr="006325C2">
        <w:t xml:space="preserve">low </w:t>
      </w:r>
      <w:r w:rsidR="009A22A6" w:rsidRPr="006325C2">
        <w:t xml:space="preserve">and </w:t>
      </w:r>
      <w:r w:rsidR="00775451" w:rsidRPr="006325C2">
        <w:t>possibly</w:t>
      </w:r>
      <w:r w:rsidR="00EB64AD" w:rsidRPr="006325C2">
        <w:t xml:space="preserve"> </w:t>
      </w:r>
      <w:r w:rsidR="009A22A6" w:rsidRPr="006325C2">
        <w:t xml:space="preserve">very high </w:t>
      </w:r>
      <w:r w:rsidR="00A4172B" w:rsidRPr="006325C2">
        <w:t xml:space="preserve">prediagnostic </w:t>
      </w:r>
      <w:r w:rsidR="00632661" w:rsidRPr="006325C2">
        <w:t xml:space="preserve">dietary </w:t>
      </w:r>
      <w:r w:rsidR="006A7D35" w:rsidRPr="006325C2">
        <w:t>calcium intake</w:t>
      </w:r>
      <w:r w:rsidR="00392265" w:rsidRPr="006325C2">
        <w:t>s</w:t>
      </w:r>
      <w:r w:rsidR="006A7D35" w:rsidRPr="006325C2">
        <w:t xml:space="preserve"> </w:t>
      </w:r>
      <w:r w:rsidR="00392265" w:rsidRPr="006325C2">
        <w:t xml:space="preserve">were </w:t>
      </w:r>
      <w:r w:rsidR="009A22A6" w:rsidRPr="006325C2">
        <w:t xml:space="preserve">associated with </w:t>
      </w:r>
      <w:r w:rsidR="000D6F04" w:rsidRPr="006325C2">
        <w:t xml:space="preserve">poorer </w:t>
      </w:r>
      <w:r w:rsidR="00A2277B" w:rsidRPr="006325C2">
        <w:t>survival</w:t>
      </w:r>
      <w:r w:rsidR="006D6DA5">
        <w:t xml:space="preserve"> </w:t>
      </w:r>
      <w:r w:rsidR="001372FE" w:rsidRPr="006325C2">
        <w:t xml:space="preserve">among </w:t>
      </w:r>
      <w:r w:rsidR="006A7D35" w:rsidRPr="006325C2">
        <w:t xml:space="preserve">early-stage </w:t>
      </w:r>
      <w:r w:rsidR="00DF79C3" w:rsidRPr="006325C2">
        <w:t xml:space="preserve">lung cancer </w:t>
      </w:r>
      <w:r w:rsidR="006A7D35" w:rsidRPr="006325C2">
        <w:t>patients</w:t>
      </w:r>
      <w:r w:rsidR="00EB64AD" w:rsidRPr="006325C2">
        <w:t>,</w:t>
      </w:r>
      <w:r w:rsidR="006A7D35" w:rsidRPr="006325C2">
        <w:t xml:space="preserve"> </w:t>
      </w:r>
      <w:r w:rsidR="00EB64AD" w:rsidRPr="006325C2">
        <w:t>suggesting that</w:t>
      </w:r>
      <w:r w:rsidR="000A2CED" w:rsidRPr="006325C2">
        <w:t xml:space="preserve"> calcium </w:t>
      </w:r>
      <w:r w:rsidR="0080731C">
        <w:t xml:space="preserve">may play </w:t>
      </w:r>
      <w:r w:rsidR="000A2CED" w:rsidRPr="006325C2">
        <w:t xml:space="preserve">an important role in </w:t>
      </w:r>
      <w:r w:rsidR="00E72D0F" w:rsidRPr="006325C2">
        <w:t xml:space="preserve">lung cancer </w:t>
      </w:r>
      <w:r w:rsidR="000A2CED" w:rsidRPr="006325C2">
        <w:t>prognosis</w:t>
      </w:r>
      <w:r w:rsidR="007E7EB6" w:rsidRPr="006325C2">
        <w:t xml:space="preserve">. </w:t>
      </w:r>
      <w:r w:rsidR="009A22A6" w:rsidRPr="006325C2">
        <w:t xml:space="preserve"> </w:t>
      </w:r>
      <w:r w:rsidR="00A16BE7" w:rsidRPr="006325C2">
        <w:rPr>
          <w:b/>
        </w:rPr>
        <w:br w:type="page"/>
      </w:r>
    </w:p>
    <w:p w:rsidR="00090B69" w:rsidRPr="006325C2" w:rsidRDefault="0059003B" w:rsidP="00434502">
      <w:pPr>
        <w:spacing w:before="60" w:after="0" w:line="480" w:lineRule="auto"/>
      </w:pPr>
      <w:r w:rsidRPr="006325C2">
        <w:lastRenderedPageBreak/>
        <w:t>L</w:t>
      </w:r>
      <w:r w:rsidR="00DB3BF4" w:rsidRPr="006325C2">
        <w:t>ung cancer</w:t>
      </w:r>
      <w:r w:rsidR="00A51F00" w:rsidRPr="006325C2">
        <w:t xml:space="preserve"> is the </w:t>
      </w:r>
      <w:r w:rsidR="001A5B78" w:rsidRPr="006325C2">
        <w:t xml:space="preserve">most common cancer and the leading </w:t>
      </w:r>
      <w:r w:rsidR="00A51F00" w:rsidRPr="006325C2">
        <w:t>cause of cancer death</w:t>
      </w:r>
      <w:r w:rsidRPr="006325C2">
        <w:t xml:space="preserve"> </w:t>
      </w:r>
      <w:r w:rsidR="007B1E14" w:rsidRPr="006325C2">
        <w:t>in the world</w:t>
      </w:r>
      <w:r w:rsidRPr="006325C2">
        <w:t xml:space="preserve">, </w:t>
      </w:r>
      <w:r w:rsidR="00F94AB1" w:rsidRPr="006325C2">
        <w:t>accounting for approximately</w:t>
      </w:r>
      <w:r w:rsidR="007450DE" w:rsidRPr="006325C2">
        <w:t xml:space="preserve"> 1.8 million new cases (</w:t>
      </w:r>
      <w:r w:rsidRPr="006325C2">
        <w:t>13</w:t>
      </w:r>
      <w:r w:rsidR="007450DE" w:rsidRPr="006325C2">
        <w:t xml:space="preserve">% of </w:t>
      </w:r>
      <w:r w:rsidR="00FA7311" w:rsidRPr="006325C2">
        <w:t xml:space="preserve">all </w:t>
      </w:r>
      <w:r w:rsidR="009A3EB7" w:rsidRPr="006325C2">
        <w:t>cancer</w:t>
      </w:r>
      <w:r w:rsidR="00F94AB1" w:rsidRPr="006325C2">
        <w:t xml:space="preserve"> cases</w:t>
      </w:r>
      <w:r w:rsidR="007450DE" w:rsidRPr="006325C2">
        <w:t xml:space="preserve">) and 1.6 million deaths (20% of </w:t>
      </w:r>
      <w:r w:rsidR="00FA7311" w:rsidRPr="006325C2">
        <w:t xml:space="preserve">all </w:t>
      </w:r>
      <w:r w:rsidR="00F94AB1" w:rsidRPr="006325C2">
        <w:t>cancer deaths</w:t>
      </w:r>
      <w:r w:rsidR="007450DE" w:rsidRPr="006325C2">
        <w:t xml:space="preserve">) </w:t>
      </w:r>
      <w:r w:rsidR="000C645F" w:rsidRPr="006325C2">
        <w:t>annually</w:t>
      </w:r>
      <w:r w:rsidR="00111FF5" w:rsidRPr="006325C2">
        <w:t>.</w:t>
      </w:r>
      <w:r w:rsidR="00111FF5" w:rsidRPr="006325C2">
        <w:fldChar w:fldCharType="begin"/>
      </w:r>
      <w:r w:rsidR="00111FF5" w:rsidRPr="006325C2">
        <w:instrText xml:space="preserve"> ADDIN ZOTERO_ITEM CSL_CITATION {"citationID":"a15EuGx1","properties":{"formattedCitation":"{\\rtf \\super 1\\nosupersub{}}","plainCitation":"1"},"citationItems":[{"id":770,"uris":["http://zotero.org/users/2024628/items/SKAU3G78"],"uri":["http://zotero.org/users/2024628/items/SKAU3G78"],"itemData":{"id":770,"type":"report","title":"Global Cancer Facts &amp; Figures 3rd Edition","publisher-place":"Atlanta: American Cancer Society","event-place":"Atlanta: American Cancer Society","note":"00000","author":[{"family":"American Cancer Society","given":""}],"issued":{"date-parts":[["2015"]]}}}],"schema":"https://github.com/citation-style-language/schema/raw/master/csl-citation.json"} </w:instrText>
      </w:r>
      <w:r w:rsidR="00111FF5" w:rsidRPr="006325C2">
        <w:fldChar w:fldCharType="separate"/>
      </w:r>
      <w:r w:rsidR="00AB395C" w:rsidRPr="00AB395C">
        <w:rPr>
          <w:vertAlign w:val="superscript"/>
        </w:rPr>
        <w:t>1</w:t>
      </w:r>
      <w:r w:rsidR="00111FF5" w:rsidRPr="006325C2">
        <w:fldChar w:fldCharType="end"/>
      </w:r>
      <w:r w:rsidR="003B49F4" w:rsidRPr="006325C2">
        <w:t xml:space="preserve"> </w:t>
      </w:r>
      <w:r w:rsidR="000C645F" w:rsidRPr="006325C2">
        <w:t>M</w:t>
      </w:r>
      <w:r w:rsidR="007450DE" w:rsidRPr="006325C2">
        <w:t xml:space="preserve">ost lung cancer patients </w:t>
      </w:r>
      <w:r w:rsidR="005E31A8" w:rsidRPr="006325C2">
        <w:t>are</w:t>
      </w:r>
      <w:r w:rsidR="007450DE" w:rsidRPr="006325C2">
        <w:t xml:space="preserve"> diagnosed at </w:t>
      </w:r>
      <w:r w:rsidR="00FC61D0" w:rsidRPr="006325C2">
        <w:t>advanced</w:t>
      </w:r>
      <w:r w:rsidR="007450DE" w:rsidRPr="006325C2">
        <w:t xml:space="preserve"> stages</w:t>
      </w:r>
      <w:r w:rsidR="00352306" w:rsidRPr="006325C2">
        <w:t xml:space="preserve"> when the possibility of cure is </w:t>
      </w:r>
      <w:r w:rsidR="00456353" w:rsidRPr="006325C2">
        <w:t>low</w:t>
      </w:r>
      <w:r w:rsidR="00352306" w:rsidRPr="006325C2">
        <w:t>, resulting</w:t>
      </w:r>
      <w:r w:rsidR="000C645F" w:rsidRPr="006325C2">
        <w:t xml:space="preserve"> </w:t>
      </w:r>
      <w:r w:rsidR="005E31A8" w:rsidRPr="006325C2">
        <w:t xml:space="preserve">in </w:t>
      </w:r>
      <w:r w:rsidR="00352306" w:rsidRPr="006325C2">
        <w:t>an</w:t>
      </w:r>
      <w:r w:rsidR="007450DE" w:rsidRPr="006325C2">
        <w:t xml:space="preserve"> overall 5-year survival rate </w:t>
      </w:r>
      <w:r w:rsidR="00183360" w:rsidRPr="006325C2">
        <w:t xml:space="preserve">of </w:t>
      </w:r>
      <w:r w:rsidR="000C645F" w:rsidRPr="006325C2">
        <w:t xml:space="preserve"> </w:t>
      </w:r>
      <w:r w:rsidR="007261AA" w:rsidRPr="006325C2">
        <w:t>~</w:t>
      </w:r>
      <w:r w:rsidR="000C645F" w:rsidRPr="006325C2">
        <w:t>18%</w:t>
      </w:r>
      <w:r w:rsidR="007450DE" w:rsidRPr="006325C2">
        <w:t xml:space="preserve"> in the United States</w:t>
      </w:r>
      <w:r w:rsidR="00AE3D89" w:rsidRPr="006325C2">
        <w:t xml:space="preserve"> (US)</w:t>
      </w:r>
      <w:r w:rsidR="007450DE" w:rsidRPr="006325C2">
        <w:t xml:space="preserve"> and </w:t>
      </w:r>
      <w:r w:rsidR="000C645F" w:rsidRPr="006325C2">
        <w:t xml:space="preserve">even </w:t>
      </w:r>
      <w:r w:rsidR="007450DE" w:rsidRPr="006325C2">
        <w:t xml:space="preserve">lower in other </w:t>
      </w:r>
      <w:r w:rsidR="007261AA" w:rsidRPr="006325C2">
        <w:t>countries</w:t>
      </w:r>
      <w:r w:rsidR="007450DE" w:rsidRPr="006325C2">
        <w:t>.</w:t>
      </w:r>
      <w:r w:rsidR="00131DDF" w:rsidRPr="006325C2">
        <w:fldChar w:fldCharType="begin"/>
      </w:r>
      <w:r w:rsidR="0008000A" w:rsidRPr="006325C2">
        <w:instrText xml:space="preserve"> ADDIN ZOTERO_ITEM CSL_CITATION {"citationID":"1vmphqfgkg","properties":{"formattedCitation":"{\\rtf \\super 2\\uc0\\u8211{}4\\nosupersub{}}","plainCitation":"2–4"},"citationItems":[{"id":772,"uris":["http://zotero.org/users/2024628/items/8EBI79W3"],"uri":["http://zotero.org/users/2024628/items/8EBI79W3"],"itemData":{"id":772,"type":"report","title":"SEER Cancer Statistics Review, 1975-2012.","publisher":"National Cancer Institute","publisher-place":"Bethesda, MD","event-place":"Bethesda, MD","URL":"http://seer.cancer.gov/csr/1975_2012/","note":"00000","author":[{"family":"Howlader","given":"N"},{"family":"Noone","given":"AM"},{"family":"Krapcho","given":"M"},{"family":"Garshell","given":"J"},{"family":"Miller","given":"D"},{"family":"Altekruse","given":"SF"},{"family":"Kosary","given":"CL"},{"family":"Yu","given":"M"},{"family":"Ruhl","given":"J"},{"family":"Tatalovich","given":"Z"},{"family":"Mariotto","given":"A"},{"family":"Lewis","given":"DR"},{"family":"Chen","given":"HS"},{"family":"Feuer","given":"EJ"},{"family":"Cronin","given":"KA"}],"issued":{"date-parts":[["2015"]]}},"label":"page"},{"id":773,"uris":["http://zotero.org/users/2024628/items/PPZTANEP"],"uri":["http://zotero.org/users/2024628/items/PPZTANEP"],"itemData":{"id":773,"type":"article-journal","title":"Long-term survival expectations of cancer patients in Europe in 2000–2002","container-title":"European Journal of Cancer","collection-title":"Survival of cancer patients in Europe, 1995–2002: The EUROCARE 4 study","page":"1028-1041","volume":"45","issue":"6","source":"ScienceDirect","abstract":"Period analysis has been shown to provide more up-to-date estimates of long-term cancer survival rates than traditional cohort-based analysis. Here, we provide detailed period estimates of 5- and 10-year relative survival by cancer site, country, sex and age for calendar years 2000–2002. In addition, pan-European estimates of 1-, 5- and 10-year relative survival are provided. Overall, survival estimates were mostly higher than previously available cohort estimates. For most cancer sites, survival in countries from Northern Europe, Central Europe and Southern Europe was substantially higher than in the United Kingdom and Ireland and in countries from Eastern Europe. Furthermore, relative survival was also better in female than in male patients and decreased with age for most cancer sites.","DOI":"10.1016/j.ejca.2008.11.005","ISSN":"0959-8049","note":"00113","journalAbbreviation":"European Journal of Cancer","author":[{"family":"Brenner","given":"Hermann"},{"family":"Francisci","given":"Silvia"},{"family":"Angelis","given":"Roberta","non-dropping-particle":"de"},{"family":"Marcos-Gragera","given":"Rafael"},{"family":"Verdecchia","given":"Arduino"},{"family":"Gatta","given":"Gemma"},{"family":"Allemani","given":"Claudia"},{"family":"Ciccolallo","given":"Laura"},{"family":"Coleman","given":"Michel"},{"family":"Sant","given":"Milena"}],"issued":{"date-parts":[["2009",4]]}},"label":"page"},{"id":775,"uris":["http://zotero.org/users/2024628/items/Q34PI6RH"],"uri":["http://zotero.org/users/2024628/items/Q34PI6RH"],"itemData":{"id":775,"type":"article-journal","title":"Cancer survival in China, 2003-2005: a population-based study","container-title":"International Journal of Cancer. Journal International Du Cancer","page":"1921-1930","volume":"136","issue":"8","source":"PubMed","abstract":"Limited population-based cancer registry data available in China until now has hampered efforts to inform cancer control policy. Following extensive efforts to improve the systematic cancer surveillance in this country, we report on the largest pooled analysis of cancer survival data in China to date. Of 21 population-based cancer registries, data from 17 registries (n = 138,852 cancer records) were included in the final analysis. Cases were diagnosed in 2003-2005 and followed until the end of 2010. Age-standardized relative survival was calculated using region-specific life tables for all cancers combined and 26 individual cancers. Estimates were further stratified by sex and geographical area. The age-standardized 5-year relative survival for all cancers was 30.9% (95% confidence intervals: 30.6%-31.2%). Female breast cancer had high survival (73.0%) followed by cancers of the colorectum (47.2%), stomach (27.4%), esophagus (20.9%), with lung and liver cancer having poor survival (16.1% and 10.1%), respectively. Survival for women was generally higher than for men. Survival for rural patients was about half that of their urban counterparts for all cancers combined (21.8% vs. 39.5%); the pattern was similar for individual major cancers except esophageal cancer. The poor population survival rates in China emphasize the urgent need for government policy changes and investment to improve health services. While the causes for the striking urban-rural disparities observed are not fully understood, increasing access of health service in rural areas and providing basic health-care to the disadvantaged populations will be essential for reducing this disparity in the future.","DOI":"10.1002/ijc.29227","ISSN":"1097-0215","note":"00047 \nPMID: 25242378","shortTitle":"Cancer survival in China, 2003-2005","journalAbbreviation":"Int. J. Cancer","language":"eng","author":[{"family":"Zeng","given":"Hongmei"},{"family":"Zheng","given":"Rongshou"},{"family":"Guo","given":"Yuming"},{"family":"Zhang","given":"Siwei"},{"family":"Zou","given":"Xiaonong"},{"family":"Wang","given":"Ning"},{"family":"Zhang","given":"Limei"},{"family":"Tang","given":"Jingao"},{"family":"Chen","given":"Jianguo"},{"family":"Wei","given":"Kuangrong"},{"family":"Huang","given":"Suqin"},{"family":"Wang","given":"Jian"},{"family":"Yu","given":"Liang"},{"family":"Zhao","given":"Deli"},{"family":"Song","given":"Guohui"},{"family":"Chen","given":"Jianshun"},{"family":"Shen","given":"Yongzhou"},{"family":"Yang","given":"Xiaoping"},{"family":"Gu","given":"Xiaoping"},{"family":"Jin","given":"Feng"},{"family":"Li","given":"Qilong"},{"family":"Li","given":"Yanhua"},{"family":"Ge","given":"Hengming"},{"family":"Zhu","given":"Fengdong"},{"family":"Dong","given":"Jianmei"},{"family":"Guo","given":"Guoping"},{"family":"Wu","given":"Ming"},{"family":"Du","given":"Lingbin"},{"family":"Sun","given":"Xibin"},{"family":"He","given":"Yutong"},{"family":"Coleman","given":"Michel P."},{"family":"Baade","given":"Peter"},{"family":"Chen","given":"Wanqing"},{"family":"Yu","given":"Xue Qin"}],"issued":{"date-parts":[["2015",4,15]]},"PMID":"25242378"},"label":"page"}],"schema":"https://github.com/citation-style-language/schema/raw/master/csl-citation.json"} </w:instrText>
      </w:r>
      <w:r w:rsidR="00131DDF" w:rsidRPr="006325C2">
        <w:fldChar w:fldCharType="separate"/>
      </w:r>
      <w:r w:rsidR="00AB395C" w:rsidRPr="00AB395C">
        <w:rPr>
          <w:vertAlign w:val="superscript"/>
        </w:rPr>
        <w:t>2–4</w:t>
      </w:r>
      <w:r w:rsidR="00131DDF" w:rsidRPr="006325C2">
        <w:fldChar w:fldCharType="end"/>
      </w:r>
      <w:r w:rsidR="007450DE" w:rsidRPr="006325C2">
        <w:t xml:space="preserve"> </w:t>
      </w:r>
      <w:r w:rsidR="00352306" w:rsidRPr="006325C2">
        <w:t xml:space="preserve"> While p</w:t>
      </w:r>
      <w:r w:rsidR="00CB52E7" w:rsidRPr="006325C2">
        <w:t>rognosis</w:t>
      </w:r>
      <w:r w:rsidR="00D104AC" w:rsidRPr="006325C2">
        <w:t xml:space="preserve"> </w:t>
      </w:r>
      <w:r w:rsidR="00392DAE" w:rsidRPr="006325C2">
        <w:t xml:space="preserve">of </w:t>
      </w:r>
      <w:r w:rsidR="00CB52E7" w:rsidRPr="006325C2">
        <w:t xml:space="preserve">lung cancer </w:t>
      </w:r>
      <w:r w:rsidR="00090B69" w:rsidRPr="006325C2">
        <w:t xml:space="preserve">largely </w:t>
      </w:r>
      <w:r w:rsidR="00D104AC" w:rsidRPr="006325C2">
        <w:t>depend</w:t>
      </w:r>
      <w:r w:rsidR="007602A6" w:rsidRPr="006325C2">
        <w:t>s</w:t>
      </w:r>
      <w:r w:rsidR="00CB52E7" w:rsidRPr="006325C2">
        <w:t xml:space="preserve"> on </w:t>
      </w:r>
      <w:r w:rsidR="00392DAE" w:rsidRPr="006325C2">
        <w:t xml:space="preserve">clinical and pathological factors, </w:t>
      </w:r>
      <w:r w:rsidR="00DE33F7" w:rsidRPr="006325C2">
        <w:t>such as</w:t>
      </w:r>
      <w:r w:rsidR="00392DAE" w:rsidRPr="006325C2">
        <w:t xml:space="preserve"> </w:t>
      </w:r>
      <w:r w:rsidR="00CB52E7" w:rsidRPr="006325C2">
        <w:t xml:space="preserve">stage, </w:t>
      </w:r>
      <w:r w:rsidR="00574AE3" w:rsidRPr="006325C2">
        <w:t>histologic</w:t>
      </w:r>
      <w:r w:rsidR="00090B69" w:rsidRPr="006325C2">
        <w:t xml:space="preserve"> type</w:t>
      </w:r>
      <w:r w:rsidR="00CB52E7" w:rsidRPr="006325C2">
        <w:t xml:space="preserve">, </w:t>
      </w:r>
      <w:r w:rsidR="007602A6" w:rsidRPr="006325C2">
        <w:t>treatment</w:t>
      </w:r>
      <w:r w:rsidR="00506A57" w:rsidRPr="006325C2">
        <w:t xml:space="preserve"> </w:t>
      </w:r>
      <w:r w:rsidR="000C645F" w:rsidRPr="006325C2">
        <w:t>options</w:t>
      </w:r>
      <w:r w:rsidR="007602A6" w:rsidRPr="006325C2">
        <w:t xml:space="preserve">, </w:t>
      </w:r>
      <w:r w:rsidR="00CB52E7" w:rsidRPr="006325C2">
        <w:t>and patients’ demographics and</w:t>
      </w:r>
      <w:r w:rsidR="00FA7311" w:rsidRPr="006325C2">
        <w:t xml:space="preserve"> comorbidit</w:t>
      </w:r>
      <w:r w:rsidR="007C5715" w:rsidRPr="006325C2">
        <w:t>y status</w:t>
      </w:r>
      <w:r w:rsidR="00352306" w:rsidRPr="006325C2">
        <w:t>,</w:t>
      </w:r>
      <w:r w:rsidR="0008000A" w:rsidRPr="006325C2">
        <w:fldChar w:fldCharType="begin"/>
      </w:r>
      <w:r w:rsidR="00AB395C">
        <w:instrText xml:space="preserve"> ADDIN ZOTERO_ITEM CSL_CITATION {"citationID":"1v4v1qjott","properties":{"formattedCitation":"{\\rtf \\super 2, 5, 6\\nosupersub{}}","plainCitation":"2, 5, 6"},"citationItems":[{"id":772,"uris":["http://zotero.org/users/2024628/items/8EBI79W3"],"uri":["http://zotero.org/users/2024628/items/8EBI79W3"],"itemData":{"id":772,"type":"report","title":"SEER Cancer Statistics Review, 1975-2012.","publisher":"National Cancer Institute","publisher-place":"Bethesda, MD","event-place":"Bethesda, MD","URL":"http://seer.cancer.gov/csr/1975_2012/","note":"00000","author":[{"family":"Howlader","given":"N"},{"family":"Noone","given":"AM"},{"family":"Krapcho","given":"M"},{"family":"Garshell","given":"J"},{"family":"Miller","given":"D"},{"family":"Altekruse","given":"SF"},{"family":"Kosary","given":"CL"},{"family":"Yu","given":"M"},{"family":"Ruhl","given":"J"},{"family":"Tatalovich","given":"Z"},{"family":"Mariotto","given":"A"},{"family":"Lewis","given":"DR"},{"family":"Chen","given":"HS"},{"family":"Feuer","given":"EJ"},{"family":"Cronin","given":"KA"}],"issued":{"date-parts":[["2015"]]}},"label":"page"},{"id":777,"uris":["http://zotero.org/users/2024628/items/FDPWKDQW"],"uri":["http://zotero.org/users/2024628/items/FDPWKDQW"],"itemData":{"id":777,"type":"article-journal","title":"The impact of additional prognostic factors on survival and their relationship with the anatomical extent of disease expressed by the 6th Edition of the TNM Classification of Malignant Tumors and the proposals for the 7th Edition","container-title":"Journal of Thoracic Oncology: Official Publication of the International Association for the Study of Lung Cancer","page":"457-466","volume":"3","issue":"5","source":"PubMed","abstract":"PURPOSE: To identify, in the international staging database of the International Association for the Study of Lung Cancer, those prognostic factors that were significant and independent of clinical stage.\nMATERIAL AND METHODS: From the data submitted to the staging data base concerning 100,869 patients, cases were selected for which all the following variables were available: clinical stage, age, gender, performance status (PS), and histologic cell types. For non-small cell lung cancer (NSCLC), 12,428 patients were assessable, and for SCLC, 6609 patients were available for this study. Methods used were Cox regression analyses and recursive partitioning and amalgamation analyses.\nRESULTS: PS appeared to be a very important prognostic factor for survival in addition to clinical stage. Age and gender were other independent significant variables; For NSCLC and SCLC separately, recursive partitioning and amalgamation allowed the identification of four groups of patients with differing prognoses. In advanced NSCLC (stage IIIB / IV), some routine laboratory tests (mainly white blood cells and hypercalcaemia) were also found to be significant prognostic variables. In SCLC, albumin was an independent biologic prognostic factor.\nCONCLUSION: In addition to stage, PS and, to a lesser extent, age and gender seem to be important prognostic factors for survival in lung cancer. Although this data was obtained from the largest series ever used for such an analysis in lung cancer, these prognostic factors and models require confirmation in the prospective study already planned by the International Association for the Study of Lung Cancer Lung Cancer Staging Project.","DOI":"10.1097/JTO.0b013e31816de2b8","ISSN":"1556-1380","note":"00154 \nPMID: 18448996","journalAbbreviation":"J Thorac Oncol","language":"eng","author":[{"family":"Sculier","given":"Jean-Paul"},{"family":"Chansky","given":"Kari"},{"family":"Crowley","given":"John J."},{"family":"Van Meerbeeck","given":"Jan"},{"family":"Goldstraw","given":"Peter"},{"literal":"International Staging Committee and Participating Institutions"}],"issued":{"date-parts":[["2008",5]]},"PMID":"18448996"},"label":"page"},{"id":779,"uris":["http://zotero.org/users/2024628/items/N4AP7HW5"],"uri":["http://zotero.org/users/2024628/items/N4AP7HW5"],"itemData":{"id":779,"type":"article-journal","title":"Disparities by Race, Age, and Sex in the Improvement of Survival for Major Cancers: Results From the National Cancer Institute Surveillance, Epidemiology, and End Results (SEER) Program in the United States, 1990 to 2010","container-title":"JAMA oncology","page":"88-96","volume":"1","issue":"1","source":"PubMed","abstract":"IMPORTANCE: Substantial progress has been made in cancer diagnosis and treatment, resulting in a steady improvement in cancer survival. The degree of improvement by age, race, and sex remains unclear.\nOBJECTIVE: To quantify the degree of survival improvement over time by age, race, and sex in the United States.\nDESIGN, SETTING, AND PARTICIPANTS: Longitudinal analyses of cancer follow-up data from 1990 to 2010, from 1.02 million patients who had been diagnosed as having cancer of the colon or rectum, breast, prostate, lung, liver, pancreas, or ovary from 1990 to 2009 and who were included in 1 of 9 population-based registries of the National Cancer Institute Surveillance, Epidemiology, and End Results (SEER) program.\nMAIN OUTCOMES AND MEASURES: Hazard ratios (HRs) and 95% CIs for cancer-specific death were estimated for patients diagnosed as having any of these cancers during 1995 to 1999, 2000 to 2004, and 2005 to 2009, compared with those diagnosed in 1990 to 1994.\nRESULTS: Significant improvements in survival were found for cancers of the colon or rectum, breast, prostate, lung, and liver. Improvements were more pronounced for younger patients. For patients aged 50 to 64 years and diagnosed from 2005 to 2009, adjusted HRs (95% CIs) were 0.57 (95% CI, 0.55-0.60), 0.48 (95% CI, 0.45-0.51), 0.61 (95% CI, 0.57-0.69), and 0.32 (95% CI, 0.30-0.36), for cancer of the colon or rectum, breast, liver, and prostate, respectively, compared with the same age groups of patients diagnosed during 1990 to 1994. However, the corresponding HRs (95% CIs) for elderly patients (those 75-85 years old) were only 0.88 (95% CI, 0.84-0.92), 0.88 (95% CI, 0.82-0.95), 0.76 (95% CI, 0.69-0.84), and 0.65 (95% CI, 0.61-0.70), for the same 4 cancer sites, respectively. A similar, although weaker, age-related period effect was observed for lung and pancreatic cancers. The adjusted HRs (95% CIs) for lung cancer were 0.75 (95% CI, 0.73-0.77) and 0.84 (95% CI, 0.81-0.86), respectively, for patients aged 50 to 64 years and 75 to 85 years diagnosed between 2005 and 2009, compared with the same age groups of patients diagnosed between 1990 and 1994 (0.73 [95% CI, 0.69-0.77] and 0.90 [95% CI, 0.85-0.95], respectively. Compared with whites or Asians, African Americans experienced greater improvement in prostate cancer survival. From 1990 to 2009, ovarian cancer survival declined among African Americans but improved among whites. No apparent sex difference in the degree of improvement for any non-sex-specific cancer was noted.\nCONCLUSIONS AND RELEVANCE: Younger patients experienced greater benefit from recent oncology advances than elderly patients. African Americans experienced poorer survival than whites for all cancers, and the racial difference decreased for prostate cancer but increased for ovarian cancer. Identifying factors associated with varied improvement in cancer survival can inform future improvements in cancer care for all.","DOI":"10.1001/jamaoncol.2014.161","ISSN":"2374-2445","note":"00006 \nPMID: 26182310\nPMCID: PMC4523124","shortTitle":"Disparities by Race, Age, and Sex in the Improvement of Survival for Major Cancers","journalAbbreviation":"JAMA Oncol","language":"eng","author":[{"family":"Zeng","given":"Chenjie"},{"family":"Wen","given":"Wanqing"},{"family":"Morgans","given":"Alicia K."},{"family":"Pao","given":"William"},{"family":"Shu","given":"Xiao-Ou"},{"family":"Zheng","given":"Wei"}],"issued":{"date-parts":[["2015",4]]},"PMID":"26182310","PMCID":"PMC4523124"},"label":"page"}],"schema":"https://github.com/citation-style-language/schema/raw/master/csl-citation.json"} </w:instrText>
      </w:r>
      <w:r w:rsidR="0008000A" w:rsidRPr="006325C2">
        <w:fldChar w:fldCharType="separate"/>
      </w:r>
      <w:r w:rsidR="00AB395C" w:rsidRPr="00AB395C">
        <w:rPr>
          <w:vertAlign w:val="superscript"/>
        </w:rPr>
        <w:t>2, 5, 6</w:t>
      </w:r>
      <w:r w:rsidR="0008000A" w:rsidRPr="006325C2">
        <w:fldChar w:fldCharType="end"/>
      </w:r>
      <w:r w:rsidR="0008000A" w:rsidRPr="006325C2">
        <w:t xml:space="preserve"> </w:t>
      </w:r>
      <w:r w:rsidR="007602A6" w:rsidRPr="006325C2">
        <w:t xml:space="preserve"> </w:t>
      </w:r>
      <w:r w:rsidR="00352306" w:rsidRPr="006325C2">
        <w:t>e</w:t>
      </w:r>
      <w:r w:rsidR="00C01E8B" w:rsidRPr="006325C2">
        <w:t>merging evidence suggests that</w:t>
      </w:r>
      <w:r w:rsidR="002A7FA0" w:rsidRPr="006325C2">
        <w:t xml:space="preserve"> </w:t>
      </w:r>
      <w:r w:rsidR="00090B69" w:rsidRPr="006325C2">
        <w:t>prediagnos</w:t>
      </w:r>
      <w:r w:rsidR="0066602C" w:rsidRPr="006325C2">
        <w:t>tic</w:t>
      </w:r>
      <w:r w:rsidR="00090B69" w:rsidRPr="006325C2">
        <w:t xml:space="preserve"> </w:t>
      </w:r>
      <w:r w:rsidR="00CD7AA3" w:rsidRPr="006325C2">
        <w:t>nutrition</w:t>
      </w:r>
      <w:r w:rsidR="00574AE3" w:rsidRPr="006325C2">
        <w:t xml:space="preserve"> and lifestyle </w:t>
      </w:r>
      <w:r w:rsidR="00CD7AA3" w:rsidRPr="006325C2">
        <w:t>factors</w:t>
      </w:r>
      <w:r w:rsidR="00090B69" w:rsidRPr="006325C2">
        <w:t xml:space="preserve"> may </w:t>
      </w:r>
      <w:r w:rsidR="009D095C" w:rsidRPr="006325C2">
        <w:t xml:space="preserve">also </w:t>
      </w:r>
      <w:r w:rsidR="007B1E14" w:rsidRPr="006325C2">
        <w:t>influence</w:t>
      </w:r>
      <w:r w:rsidR="009D095C" w:rsidRPr="006325C2">
        <w:t xml:space="preserve"> lung cancer survival</w:t>
      </w:r>
      <w:r w:rsidR="00090B69" w:rsidRPr="006325C2">
        <w:t>.</w:t>
      </w:r>
      <w:r w:rsidR="009D095C" w:rsidRPr="006325C2">
        <w:fldChar w:fldCharType="begin"/>
      </w:r>
      <w:r w:rsidR="009D095C" w:rsidRPr="006325C2">
        <w:instrText xml:space="preserve"> ADDIN ZOTERO_ITEM CSL_CITATION {"citationID":"o4e4qdjoh","properties":{"formattedCitation":"{\\rtf \\super 7\\uc0\\u8211{}9\\nosupersub{}}","plainCitation":"7–9"},"citationItems":[{"id":439,"uris":["http://zotero.org/users/2024628/items/A9AA72W6"],"uri":["http://zotero.org/users/2024628/items/A9AA72W6"],"itemData":{"id":439,"type":"article-journal","title":"Prediagnosis Soy Food Consumption and Lung Cancer Survival in Women","container-title":"Journal of Clinical Oncology","page":"1548-1553","volume":"31","issue":"12","source":"jco.ascopubs.org","abstract":"Purpose We recently reported an inverse association between soy food intake and lung cancer risk among nonsmoking women. The effect size for aggressive lung cancers was larger than that observed for other types of lung cancer. Therefore, we hypothesized that soy consumption may favorably affect the overall survival of patients with lung cancer.\nPatients and Methods This analysis included 444 women with incident lung cancer identified from the Shanghai Women's Health Study. Prediagnosis soy food intake was assessed at enrollment and reassessed 2 years later. Proportional hazards models were used to evaluate the association between soy food intake and overall survival.\nResults Of the 444 patients with lung cancer, 318 died during follow-up. Initial analyses including all patients showed that higher intake of soy food was associated with better overall survival after adjusting for demographic and lifestyle characteristics and other nonclinical factors. Larger effect sizes for the association were found after additional adjustment for tumor stage and treatment in analyses including 301 patients with data available on these clinical factors. Compared with the median intake of soy food, fully adjusted hazard ratios for total mortality associated with the 10th, 30th, 70th, and 90th percentiles of intake were 1.81 (95% CI, 1.26 to 2.59), 1.25 (95% CI, 1.09 to 1.42), 0.88 (95% CI, 0.80 to 0.97), and 0.89 (95% CI, 0.68 to 1.16), respectively. Similar inverse associations were observed for dietary isoflavone intake.\nConclusion This study suggests, to the best of our knowledge for the first time, that, among women with lung cancer, prediagnosis intake of soy food is associated with better overall survival.","DOI":"10.1200/JCO.2012.43.0942","ISSN":"0732-183X, 1527-7755","note":"PMID: 23530109","journalAbbreviation":"JCO","language":"en","author":[{"family":"Yang","given":"Gong"},{"family":"Shu","given":"Xiao-Ou"},{"family":"Li","given":"Hong-Lan"},{"family":"Chow","given":"Wong-Ho"},{"family":"Wen","given":"Wanqing"},{"family":"Xiang","given":"Yong-Bing"},{"family":"Zhang","given":"Xianglan"},{"family":"Cai","given":"Hui"},{"family":"Ji","given":"Bu-Tian"},{"family":"Gao","given":"Yu-Tang"},{"family":"Zheng","given":"Wei"}],"issued":{"date-parts":[["2013",4,20]]},"PMID":"23530109"},"label":"page"},{"id":781,"uris":["http://zotero.org/users/2024628/items/MEFNVMMC"],"uri":["http://zotero.org/users/2024628/items/MEFNVMMC"],"itemData":{"id":781,"type":"article-journal","title":"Pre-diagnostic cruciferous vegetables intake and lung cancer survival among Chinese women","container-title":"Scientific Reports","page":"10306","volume":"5","source":"PubMed","abstract":"No study to date has prospectively evaluated the association between pre-diagnostic cruciferous vegetables intake and lung cancer survival among women. This analysis included 547 incident lung cancer cases identified from the Shanghai Women's Health Study (SWHS) during the follow-up period of 1997-2011. Dietary intake was assessed for all SWHS participants at enrollment and reassessed 2-3 years later. Cox proportional hazards models were used to estimate hazard ratios (HRs) and 95% confidence intervals (CIs) with adjustment for potential confounders. Of the 547 lung cancer patients, 412 patients died during the follow-up. A total of 393 (95.4%) deaths from lung cancer were documented with median survival time of 10.3 months (interquartile range, 3.6-21.1 months). High cruciferous vegetables intake was significantly associated with improved lung cancer-specific survival after adjusting for all nonclinical prognostic factors (n = 547, HR = 0.69; 95%CI = 0.49-0.95; P trend = 0.02) for the highest versus lowest quartile. A slightly stronger association of cruciferous vegetables intake with lung cancer-specific survival was observed in analyses restricted to patients with known clinical prognostic factors (n = 331, HR = 0.63; 95%CI = 0.41-0.97; P trend = 0.03) or never smokers (n = 308, HR = 0.58; 95%CI = 0.37-0.91; P trend = 0.02). In conclusion, pre-diagnostic cruciferous vegetables intake is associated with better survival of lung cancer in Chinese women.","DOI":"10.1038/srep10306","ISSN":"2045-2322","note":"00000 \nPMID: 25988580","journalAbbreviation":"Sci Rep","language":"eng","author":[{"family":"Wu","given":"Qi-Jun"},{"family":"Yang","given":"Gong"},{"family":"Zheng","given":"Wei"},{"family":"Li","given":"Hong-Lan"},{"family":"Gao","given":"Jing"},{"family":"Wang","given":"Jing"},{"family":"Gao","given":"Yu-Tang"},{"family":"Shu","given":"Xiao-Ou"},{"family":"Xiang","given":"Yong-Bing"}],"issued":{"date-parts":[["2015"]]},"PMID":"25988580"},"label":"page"},{"id":785,"uris":["http://zotero.org/users/2024628/items/BKCAEEF5"],"uri":["http://zotero.org/users/2024628/items/BKCAEEF5"],"itemData":{"id":785,"type":"article-journal","title":"The role of smoking status on the progression-free survival of non-small cell lung cancer patients harboring activating epidermal growth factor receptor (EGFR) mutations receiving first-line EGFR tyrosine kinase inhibitor versus platinum doublet chemotherapy: a meta-analysis of prospective randomized trials","container-title":"The Oncologist","page":"307-315","volume":"20","issue":"3","source":"PubMed","abstract":"BACKGROUND: Univariate analyses from several randomized phase III trials seemed to suggest ever-smokers with advanced mutated epidermal growth factor receptor (EGFRm) non-small cell lung cancer (NSCLC) did not seem to benefit from EGFR tyrosine kinase inhibitors (TKIs) as first-line treatment when compared with platinum-doublet chemotherapy as measured by progression-free survival (PFS).\nMETHODS: A literature-based meta-analysis of PFS outcomes as measured by log-transformed pooled hazard ratio (HR) was performed using a random-effect model. Pooled HRs for smoking status, age, gender, ethnicity, type of EGFR mutation, and EGFR TKI were obtained. Comparison of the pooled HR was performed by metaregression analysis.\nRESULTS: Among the 1,649 EGFRm NSCLC patients analyzed from 7 prospective randomized trials (WJTOG3405, NEJ002, EURTAC, OPTIMAL, LUX Lung-3, LUX Lung-6, and ENSURE), 83.7% were Asians, and 30.0% were ever-smokers. An equal percentage of ever-smokers received doublet chemotherapy (30.2%) or EGFR TKI (30.0%). The pooled HR for PFS was 0.29 (95% confidence interval [CI]: 0.21-0.39) for never-smokers and 0.54 (95% CI: 0.38-0.76) for ever-smokers (p &lt; .007 by metaregression). The pooled PFS HR for exon 19 deletion was 0.25 (95% CI: 0.19-0.31) and 0.44 for exon 21 substitution (95% CI: 0.34-0.57) (p &lt; .001 by metaregression analysis). The pooled PFS HR was 0.33 (95% CI: 0.24-0.46) for Asians and 0.48 for non-Asians (95% CI: 0.28-0.84) (p = .261 by metaregression analysis).\nCONCLUSION: EGFRm NSCLC patients derived significant PFS benefit from TKI over platinum-doublet chemotherapy as first-line treatment regardless of smoking status; however, PFS benefit is significantly better in never-smokers by metaregression analysis.","DOI":"10.1634/theoncologist.2014-0285","ISSN":"1549-490X","note":"00003 \nPMID: 25657199\nPMCID: PMC4350797","shortTitle":"The role of smoking status on the progression-free survival of non-small cell lung cancer patients harboring activating epidermal growth factor receptor (EGFR) mutations receiving first-line EGFR tyrosine kinase inhibitor versus platinum doublet chemotherapy","journalAbbreviation":"Oncologist","language":"eng","author":[{"family":"Hasegawa","given":"Yoshikazu"},{"family":"Ando","given":"Masahiko"},{"family":"Maemondo","given":"Makoto"},{"family":"Yamamoto","given":"Satomi"},{"family":"Isa","given":"Shun-Ichi"},{"family":"Saka","given":"Hideo"},{"family":"Kubo","given":"Akihito"},{"family":"Kawaguchi","given":"Tomoya"},{"family":"Takada","given":"Minoru"},{"family":"Rosell","given":"Rafael"},{"family":"Kurata","given":"Takayasu"},{"family":"Ou","given":"Sai-Hong Ignatius"}],"issued":{"date-parts":[["2015",3]]},"PMID":"25657199","PMCID":"PMC4350797"},"label":"page"}],"schema":"https://github.com/citation-style-language/schema/raw/master/csl-citation.json"} </w:instrText>
      </w:r>
      <w:r w:rsidR="009D095C" w:rsidRPr="006325C2">
        <w:fldChar w:fldCharType="separate"/>
      </w:r>
      <w:r w:rsidR="00AB395C" w:rsidRPr="00AB395C">
        <w:rPr>
          <w:vertAlign w:val="superscript"/>
        </w:rPr>
        <w:t>7–9</w:t>
      </w:r>
      <w:r w:rsidR="009D095C" w:rsidRPr="006325C2">
        <w:fldChar w:fldCharType="end"/>
      </w:r>
      <w:r w:rsidR="00090B69" w:rsidRPr="006325C2">
        <w:t xml:space="preserve">        </w:t>
      </w:r>
    </w:p>
    <w:p w:rsidR="003E127A" w:rsidRPr="006325C2" w:rsidRDefault="005363C1" w:rsidP="00434502">
      <w:pPr>
        <w:spacing w:before="60" w:after="0" w:line="480" w:lineRule="auto"/>
        <w:ind w:firstLine="360"/>
      </w:pPr>
      <w:r w:rsidRPr="006325C2">
        <w:t>Both e</w:t>
      </w:r>
      <w:r w:rsidR="00FD2F8B" w:rsidRPr="006325C2">
        <w:t xml:space="preserve">xperimental and epidemiological studies have </w:t>
      </w:r>
      <w:r w:rsidR="00456353" w:rsidRPr="006325C2">
        <w:t>suggested</w:t>
      </w:r>
      <w:r w:rsidRPr="006325C2">
        <w:t xml:space="preserve"> potential role</w:t>
      </w:r>
      <w:r w:rsidR="007E3264" w:rsidRPr="006325C2">
        <w:t>s</w:t>
      </w:r>
      <w:r w:rsidRPr="006325C2">
        <w:t xml:space="preserve"> of calcium in cancer development and progression.</w:t>
      </w:r>
      <w:r w:rsidR="009D095C" w:rsidRPr="006325C2">
        <w:fldChar w:fldCharType="begin"/>
      </w:r>
      <w:r w:rsidR="009D095C" w:rsidRPr="006325C2">
        <w:instrText xml:space="preserve"> ADDIN ZOTERO_ITEM CSL_CITATION {"citationID":"16juZIMl","properties":{"formattedCitation":"{\\rtf \\super 10\\nosupersub{}}","plainCitation":"10"},"citationItems":[{"id":787,"uris":["http://zotero.org/users/2024628/items/VEQ7NP4J"],"uri":["http://zotero.org/users/2024628/items/VEQ7NP4J"],"itemData":{"id":787,"type":"article-journal","title":"Calcium, vitamin D and cancer","container-title":"Anticancer Research","page":"3687-3698","volume":"29","issue":"9","source":"PubMed","abstract":"A low vitamin D status and inadequate calcium intake are important risk factors for various types of cancer. Ecological studies using solar UV-B exposure as an index of vitamin D3 photoproduction in the skin found a highly significant inverse association between UV-B and mortality in fifteen types of cancer. Of these, colon, rectal, breast, gastric, endometrial, renal and ovarian cancer exhibit a significant inverse relationship between incidence and oral intake of calcium. In addition, lung and endometrial cancer as well as multiple myeloma are considered calcium and vitamin D sensitive. Studies on tissue-specific expression of the CYP27B1-encoded 25-hdroxyvitamin D-1alpha-hydroxylase and of the extracellular calcium-sensing receptor (CaR) have led to an understanding how locally produced 1,25-dihydroxyvitamin D3 (1,25(OH)2D3) and extracellular Ca2+ act jointly as key regulators of cellular proliferation, differentiation and function. Thus, impairment of antimitogenic, proapoptotic and prodifferentiating signaling from the 1,25(OH)2D3-activated vitamin D receptor (VDR) and from the CaR in vitamin D and calcium insufficiency has been implicated in the pathogenesis of the aforementioned types of cancer. 1,25(OH)2D3 and calcium interact in modulating cell growth in different ways: (i) Signaling pathways from the VDR and the CaR converge on the same downstream elements, e.g. of the canonical Wnt pathway; (ii) high extracellular calcium modulates extrarenal vitamin D metabolism in favor of higher local steady-state concentrations of 1,25(OH)2D3; (iii) 1,25(OH)2D3 may up-regulate expression of the CaR and thus augment CaR-mediated antiproliferative responses to high extracellular Ca2+. This can explain why combined supplementation is required for optimal chemoprevention of cancer by calcium and vitamin D.","ISSN":"1791-7530","note":"00148 \nPMID: 19667166","journalAbbreviation":"Anticancer Res.","language":"eng","author":[{"family":"Peterlik","given":"Meinrad"},{"family":"Grant","given":"William B."},{"family":"Cross","given":"Heide S."}],"issued":{"date-parts":[["2009",9]]},"PMID":"19667166"}}],"schema":"https://github.com/citation-style-language/schema/raw/master/csl-citation.json"} </w:instrText>
      </w:r>
      <w:r w:rsidR="009D095C" w:rsidRPr="006325C2">
        <w:fldChar w:fldCharType="separate"/>
      </w:r>
      <w:r w:rsidR="00AB395C" w:rsidRPr="00AB395C">
        <w:rPr>
          <w:vertAlign w:val="superscript"/>
        </w:rPr>
        <w:t>10</w:t>
      </w:r>
      <w:r w:rsidR="009D095C" w:rsidRPr="006325C2">
        <w:fldChar w:fldCharType="end"/>
      </w:r>
      <w:r w:rsidRPr="006325C2">
        <w:t xml:space="preserve"> Besides its well-known effects on bone health, calcium intake </w:t>
      </w:r>
      <w:r w:rsidR="00B9470B" w:rsidRPr="006325C2">
        <w:t xml:space="preserve">and calcium homeostasis </w:t>
      </w:r>
      <w:r w:rsidRPr="006325C2">
        <w:t xml:space="preserve">can directly or indirectly </w:t>
      </w:r>
      <w:r w:rsidR="00211D7E" w:rsidRPr="006325C2">
        <w:t>affect</w:t>
      </w:r>
      <w:r w:rsidR="007E3264" w:rsidRPr="006325C2">
        <w:t xml:space="preserve"> cell </w:t>
      </w:r>
      <w:r w:rsidR="007E3264" w:rsidRPr="006325C2">
        <w:rPr>
          <w:color w:val="000000"/>
        </w:rPr>
        <w:t>proliferation, differentiation, and apop</w:t>
      </w:r>
      <w:r w:rsidR="007E3264" w:rsidRPr="006325C2">
        <w:rPr>
          <w:color w:val="000000"/>
        </w:rPr>
        <w:softHyphen/>
        <w:t xml:space="preserve">tosis, </w:t>
      </w:r>
      <w:r w:rsidR="007E3264" w:rsidRPr="006325C2">
        <w:t xml:space="preserve">parathyroid hormone (PTH) and PTH-related peptide, vitamin D metabolism and </w:t>
      </w:r>
      <w:r w:rsidR="006379F3" w:rsidRPr="006325C2">
        <w:t>signaling, angiogenesis, and immune response</w:t>
      </w:r>
      <w:r w:rsidR="009D095C" w:rsidRPr="006325C2">
        <w:t>.</w:t>
      </w:r>
      <w:r w:rsidR="00B60D86" w:rsidRPr="006325C2">
        <w:fldChar w:fldCharType="begin"/>
      </w:r>
      <w:r w:rsidR="00AB395C">
        <w:instrText xml:space="preserve"> ADDIN ZOTERO_ITEM CSL_CITATION {"citationID":"1gho41sf1i","properties":{"formattedCitation":"{\\rtf \\super 11, 12\\nosupersub{}}","plainCitation":"11, 12"},"citationItems":[{"id":789,"uris":["http://zotero.org/users/2024628/items/47DWW6EM"],"uri":["http://zotero.org/users/2024628/items/47DWW6EM"],"itemData":{"id":789,"type":"book","title":"Dietary Reference Intakes for Calcium and Vitamin D","collection-title":"The National Academies Collection: Reports funded by National Institutes of Health","publisher":"National Academies Press (US)","publisher-place":"Washington (DC)","source":"PubMed","event-place":"Washington (DC)","abstract":"The charge to the committee (Institute of Medicine Committee to Review Dietary Reference Intakes for Vitamin D and Calcium) was to assess current relevant data and update, as appropriate, the DRIs (Dietary Reference Intakes) for vitamin D and calcium. The review was to include consideration of chronic disease indicators (e.g., reduction in risk of cancer) and other (non-chronic disease) indicators and health outcomes. The definitions of these terms are discussed below. Consistent with the framework for DRI development, the indicators to assess adequacy and excess intake were to be selected based on the strength and quality of the evidence and their demonstrated public health significance, taking into consideration sources of uncertainty in the evidence. Further, the committee deliberations were to incorporate, as appropriate, systematic evidence-based reviews of the literature. Specifically, in carrying out its work, the committee was to: Review evidence on indicators to assess adequacy and indicators to assess excess intake relevant to the general North American population, including groups whose needs for or sensitivity to the nutrient may be affected by particular conditions that are widespread in the population such as obesity or age-related chronic diseases. Special groups under medical care whose needs or sensitivities are affected by rare genetic disorders or diseases and their treatments were to be excluded; Consider systematic evidence-based reviews, including those made available by the sponsors as well as others, and carefully document the approach used by the committee to carry out any of its own literature reviews; Regarding selection of indicators upon which to base DRI values for adequate intake, give priority to selecting indicators relevant to the various age, gender, and life stage groups that will allow for the determination of an Estimated Average Requirement (EAR); Regarding selection of indicators upon which to base DRI values for upper levels of intake, give priority to examining whether a critical adverse effect can be selected that will allow for the determination of a so-called benchmark intake; Update DRI values, as appropriate, using a risk assessment approach that includes (1) identification of potential indicators to assess adequacy and excess intake, (2) selection of the indicators of adequacy and excess intake, (3) intake-response assessment, (4) dietary intake assessment, and (5) risk characterization. Identify research gaps to address the uncertainties identified in the process of deriving the reference values and evaluating their public health implications.","URL":"http://www.ncbi.nlm.nih.gov/books/NBK56070/","call-number":"NBK56070","note":"00000 \nPMID: 21796828","language":"eng","author":[{"literal":"Institute of Medicine (US) Committee to Review Dietary Reference Intakes for Vitamin D and Calcium"}],"editor":[{"family":"Ross","given":"A. Catharine"},{"family":"Taylor","given":"Christine L."},{"family":"Yaktine","given":"Ann L."},{"family":"Del Valle","given":"Heather B."}],"issued":{"date-parts":[["2011"]]},"accessed":{"date-parts":[["2015",11,24]]},"PMID":"21796828"},"label":"page"},{"id":791,"uris":["http://zotero.org/users/2024628/items/2HZGF39M"],"uri":["http://zotero.org/users/2024628/items/2HZGF39M"],"itemData":{"id":791,"type":"article-journal","title":"Calcium nutrition and extracellular calcium sensing: relevance for the pathogenesis of osteoporosis, cancer and cardiovascular diseases","container-title":"Nutrients","page":"302-327","volume":"5","issue":"1","source":"PubMed","abstract":"Through a systematic search in Pubmed for literature, on links between calcium malnutrition and risk of chronic diseases, we found the highest degree of evidence for osteoporosis, colorectal and breast cancer, as well as for hypertension, as the only major cardiovascular risk factor. Low calcium intake apparently has some impact also on cardiovascular events and disease outcome. Calcium malnutrition can causally be related to low activity of the extracellular calcium-sensing receptor (CaSR). This member of the family of 7-TM G-protein coupled receptors allows extracellular Ca2+ to function as a \"first messenger\" for various intracellular signaling cascades. Evidence demonstrates that Ca2+/CaSR signaling in functional linkage with vitamin D receptor (VDR)-activated pathways (i) promotes osteoblast differentiation and formation of mineralized bone; (ii) targets downstream effectors of the canonical and non-canonical Wnt pathway to inhibit proliferation and induce differentiation of colorectal cancer cells; (iii) evokes Ca2+ influx into breast cancer cells, thereby activating pro-apoptotic intracellular signaling. Furthermore, Ca2+/CaSR signaling opens Ca2+-sensitive K+ conductance channels in vascular endothelial cells, and also participates in IP(3)-dependent regulation of cytoplasmic Ca2+, the key intermediate of cardiomyocyte functions. Consequently, impairment of Ca2+/CaSR signaling may contribute to inadequate bone formation, tumor progression, hypertension, vascular calcification and, probably, cardiovascular disease.","DOI":"10.3390/nu5010302","ISSN":"2072-6643","note":"00027 \nPMID: 23340319\nPMCID: PMC3571650","shortTitle":"Calcium nutrition and extracellular calcium sensing","journalAbbreviation":"Nutrients","language":"eng","author":[{"family":"Peterlik","given":"Meinrad"},{"family":"Kállay","given":"Enikoe"},{"family":"Cross","given":"Heide S."}],"issued":{"date-parts":[["2013",1]]},"PMID":"23340319","PMCID":"PMC3571650"},"label":"page"}],"schema":"https://github.com/citation-style-language/schema/raw/master/csl-citation.json"} </w:instrText>
      </w:r>
      <w:r w:rsidR="00B60D86" w:rsidRPr="006325C2">
        <w:fldChar w:fldCharType="separate"/>
      </w:r>
      <w:r w:rsidR="00AB395C" w:rsidRPr="00AB395C">
        <w:rPr>
          <w:vertAlign w:val="superscript"/>
        </w:rPr>
        <w:t>11, 12</w:t>
      </w:r>
      <w:r w:rsidR="00B60D86" w:rsidRPr="006325C2">
        <w:fldChar w:fldCharType="end"/>
      </w:r>
      <w:r w:rsidR="006379F3" w:rsidRPr="006325C2">
        <w:t xml:space="preserve"> </w:t>
      </w:r>
      <w:r w:rsidR="00211D7E" w:rsidRPr="006325C2">
        <w:t>Prospective</w:t>
      </w:r>
      <w:r w:rsidR="003F3500" w:rsidRPr="006325C2">
        <w:t xml:space="preserve"> </w:t>
      </w:r>
      <w:r w:rsidR="00B60D86" w:rsidRPr="006325C2">
        <w:t xml:space="preserve">cohort studies </w:t>
      </w:r>
      <w:r w:rsidR="003F3500" w:rsidRPr="006325C2">
        <w:t>and meta-analys</w:t>
      </w:r>
      <w:r w:rsidR="006379F3" w:rsidRPr="006325C2">
        <w:t>e</w:t>
      </w:r>
      <w:r w:rsidR="003F3500" w:rsidRPr="006325C2">
        <w:t xml:space="preserve">s of cohort studies have </w:t>
      </w:r>
      <w:r w:rsidR="00B60F6E" w:rsidRPr="006325C2">
        <w:t xml:space="preserve">linked </w:t>
      </w:r>
      <w:r w:rsidR="00E57153" w:rsidRPr="006325C2">
        <w:t xml:space="preserve">sufficient </w:t>
      </w:r>
      <w:r w:rsidR="00B60F6E" w:rsidRPr="006325C2">
        <w:t xml:space="preserve">calcium intake with </w:t>
      </w:r>
      <w:r w:rsidR="00E57153" w:rsidRPr="006325C2">
        <w:t xml:space="preserve">a decreased </w:t>
      </w:r>
      <w:r w:rsidR="00C239BF" w:rsidRPr="006325C2">
        <w:t xml:space="preserve">overall cancer </w:t>
      </w:r>
      <w:r w:rsidR="00B60F6E" w:rsidRPr="006325C2">
        <w:t>risk</w:t>
      </w:r>
      <w:r w:rsidR="00364897" w:rsidRPr="006325C2">
        <w:t xml:space="preserve"> and risks of specific cancers</w:t>
      </w:r>
      <w:r w:rsidR="006379F3" w:rsidRPr="006325C2">
        <w:t xml:space="preserve">, </w:t>
      </w:r>
      <w:r w:rsidR="00C239BF" w:rsidRPr="006325C2">
        <w:t>including</w:t>
      </w:r>
      <w:r w:rsidR="00E57153" w:rsidRPr="006325C2">
        <w:t xml:space="preserve"> </w:t>
      </w:r>
      <w:r w:rsidR="00B60F6E" w:rsidRPr="006325C2">
        <w:t>colorectal, breast</w:t>
      </w:r>
      <w:r w:rsidR="006379F3" w:rsidRPr="006325C2">
        <w:t>,</w:t>
      </w:r>
      <w:r w:rsidR="00B60F6E" w:rsidRPr="006325C2">
        <w:t xml:space="preserve"> </w:t>
      </w:r>
      <w:r w:rsidR="006379F3" w:rsidRPr="006325C2">
        <w:t xml:space="preserve">and prostate </w:t>
      </w:r>
      <w:r w:rsidR="00B60F6E" w:rsidRPr="006325C2">
        <w:t>cancers</w:t>
      </w:r>
      <w:r w:rsidR="006379F3" w:rsidRPr="006325C2">
        <w:t>.</w:t>
      </w:r>
      <w:r w:rsidR="00B60D86" w:rsidRPr="006325C2">
        <w:fldChar w:fldCharType="begin"/>
      </w:r>
      <w:r w:rsidR="00EF2B39" w:rsidRPr="006325C2">
        <w:instrText xml:space="preserve"> ADDIN ZOTERO_ITEM CSL_CITATION {"citationID":"tn5GGR7Z","properties":{"unsorted":true,"formattedCitation":"{\\rtf \\super 13\\uc0\\u8211{}19\\nosupersub{}}","plainCitation":"13–19"},"citationItems":[{"id":793,"uris":["http://zotero.org/users/2024628/items/T2J6SE83"],"uri":["http://zotero.org/users/2024628/items/T2J6SE83"],"itemData":{"id":793,"type":"article-journal","title":"Dairy food, calcium, and risk of cancer in the NIH-AARP Diet and Health Study","container-title":"Archives of Internal Medicine","page":"391-401","volume":"169","issue":"4","source":"PubMed","abstract":"BACKGROUND: Dairy food and calcium intakes have been hypothesized to play roles that differ among individual cancer sites, but the evidence has been limited and inconsistent. Moreover, their effect on cancer in total is unclear.\nMETHODS: Dairy food and calcium intakes in relation to total cancer as well as cancer at individual sites were examined in the National Institutes of Health (NIH)-AARP (formerly known as the American Association of Retired Persons) Diet and Health Study. Intakes of dairy food and calcium from foods and supplements were assessed with a food frequency questionnaire. Incident cancer cases were identified through linkage with state cancer registries. A Cox proportional hazard model was used to estimate relative risks and 2-sided 95% confidence intervals (CIs).\nRESULTS: During an average of 7 years of follow-up, we identified 36 965 and 16 605 cancer cases in men and women, respectively. Calcium intake was not related to total cancer in men but was nonlinearly associated with total cancer in women: the risk decreased up to approximately 1300 mg/d, above which no further risk reduction was observed. In both men and women, dairy food and calcium intakes were inversely associated with cancers of the digestive system (multivariate relative risk for the highest quintile of total calcium vs the lowest, 0.84; 95% CI, 0.77-0.92 in men, and 0.77; 95% CI, 0.69-0.91 in women). Decreased risk was particularly pronounced with colorectal cancer. Supplemental calcium intake was also inversely associated with colorectal cancer risk.\nCONCLUSION: Our study suggests that calcium intake is associated with a lower risk of total cancer and cancers of the digestive system, especially colorectal cancer.","DOI":"10.1001/archinternmed.2008.578","ISSN":"1538-3679","note":"00105 \nPMID: 19237724\nPMCID: PMC2796799","journalAbbreviation":"Arch. Intern. Med.","language":"eng","author":[{"family":"Park","given":"Yikyung"},{"family":"Leitzmann","given":"Michael F."},{"family":"Subar","given":"Amy F."},{"family":"Hollenbeck","given":"Albert"},{"family":"Schatzkin","given":"Arthur"}],"issued":{"date-parts":[["2009",2,23]]},"PMID":"19237724","PMCID":"PMC2796799"},"label":"page"},{"id":795,"uris":["http://zotero.org/users/2024628/items/UJQZDMBA"],"uri":["http://zotero.org/users/2024628/items/UJQZDMBA"],"itemData":{"id":795,"type":"article-journal","title":"Dairy foods, calcium, and colorectal cancer: a pooled analysis of 10 cohort studies","container-title":"Journal of the National Cancer Institute","page":"1015-1022","volume":"96","issue":"13","source":"PubMed","abstract":"BACKGROUND: Studies in animals have suggested that calcium may reduce the risk of colorectal cancer. However, results from epidemiologic studies of intake of calcium or dairy foods and colorectal cancer risk have been inconclusive.\nMETHODS: We pooled the primary data from 10 cohort studies in five countries that assessed usual dietary intake by using a validated food frequency questionnaire at baseline. For most studies, follow-up was extended beyond that in the original publication. The studies included 534 536 individuals, among whom 4992 incident cases of colorectal cancer were diagnosed between 6 and 16 years of follow-up. Pooled multivariable relative risks for categories of milk intake and quintiles of calcium intake and 95% confidence intervals (CIs) were calculated. All statistical tests were two-sided.\nRESULTS: Milk intake was related to a reduced risk of colorectal cancer. Compared with the lowest category of intake (&lt;70 g/day), relative risks of colorectal cancer for increasing categories (70-174, 175-249, and &gt; or =250 g/day) of milk intake were 0.94 (95% CI = 0.86 to 1.02), 0.88 (95% CI = 0.81 to 0.96), and 0.85 (95% CI = 0.78 to 0.94), respectively (P(trend)&lt;.001). Calcium intake was also inversely related to the risk of colorectal cancer. The relative risk for the highest versus the lowest quintile of intake was 0.86 (95% CI = 0.78 to 0.95; P(trend) =.02) for dietary calcium and 0.78 (95% CI = 0.69 to 0.88; P(trend)&lt;.001) for total calcium (combining dietary and supplemental sources). These results were consistent across studies and sex. The inverse association for milk was limited to cancers of the distal colon (P(trend)&lt;.001) and rectum (P(trend) =.02).\nCONCLUSION: Higher consumption of milk and calcium is associated with a lower risk of colorectal cancer.","ISSN":"1460-2105","note":"00414 \nPMID: 15240785","shortTitle":"Dairy foods, calcium, and colorectal cancer","journalAbbreviation":"J. Natl. Cancer Inst.","language":"eng","author":[{"family":"Cho","given":"Eunyoung"},{"family":"Smith-Warner","given":"Stephanie A."},{"family":"Spiegelman","given":"Donna"},{"family":"Beeson","given":"W. Lawrence"},{"family":"Brandt","given":"Piet A.","non-dropping-particle":"van den"},{"family":"Colditz","given":"Graham A."},{"family":"Folsom","given":"Aaron R."},{"family":"Fraser","given":"Gary E."},{"family":"Freudenheim","given":"Jo L."},{"family":"Giovannucci","given":"Edward"},{"family":"Goldbohm","given":"R. Alexandra"},{"family":"Graham","given":"Saxon"},{"family":"Miller","given":"Anthony B."},{"family":"Pietinen","given":"Pirjo"},{"family":"Potter","given":"John D."},{"family":"Rohan","given":"Thomas E."},{"family":"Terry","given":"Paul"},{"family":"Toniolo","given":"Paolo"},{"family":"Virtanen","given":"Mikko J."},{"family":"Willett","given":"Walter C."},{"family":"Wolk","given":"Alicja"},{"family":"Wu","given":"Kana"},{"family":"Yaun","given":"Shiaw-Shyuan"},{"family":"Zeleniuch-Jacquotte","given":"Anne"},{"family":"Hunter","given":"David J."}],"issued":{"date-parts":[["2004",7,7]]},"PMID":"15240785"},"label":"page"},{"id":797,"uris":["http://zotero.org/users/2024628/items/IWR852T7"],"uri":["http://zotero.org/users/2024628/items/IWR852T7"],"itemData":{"id":797,"type":"article-journal","title":"Colorectal cancer risk and dietary intake of calcium, vitamin D, and dairy products: a meta-analysis of 26,335 cases from 60 observational studies","container-title":"Nutrition and Cancer","page":"47-69","volume":"61","issue":"1","source":"PubMed","abstract":"In vivo and in vitro studies suggest that dairy products, calcium, and dietary vitamin D inhibits the development of colorectal cancer (CRC). A meta-analysis was performed to evaluate this relationship in observational studies. Data from 60 epidemiological studies enrolling 26,335 CRC cases were pooled using a general variance-based meta-analytic method. Summary relative risk (RR) estimates and 95% confidence intervals (CIs) were calculated for the highest vs. the lowest intake categories. Sensitivity analyses tested the robustness of these summary effect measures and the statistical heterogeneity. The summary RR for high milk and dairy product intake, respectively, on colon cancer risk was 0.78 (95% CI = 0.67-0.92) and 0.84 (95% CI = 0.75-0.95). Milk intake was unrelated to rectal cancer risk. High calcium intake had a greater protective effect against tumors of the distal colon and rectal cancer vs. proximal colon. The risk reduction associated with calcium was similar for dietary and supplemental sources. Vitamin D was associated with a nonsignificant 6% reduction in CRC risk. Higher consumption of milk/dairy products reduces the risk of colon cancer, and high calcium intake reduces the risk of CRC. Low vitamin D intake in the study populations may limit the ability to detect a protective effect if one exists.","DOI":"10.1080/01635580802395733","ISSN":"1532-7914","note":"00145 \nPMID: 19116875","shortTitle":"Colorectal cancer risk and dietary intake of calcium, vitamin D, and dairy products","journalAbbreviation":"Nutr Cancer","language":"eng","author":[{"family":"Huncharek","given":"Michael"},{"family":"Muscat","given":"Joshua"},{"family":"Kupelnick","given":"Bruce"}],"issued":{"date-parts":[["2009"]]},"PMID":"19116875"},"label":"page"},{"id":799,"uris":["http://zotero.org/users/2024628/items/I82PUBM2"],"uri":["http://zotero.org/users/2024628/items/I82PUBM2"],"itemData":{"id":799,"type":"article-journal","title":"Intakes of calcium and vitamin D and breast cancer risk in women","container-title":"Archives of Internal Medicine","page":"1050-1059","volume":"167","issue":"10","source":"PubMed","abstract":"BACKGROUND: Animal data suggest the potential anticarcinogenic effects of calcium and vitamin D on breast cancer development. However, epidemiologic data relating calcium and vitamin D levels to breast cancer have been inconclusive.\nMETHODS: We prospectively evaluated total calcium and vitamin D intake in relation to breast cancer incidence among 10,578 premenopausal and 20,909 postmenopausal women 45 years or older who were free of cancer and cardiovascular disease at baseline in the Women's Health Study. Baseline dietary intake was assessed by a food frequency questionnaire. We used Cox proportional hazards regression to estimate hazard ratios and 95% confidence intervals.\nRESULTS: During an average of 10 years of follow-up, 276 premenopausal and 743 postmenopausal women had a confirmed diagnosis of incident invasive breast cancer. Higher intakes of total calcium and vitamin D were moderately associated with a lower risk of premenopausal breast cancer; the hazard ratios in the group with the highest relative to the lowest quintile of intake were 0.61 (95% confidence interval, 0.40-0.92) for calcium (P = .04 for trend) and 0.65 (95% confidence interval, 0.42-1.00) for vitamin D intake (P = .07 for trend). The inverse association with both nutrients was also present for large or poorly differentiated breast tumors among premenopausal women (P&lt; or =.04 for trend). By contrast, intakes of both nutrients were not inversely associated with the risk of breast cancer among postmenopausal women.\nCONCLUSIONS: Findings from this study suggest that higher intakes of calcium and vitamin D may be associated with a lower risk of developing premenopausal breast cancer. The likely apparent protection in premenopausal women may be more pronounced for more aggressive breast tumors.","DOI":"10.1001/archinte.167.10.1050","ISSN":"0003-9926","note":"00239 \nPMID: 17533208","journalAbbreviation":"Arch. Intern. Med.","language":"eng","author":[{"family":"Lin","given":"Jennifer"},{"family":"Manson","given":"JoAnn E."},{"family":"Lee","given":"I.-Min"},{"family":"Cook","given":"Nancy R."},{"family":"Buring","given":"Julie E."},{"family":"Zhang","given":"Shumin M."}],"issued":{"date-parts":[["2007",5,28]]},"PMID":"17533208"},"label":"page"},{"id":801,"uris":["http://zotero.org/users/2024628/items/DH7UPGGS"],"uri":["http://zotero.org/users/2024628/items/DH7UPGGS"],"itemData":{"id":801,"type":"article-journal","title":"Meta-analysis of vitamin D, calcium and the prevention of breast cancer","container-title":"Breast Cancer Research and Treatment","page":"469-477","volume":"121","issue":"2","source":"PubMed","abstract":"Vitamin D and calcium intake have been suggested to have protective effects against breast cancer; however, the data have been inconclusive. The present meta-analysis examined the overall effects of vitamin D intake, circulating 25(OH)D and 1alpha,25(OH)(2)D levels, and calcium intake on breast cancer risk. Data from 11 studies on vitamin D intake, 7 studies on circulating 25(OH)D levels, 3 studies of circulating 1alpha,25(OH)(2)D levels, and 15 studies on calcium intake and breast cancer risk were included in this analysis. From the meta-analysis, there was a significant inverse relationship between vitamin D intake and breast cancer risk, with an overall relative risk (RR) of high versus low vitamin D intake for breast cancer of 0.91 (95% CI = 0.85-0.97). The highest quantile of circulating 25(OH)D was found to be associated with a 45% (OR = 0.55, 95% CI = 0.38-0.80) decrease in breast cancer when compared with the lowest quantile. No significant association for the circulating 1alpha,25(OH)(2)D level and breast cancer was found (OR = 0.99, 95% CI = 0.68-1.44). For calcium, a 19% (RR = 0.81, 95% CI = 0.72-0.90) decrease in breast cancer risk was found for those with highest quantile of calcium intake compared to the lowest quantile. These results provide strong evidence that vitamin D and calcium have a chemopreventive effect against breast cancer.","DOI":"10.1007/s10549-009-0593-9","ISSN":"1573-7217","note":"00199 \nPMID: 19851861","journalAbbreviation":"Breast Cancer Res. Treat.","language":"eng","author":[{"family":"Chen","given":"Peizhan"},{"family":"Hu","given":"Pingting"},{"family":"Xie","given":"Dong"},{"family":"Qin","given":"Ying"},{"family":"Wang","given":"Fudi"},{"family":"Wang","given":"Hui"}],"issued":{"date-parts":[["2010",6]]},"PMID":"19851861"},"label":"page"},{"id":803,"uris":["http://zotero.org/users/2024628/items/96JMU68F"],"uri":["http://zotero.org/users/2024628/items/96JMU68F"],"itemData":{"id":803,"type":"article-journal","title":"Calcium and phosphorus intake and prostate cancer risk: a 24-y follow-up study","container-title":"The American Journal of Clinical Nutrition","page":"173-183","volume":"101","issue":"1","source":"PubMed","abstract":"BACKGROUND: High calcium intake has been associated with an increased risk of advanced-stage and high-grade prostate cancer. Several studies have found a positive association between phosphorus intake and prostate cancer risk.\nOBJECTIVE: We investigated the joint association between calcium and phosphorus and risk of prostate cancer in the Health Professionals Follow-Up Study, with a focus on lethal and high-grade disease.\nDESIGN: In total, 47,885 men in the cohort reported diet data in 1986 and every 4 y thereafter. From 1986 to 2010, 5861 cases of prostate cancer were identified, including 789 lethal cancers (fatal or metastatic). We used Cox proportional hazards models to assess the association between calcium and phosphorus intake and prostate cancer, with adjustment for potential confounding.\nRESULTS: Calcium intakes &gt;2000 mg/d were associated with greater risk of total prostate cancer and lethal and high-grade cancers. These associations were attenuated and no longer statistically significant when phosphorus intake was adjusted for. Phosphorus intake was associated with greater risk of total, lethal, and high-grade cancers, independent of calcium and intakes of red meat, white meat, dairy, and fish. In latency analysis, calcium and phosphorus had independent effects for different time periods between exposure and diagnosis. Calcium intake was associated with an increased risk of advanced-stage and high-grade disease 12-16 y after exposure, whereas high phosphorus was associated with increased risk of advanced-stage and high-grade disease 0-8 y after exposure.\nCONCLUSIONS: Phosphorus is independently associated with risk of lethal and high-grade prostate cancer. Calcium may not have a strong independent effect on prostate cancer risk except with long latency periods.","DOI":"10.3945/ajcn.114.088716","ISSN":"1938-3207","note":"00002 \nPMID: 25527761\nPMCID: PMC4266887","shortTitle":"Calcium and phosphorus intake and prostate cancer risk","journalAbbreviation":"Am. J. Clin. Nutr.","language":"eng","author":[{"family":"Wilson","given":"Kathryn M."},{"family":"Shui","given":"Irene M."},{"family":"Mucci","given":"Lorelei A."},{"family":"Giovannucci","given":"Edward"}],"issued":{"date-parts":[["2015",1]]},"PMID":"25527761","PMCID":"PMC4266887"},"label":"page"},{"id":805,"uris":["http://zotero.org/users/2024628/items/N8GU5MKS"],"uri":["http://zotero.org/users/2024628/items/N8GU5MKS"],"itemData":{"id":805,"type":"article-journal","title":"Dairy products, calcium, and prostate cancer risk: a systematic review and meta-analysis of cohort studies","container-title":"The American Journal of Clinical Nutrition","page":"87-117","volume":"101","issue":"1","source":"PubMed","abstract":"BACKGROUND: Dairy product and calcium intakes have been associated with increased prostate cancer risk, but whether specific dairy products or calcium sources are associated with risk is unclear.\nOBJECTIVE: In the Continuous Update Project, we conducted a meta-analysis of prospective studies on intakes of dairy products and calcium and prostate cancer risk.\nDESIGN: PubMed and several other databases were searched up to April 2013. Summary RRs were estimated by using a random-effects model.\nRESULTS: Thirty-two studies were included. Intakes of total dairy products [summary RR: 1.07 (95% CI: 1.02, 1.12; n = 15) per 400 g/d], total milk [summary RR: 1.03 (95% CI: 1.00, 1.07; n = 14) per 200 g/d], low-fat milk [summary RR: 1.06 (95% CI: 1.01, 1.11; n = 6) per 200 g/d], cheese [summary RR: 1.09 (95% CI: 1.02, 1.18; n = 11) per 50 g/d], and dietary calcium [summary RR: 1.05 (95% CI: 1.02, 1.09; n = 15) per 400 mg/d] were associated with increased total prostate cancer risk. Total calcium and dairy calcium intakes, but not nondairy calcium or supplemental calcium intakes, were also positively associated with total prostate cancer risk. Supplemental calcium was associated with increased risk of fatal prostate cancer.\nCONCLUSIONS: High intakes of dairy products, milk, low-fat milk, cheese, and total, dietary, and dairy calcium, but not supplemental or nondairy calcium, may increase total prostate cancer risk. The diverging results for types of dairy products and sources of calcium suggest that other components of dairy rather than fat and calcium may increase prostate cancer risk. Any additional studies should report detailed results for subtypes of prostate cancer.","DOI":"10.3945/ajcn.113.067157","ISSN":"1938-3207","note":"00015 \nPMID: 25527754","shortTitle":"Dairy products, calcium, and prostate cancer risk","journalAbbreviation":"Am. J. Clin. Nutr.","language":"eng","author":[{"family":"Aune","given":"Dagfinn"},{"family":"Navarro Rosenblatt","given":"Deborah A."},{"family":"Chan","given":"Doris S. M."},{"family":"Vieira","given":"Ana Rita"},{"family":"Vieira","given":"Rui"},{"family":"Greenwood","given":"Darren C."},{"family":"Vatten","given":"Lars J."},{"family":"Norat","given":"Teresa"}],"issued":{"date-parts":[["2015",1]]},"PMID":"25527754"},"label":"page"}],"schema":"https://github.com/citation-style-language/schema/raw/master/csl-citation.json"} </w:instrText>
      </w:r>
      <w:r w:rsidR="00B60D86" w:rsidRPr="006325C2">
        <w:fldChar w:fldCharType="separate"/>
      </w:r>
      <w:r w:rsidR="00AB395C" w:rsidRPr="00AB395C">
        <w:rPr>
          <w:vertAlign w:val="superscript"/>
        </w:rPr>
        <w:t>13–19</w:t>
      </w:r>
      <w:r w:rsidR="00B60D86" w:rsidRPr="006325C2">
        <w:fldChar w:fldCharType="end"/>
      </w:r>
      <w:r w:rsidR="006379F3" w:rsidRPr="006325C2">
        <w:t xml:space="preserve"> </w:t>
      </w:r>
      <w:r w:rsidR="00352306" w:rsidRPr="006325C2">
        <w:t>E</w:t>
      </w:r>
      <w:r w:rsidR="006379F3" w:rsidRPr="006325C2">
        <w:t>vidence</w:t>
      </w:r>
      <w:r w:rsidR="00352306" w:rsidRPr="006325C2">
        <w:t>, although limited, has</w:t>
      </w:r>
      <w:r w:rsidR="006379F3" w:rsidRPr="006325C2">
        <w:t xml:space="preserve"> </w:t>
      </w:r>
      <w:r w:rsidR="00352306" w:rsidRPr="006325C2">
        <w:t xml:space="preserve">also linked </w:t>
      </w:r>
      <w:r w:rsidR="006379F3" w:rsidRPr="006325C2">
        <w:t xml:space="preserve">calcium intake </w:t>
      </w:r>
      <w:r w:rsidR="000E7274" w:rsidRPr="006325C2">
        <w:t xml:space="preserve">with </w:t>
      </w:r>
      <w:r w:rsidR="006379F3" w:rsidRPr="006325C2">
        <w:t>risk of lung cancer</w:t>
      </w:r>
      <w:r w:rsidR="00183360" w:rsidRPr="006325C2">
        <w:t>.</w:t>
      </w:r>
      <w:r w:rsidR="00B60D86" w:rsidRPr="006325C2">
        <w:fldChar w:fldCharType="begin"/>
      </w:r>
      <w:r w:rsidR="00AB395C">
        <w:instrText xml:space="preserve"> ADDIN ZOTERO_ITEM CSL_CITATION {"citationID":"485houa0a","properties":{"formattedCitation":"{\\rtf \\super 20, 21\\nosupersub{}}","plainCitation":"20, 21"},"citationItems":[{"id":807,"uris":["http://zotero.org/users/2024628/items/IJCAHTNI"],"uri":["http://zotero.org/users/2024628/items/IJCAHTNI"],"itemData":{"id":807,"type":"article-journal","title":"Mineral intake and lung cancer risk in the NIH-American Association of Retired Persons Diet and Health study","container-title":"Cancer Epidemiology, Biomarkers &amp; Prevention: A Publication of the American Association for Cancer Research, Cosponsored by the American Society of Preventive Oncology","page":"1976-1983","volume":"19","issue":"8","source":"PubMed","abstract":"BACKGROUND: Using data from a case-control study, we previously reported that low dietary intakes of magnesium (Mg), iron (Fe), zinc (Zn), copper (Cu), but not selenium (Se) and calcium (Ca), were associated with increased lung cancer risk. Due to dietary recall bias in case-control studies, our objective was to assess whether these findings hold in a prospective cohort study.\nMETHODS: We analyzed data from the NIH-American Association of Retired Persons Diet and Health study of 482,875 subjects (288,257 men and 194,618 women) who were cancer-free and completed a food frequency questionnaire at enrollment between 1995 and 2003. Cox proportional hazards models were computed to estimate the relative risk adjusted for potential confounders.\nRESULTS: During a mean follow-up of 7 years, 7,052 lung cancer cases were identified. For all subjects, we observed no significant associations between total (diet + supplement) Ca, Mg, Fe, Cu, Se, and Zn intakes and lung cancer risk. Total Ca intake was protective (P trend &lt; 0.05) for current smokers and subjects with adenocarcinomas. Total Mg intake increased risk (P trend &lt; 0.05) in men and current smokers. Total Fe intake was inversely associated with risk in women (P trend &lt; 0.01). For dietary minerals, Mg increased risk (P trend &lt; 0.05) in all subjects, among men and current smokers. Increased dietary Ca intake reduced risk in women (P trend = 0.05). Dietary Fe decreased risk in all subjects and among women (P trend &lt; 0.05). Mineral intake from supplements did not affect lung cancer risk.\nCONCLUSIONS: Dietary minerals are risk factors for lung cancer.\nIMPACT: Dietary mineral consumption may influence lung cancer risk, but the associations differ by type of mineral and population subgroups.","DOI":"10.1158/1055-9965.EPI-10-0067","ISSN":"1538-7755","note":"00016 \nPMID: 20696660\nPMCID: PMC2921219","journalAbbreviation":"Cancer Epidemiol. Biomarkers Prev.","language":"eng","author":[{"family":"Mahabir","given":"Somdat"},{"family":"Forman","given":"Michele R."},{"family":"Dong","given":"Young Q."},{"family":"Park","given":"Yikyung"},{"family":"Hollenbeck","given":"Albert"},{"family":"Schatzkin","given":"Arthur"}],"issued":{"date-parts":[["2010",8]]},"PMID":"20696660","PMCID":"PMC2921219"},"label":"page"},{"id":809,"uris":["http://zotero.org/users/2024628/items/B5KXG985"],"uri":["http://zotero.org/users/2024628/items/B5KXG985"],"itemData":{"id":809,"type":"article-journal","title":"Dietary calcium and magnesium intake in relation to cancer incidence and mortality in a German prospective cohort (EPIC-Heidelberg)","container-title":"Cancer causes &amp; control: CCC","page":"1375-1382","volume":"22","issue":"10","source":"PubMed","abstract":"To prospectively evaluate the associations of dietary calcium and magnesium intake with cancer incidence and mortality, data of 24,323 participants of the Heidelberg cohort of the European Prospective Investigation into Cancer and Nutrition (EPIC-Heidelberg), who were aged 35-64 years and cancer-free at recruitment (1994-1998), were analyzed using multivariate Cox regression models. After an average follow-up time of 11 years, 2,050 incident cancers were diagnosed and 513 cancer deaths occurred. Dietary calcium intake was inversely but not statistically significantly associated with colorectal cancer risk (hazard ratio [HR] for per 100 mg increase in intake: 0.95; 95% confidence interval [CI]: 0.88, 1.02) and lung cancer risk (HR for per 100 mg increase in intake: 0.94; 95% CI: 0.87, 1.02). No statistically significant associations were observed between dietary calcium intake and site-specific or overall cancer incidence or mortality. Dietary magnesium intake was not statistically significantly associated with any of the investigated outcomes. This prospective cohort study provides no strong evidence to support that high dietary calcium and magnesium intake in the intake range observed in a German population may reduce cancer incidence or mortality.","DOI":"10.1007/s10552-011-9810-z","ISSN":"1573-7225","note":"00019 \nPMID: 21728055","journalAbbreviation":"Cancer Causes Control","language":"eng","author":[{"family":"Li","given":"Kuanrong"},{"family":"Kaaks","given":"Rudolf"},{"family":"Linseisen","given":"Jakob"},{"family":"Rohrmann","given":"Sabine"}],"issued":{"date-parts":[["2011",10]]},"PMID":"21728055"},"label":"page"}],"schema":"https://github.com/citation-style-language/schema/raw/master/csl-citation.json"} </w:instrText>
      </w:r>
      <w:r w:rsidR="00B60D86" w:rsidRPr="006325C2">
        <w:fldChar w:fldCharType="separate"/>
      </w:r>
      <w:r w:rsidR="00AB395C" w:rsidRPr="00AB395C">
        <w:rPr>
          <w:vertAlign w:val="superscript"/>
        </w:rPr>
        <w:t>20, 21</w:t>
      </w:r>
      <w:r w:rsidR="00B60D86" w:rsidRPr="006325C2">
        <w:fldChar w:fldCharType="end"/>
      </w:r>
      <w:r w:rsidR="00183360" w:rsidRPr="006325C2">
        <w:rPr>
          <w:vertAlign w:val="superscript"/>
        </w:rPr>
        <w:t>,</w:t>
      </w:r>
      <w:r w:rsidR="00B60D86" w:rsidRPr="006325C2">
        <w:fldChar w:fldCharType="begin"/>
      </w:r>
      <w:r w:rsidR="00EF2B39" w:rsidRPr="006325C2">
        <w:instrText xml:space="preserve"> ADDIN ZOTERO_ITEM CSL_CITATION {"citationID":"UK03jROy","properties":{"formattedCitation":"{\\rtf \\super 22\\nosupersub{}}","plainCitation":"22"},"citationItems":[{"id":811,"uris":["http://zotero.org/users/2024628/items/D6VR7CUN"],"uri":["http://zotero.org/users/2024628/items/D6VR7CUN"],"itemData":{"id":811,"type":"article-journal","title":"Calcium intake and lung cancer risk among female nonsmokers: a report from the Shanghai Women's Health Study","container-title":"Cancer Epidemiology, Biomarkers &amp; Prevention: A Publication of the American Association for Cancer Research, Cosponsored by the American Society of Preventive Oncology","page":"50-57","volume":"22","issue":"1","source":"PubMed","abstract":"BACKGROUND: Calcium has been implicated in carcinogenesis and linked to the risk of several cancers in epidemiologic studies; however, few studies have investigated the association of calcium intake with lung cancer risk, particularly among nonsmokers.\nMETHODS: We evaluated the association of intakes of calcium and related minerals, assessed through a food frequency questionnaire, with lung cancer risk among 71,267 female nonsmokers who were cancer free at baseline in the Shanghai Women's Health Study, a population-based, prospective cohort study. Multivariate Cox regression was used to calculate hazard ratios (HR) and 95% confidence intervals (CI).\nRESULTS: During follow-up through December 2009 (median follow-up time: 11.2 years), 428 incident lung cancer cases accrued. The median intakes of dietary calcium, magnesium, and phosphorus were 441, 266, and 935 mg/d, respectively. Intakes of calcium, phosphorus, and the calcium-to-magnesium (Ca:Mg) ratio were inversely associated with lung cancer risk. The corresponding HRs (95% CIs) for the highest compared with the lowest quartile were 0.66 (0.48, 0.91) for calcium, 0.55 (0.36, 0.85) for phosphorus, and 0.62 (0.47, 0.82) for the Ca:Mg ratio. No association was observed for dietary magnesium intake or the use of calcium- or vitamin D-containing supplements.\nCONCLUSIONS AND IMPACT: Our study provides some of the first evidence suggesting a possible role for increasing dietary calcium intake in lung cancer prevention among female nonsmokers, especially in populations with relatively low calcium intake.","DOI":"10.1158/1055-9965.EPI-12-0915-T","ISSN":"1538-7755","note":"00012 \nPMID: 23093548\nPMCID: PMC3538907","shortTitle":"Calcium intake and lung cancer risk among female nonsmokers","journalAbbreviation":"Cancer Epidemiol. Biomarkers Prev.","language":"eng","author":[{"family":"Takata","given":"Yumie"},{"family":"Shu","given":"Xiao-Ou"},{"family":"Yang","given":"Gong"},{"family":"Li","given":"Honglan"},{"family":"Dai","given":"Qi"},{"family":"Gao","given":"Jing"},{"family":"Cai","given":"Qiuyin"},{"family":"Gao","given":"Yu-Tang"},{"family":"Zheng","given":"Wei"}],"issued":{"date-parts":[["2013",1]]},"PMID":"23093548","PMCID":"PMC3538907"}}],"schema":"https://github.com/citation-style-language/schema/raw/master/csl-citation.json"} </w:instrText>
      </w:r>
      <w:r w:rsidR="00B60D86" w:rsidRPr="006325C2">
        <w:fldChar w:fldCharType="separate"/>
      </w:r>
      <w:r w:rsidR="00AB395C" w:rsidRPr="00AB395C">
        <w:rPr>
          <w:vertAlign w:val="superscript"/>
        </w:rPr>
        <w:t>22</w:t>
      </w:r>
      <w:r w:rsidR="00B60D86" w:rsidRPr="006325C2">
        <w:fldChar w:fldCharType="end"/>
      </w:r>
      <w:r w:rsidR="00F936EC" w:rsidRPr="006325C2">
        <w:t xml:space="preserve"> </w:t>
      </w:r>
      <w:r w:rsidR="002E779A" w:rsidRPr="006325C2">
        <w:t xml:space="preserve">To our knowledge, </w:t>
      </w:r>
      <w:r w:rsidR="000E7274" w:rsidRPr="006325C2">
        <w:t xml:space="preserve">only a very few </w:t>
      </w:r>
      <w:r w:rsidR="002E779A" w:rsidRPr="006325C2">
        <w:t>cohort studies</w:t>
      </w:r>
      <w:r w:rsidR="003E127A" w:rsidRPr="006325C2">
        <w:t xml:space="preserve"> have examined </w:t>
      </w:r>
      <w:r w:rsidR="007D6428" w:rsidRPr="006325C2">
        <w:t xml:space="preserve">the association of </w:t>
      </w:r>
      <w:r w:rsidR="003E127A" w:rsidRPr="006325C2">
        <w:t>predi</w:t>
      </w:r>
      <w:r w:rsidR="00B00034" w:rsidRPr="006325C2">
        <w:t>a</w:t>
      </w:r>
      <w:r w:rsidR="003E127A" w:rsidRPr="006325C2">
        <w:t xml:space="preserve">gnostic calcium intake </w:t>
      </w:r>
      <w:r w:rsidR="007D6428" w:rsidRPr="006325C2">
        <w:t xml:space="preserve">with </w:t>
      </w:r>
      <w:r w:rsidR="003E127A" w:rsidRPr="006325C2">
        <w:t>cancer survival</w:t>
      </w:r>
      <w:r w:rsidR="00B00034" w:rsidRPr="006325C2">
        <w:t>,</w:t>
      </w:r>
      <w:r w:rsidR="000E7274" w:rsidRPr="006325C2">
        <w:t xml:space="preserve"> and none have examined </w:t>
      </w:r>
      <w:r w:rsidR="007D6428" w:rsidRPr="006325C2">
        <w:t xml:space="preserve">the association with </w:t>
      </w:r>
      <w:r w:rsidR="000E7274" w:rsidRPr="006325C2">
        <w:t>lung cancer survival</w:t>
      </w:r>
      <w:r w:rsidR="003E127A" w:rsidRPr="006325C2">
        <w:t>.</w:t>
      </w:r>
      <w:r w:rsidR="007D6428" w:rsidRPr="006325C2">
        <w:fldChar w:fldCharType="begin"/>
      </w:r>
      <w:r w:rsidR="00AB395C">
        <w:instrText xml:space="preserve"> ADDIN ZOTERO_ITEM CSL_CITATION {"citationID":"1fq549i3vo","properties":{"formattedCitation":"{\\rtf \\super 23, 24\\nosupersub{}}","plainCitation":"23, 24"},"citationItems":[{"id":900,"uris":["http://zotero.org/users/2024628/items/28F7QECU"],"uri":["http://zotero.org/users/2024628/items/28F7QECU"],"itemData":{"id":900,"type":"article-journal","title":"Prediagnostic intake of dairy products and dietary calcium and colorectal cancer survival--results from the EPIC cohort study","container-title":"Cancer Epidemiology, Biomarkers &amp; Prevention: A Publication of the American Association for Cancer Research, Cosponsored by the American Society of Preventive Oncology","page":"1813-1823","volume":"23","issue":"9","source":"PubMed","abstract":"BACKGROUND: We investigated whether prediagnostic reported intake of dairy products and dietary calcium is associated with colorectal cancer survival.\nMETHODS: Data from 3,859 subjects with colorectal cancer (42.1% male; mean age at diagnosis, 64.2 ± 8.1 years) in the European Investigation into Cancer and Nutrition cohort were analyzed. Intake of dairy products and dietary calcium was assessed at baseline (1992-2000) using validated, country-specific dietary questionnaires. Multivariable Cox regression models were used to calculate HR and corresponding 95% confidence intervals (CI) for colorectal cancer-specific death (n = 1,028) and all-cause death (n = 1,525) for different quartiles of intake.\nRESULTS: The consumption of total dairy products was not statistically significantly associated with risk of colorectal cancer-specific death (adjusted HR Q4 vs. Q1, 1.17; 95% CI, 0.97-1.43) nor that of all-cause death (Q4 vs. Q1, 1.16; 95% CI, 0.98-1.36). Multivariable-adjusted HRs for colorectal cancer-specific death (Q4 vs. Q1) were 1.21 (95% CI, 0.99-1.48) for milk, 1.09 (95% CI, 0.88-1.34) for yoghurt, and 0.93 (95% CI, 0.76-1.14) for cheese. The intake of dietary calcium was not associated with the risk of colorectal cancer-specific death (adjusted HR Q4 vs. Q1, 1.01; 95% CI, 0.81-1.26) nor that of all-cause death (Q4 vs. Q1, 1.01; 95% CI, 0.84-1.21).\nCONCLUSIONS: The prediagnostic reported intake of dairy products and dietary calcium is not associated with disease-specific or all-cause risk of death in patients diagnosed with colorectal cancer.\nIMPACT: The impact of diet on cancer survival is largely unknown. This study shows that despite its inverse association with colorectal cancer risk, the prediagnostic intake of dairy and dietary calcium does not affect colorectal cancer survival.","DOI":"10.1158/1055-9965.EPI-14-0172","ISSN":"1538-7755","note":"00003 \nPMID: 24917183","journalAbbreviation":"Cancer Epidemiol. Biomarkers Prev.","language":"eng","author":[{"family":"Dik","given":"Vincent K."},{"family":"Murphy","given":"Neil"},{"family":"Siersema","given":"Peter D."},{"family":"Fedirko","given":"Veronika"},{"family":"Jenab","given":"Mazda"},{"family":"Kong","given":"So Y."},{"family":"Hansen","given":"Camilla P."},{"family":"Overvad","given":"Kim"},{"family":"Tjønneland","given":"Anne"},{"family":"Olsen","given":"Anja"},{"family":"Dossus","given":"Laure"},{"family":"Racine","given":"Antoine"},{"family":"Bastide","given":"Nadia"},{"family":"Li","given":"Kuanrong"},{"family":"Kühn","given":"Tilman"},{"family":"Boeing","given":"Heiner"},{"family":"Aleksandrova","given":"Krasimira"},{"family":"Trichopoulou","given":"Antonia"},{"family":"Trichopoulos","given":"Dimitrios"},{"family":"Barbitsioti","given":"Antonia"},{"family":"Palli","given":"Domenico"},{"family":"Contiero","given":"Paolo"},{"family":"Vineis","given":"Paolo"},{"family":"Tumino","given":"Rosaria"},{"family":"Panico","given":"Salvatore"},{"family":"Peeters","given":"Petra H. M."},{"family":"Weiderpass","given":"Elisabete"},{"family":"Skeie","given":"Guri"},{"family":"Hjartåker","given":"Anette"},{"family":"Amiano","given":"Pilar"},{"family":"Sánchez","given":"María-José"},{"family":"Fonseca-Nunes","given":"Ana"},{"family":"Barricarte","given":"Aurelio"},{"family":"Chirlaque","given":"María-Dolores"},{"family":"Redondo","given":"Maria-Luisa"},{"family":"Jirström","given":"Karin"},{"family":"Manjer","given":"Jonas"},{"family":"Nilsson","given":"Lena M."},{"family":"Wennberg","given":"Maria"},{"family":"Bradbury","given":"Kathryn E."},{"family":"Khaw","given":"Kay-Tee"},{"family":"Wareham","given":"Nicholas"},{"family":"Cross","given":"Amanda J."},{"family":"Riboli","given":"Elio"},{"family":"Bueno-de-Mesquita","given":"H. Bas"}],"issued":{"date-parts":[["2014",9]]},"PMID":"24917183"},"label":"page"},{"id":902,"uris":["http://zotero.org/users/2024628/items/8KA9PCBI"],"uri":["http://zotero.org/users/2024628/items/8KA9PCBI"],"itemData":{"id":902,"type":"article-journal","title":"Calcium, vitamin D, dairy products, and mortality among colorectal cancer survivors: the Cancer Prevention Study-II Nutrition Cohort","container-title":"Journal of Clinical Oncology: Official Journal of the American Society of Clinical Oncology","page":"2335-2343","volume":"32","issue":"22","source":"PubMed","abstract":"PURPOSE: Higher calcium, vitamin D, and dairy product intakes are associated with lower colorectal cancer incidence, but their impacts on colorectal cancer survival are unclear. We evaluated associations of calcium, vitamin D, and dairy product intakes before and after colorectal cancer diagnosis with all-cause and colorectal cancer-specific mortality among colorectal cancer patients.\nPATIENTS AND METHODS: This analysis included 2,284 participants in a prospective cohort who were diagnosed with invasive, nonmetastatic colorectal cancer after baseline (1992 or 1993) and up to 2009. Mortality follow-up was through 2010. Prediagnosis risk factor information was collected on the baseline questionnaire. Postdiagnosis information was collected via questionnaires in 1999 and 2003 and was available for 1,111 patients.\nRESULTS: A total of 949 participants with colorectal cancer died during follow-up, including 408 from colorectal cancer. In multivariable-adjusted Cox proportional hazards regression models, postdiagnosis total calcium intake was inversely associated with all-cause mortality (relative risk [RR] for those in the highest relative to the lowest quartiles, 0.72; 95% CI, 0.53-0.98; Ptrend = .02) and associated with marginally statistically significant reduced colorectal cancer-specific mortality (RR, 0.59; 95% CI, 0.33 to 1.05; Ptrend = .01). An inverse association with all-cause mortality was also observed for postdiagnosis milk intake (RR, 0.72; 95% CI, 0.55 to 0.94; Ptrend = .02), but not vitamin D intake. Prediagnosis calcium, vitamin D, and dairy product intakes were not associated with any mortality outcomes.\nCONCLUSION: Higher postdiagnosis intakes of total calcium and milk may be associated with lower risk of death among patients with nonmetastatic colorectal cancer.","DOI":"10.1200/JCO.2014.55.3024","ISSN":"1527-7755","note":"00006 \nPMID: 24958826","shortTitle":"Calcium, vitamin D, dairy products, and mortality among colorectal cancer survivors","journalAbbreviation":"J. Clin. Oncol.","language":"eng","author":[{"family":"Yang","given":"Baiyu"},{"family":"McCullough","given":"Marjorie L."},{"family":"Gapstur","given":"Susan M."},{"family":"Jacobs","given":"Eric J."},{"family":"Bostick","given":"Roberd M."},{"family":"Fedirko","given":"Veronika"},{"family":"Flanders","given":"W. Dana"},{"family":"Campbell","given":"Peter T."}],"issued":{"date-parts":[["2014",8,1]]},"PMID":"24958826"},"label":"page"}],"schema":"https://github.com/citation-style-language/schema/raw/master/csl-citation.json"} </w:instrText>
      </w:r>
      <w:r w:rsidR="007D6428" w:rsidRPr="006325C2">
        <w:fldChar w:fldCharType="separate"/>
      </w:r>
      <w:r w:rsidR="00AB395C" w:rsidRPr="00AB395C">
        <w:rPr>
          <w:vertAlign w:val="superscript"/>
        </w:rPr>
        <w:t>23, 24</w:t>
      </w:r>
      <w:r w:rsidR="007D6428" w:rsidRPr="006325C2">
        <w:fldChar w:fldCharType="end"/>
      </w:r>
    </w:p>
    <w:p w:rsidR="00DB64C7" w:rsidRPr="006325C2" w:rsidRDefault="00352306" w:rsidP="00434502">
      <w:pPr>
        <w:spacing w:before="60" w:after="0" w:line="480" w:lineRule="auto"/>
        <w:ind w:firstLine="360"/>
      </w:pPr>
      <w:r w:rsidRPr="006325C2">
        <w:t>The</w:t>
      </w:r>
      <w:r w:rsidR="00524553" w:rsidRPr="006325C2">
        <w:t xml:space="preserve"> aim</w:t>
      </w:r>
      <w:r w:rsidRPr="006325C2">
        <w:t xml:space="preserve"> </w:t>
      </w:r>
      <w:r w:rsidR="00C239BF" w:rsidRPr="006325C2">
        <w:t xml:space="preserve">of the </w:t>
      </w:r>
      <w:r w:rsidR="006F389F" w:rsidRPr="006325C2">
        <w:t xml:space="preserve">present </w:t>
      </w:r>
      <w:r w:rsidR="00C239BF" w:rsidRPr="006325C2">
        <w:t xml:space="preserve">analyses </w:t>
      </w:r>
      <w:r w:rsidRPr="006325C2">
        <w:t xml:space="preserve">is </w:t>
      </w:r>
      <w:r w:rsidR="00B443D2" w:rsidRPr="006325C2">
        <w:t>t</w:t>
      </w:r>
      <w:r w:rsidR="00524553" w:rsidRPr="006325C2">
        <w:t xml:space="preserve">o </w:t>
      </w:r>
      <w:r w:rsidR="002E779A" w:rsidRPr="006325C2">
        <w:t>investiga</w:t>
      </w:r>
      <w:r w:rsidR="00DB64CD" w:rsidRPr="006325C2">
        <w:t xml:space="preserve">te </w:t>
      </w:r>
      <w:r w:rsidR="00C239BF" w:rsidRPr="006325C2">
        <w:t xml:space="preserve">prediagnostic </w:t>
      </w:r>
      <w:r w:rsidR="00DB64CD" w:rsidRPr="006325C2">
        <w:t>calcium intake from foods and supplements</w:t>
      </w:r>
      <w:r w:rsidR="002E779A" w:rsidRPr="006325C2">
        <w:t xml:space="preserve"> in </w:t>
      </w:r>
      <w:r w:rsidR="008224AC" w:rsidRPr="006325C2">
        <w:t>relation to</w:t>
      </w:r>
      <w:r w:rsidR="002E779A" w:rsidRPr="006325C2">
        <w:t xml:space="preserve"> lung cancer survival</w:t>
      </w:r>
      <w:r w:rsidR="00B443D2" w:rsidRPr="006325C2">
        <w:t>.</w:t>
      </w:r>
      <w:r w:rsidR="00037839" w:rsidRPr="006325C2">
        <w:t xml:space="preserve"> </w:t>
      </w:r>
      <w:r w:rsidR="00C239BF" w:rsidRPr="006325C2">
        <w:t xml:space="preserve">This is part of a large </w:t>
      </w:r>
      <w:r w:rsidR="00037839" w:rsidRPr="006325C2">
        <w:t xml:space="preserve">pooling project that collected </w:t>
      </w:r>
      <w:r w:rsidR="00C239BF" w:rsidRPr="006325C2">
        <w:t xml:space="preserve">individual-level data from </w:t>
      </w:r>
      <w:r w:rsidR="00037839" w:rsidRPr="006325C2">
        <w:t xml:space="preserve">nearly 1.9 million </w:t>
      </w:r>
      <w:r w:rsidR="00C239BF" w:rsidRPr="006325C2">
        <w:t xml:space="preserve">participants </w:t>
      </w:r>
      <w:r w:rsidR="00B00034" w:rsidRPr="006325C2">
        <w:t>from</w:t>
      </w:r>
      <w:r w:rsidR="00037839" w:rsidRPr="006325C2">
        <w:t xml:space="preserve"> 12 cohort studies </w:t>
      </w:r>
      <w:r w:rsidR="00456353" w:rsidRPr="006325C2">
        <w:t>in</w:t>
      </w:r>
      <w:r w:rsidR="00037839" w:rsidRPr="006325C2">
        <w:t xml:space="preserve"> the US, Europe, and Asia (The Calcium and Lung Cancer Pooling Project). </w:t>
      </w:r>
      <w:r w:rsidR="00187EB1" w:rsidRPr="006325C2">
        <w:t xml:space="preserve">The present </w:t>
      </w:r>
      <w:r w:rsidR="00E43607" w:rsidRPr="006325C2">
        <w:t xml:space="preserve">paper </w:t>
      </w:r>
      <w:r w:rsidR="00E43607" w:rsidRPr="006325C2">
        <w:lastRenderedPageBreak/>
        <w:t>focuses</w:t>
      </w:r>
      <w:r w:rsidR="00187EB1" w:rsidRPr="006325C2">
        <w:t xml:space="preserve"> on</w:t>
      </w:r>
      <w:r w:rsidR="00037839" w:rsidRPr="006325C2">
        <w:t xml:space="preserve"> the association of </w:t>
      </w:r>
      <w:r w:rsidR="00B443D2" w:rsidRPr="006325C2">
        <w:t xml:space="preserve">prediagnostic </w:t>
      </w:r>
      <w:r w:rsidR="00037839" w:rsidRPr="006325C2">
        <w:t>calcium intake with lung cancer survival among</w:t>
      </w:r>
      <w:r w:rsidR="00187EB1" w:rsidRPr="006325C2">
        <w:t xml:space="preserve"> 23,882 </w:t>
      </w:r>
      <w:r w:rsidR="00BF07E4" w:rsidRPr="006325C2">
        <w:t xml:space="preserve">incident cases who were diagnosed </w:t>
      </w:r>
      <w:r w:rsidR="00E43607" w:rsidRPr="006325C2">
        <w:t xml:space="preserve">with primary lung cancer </w:t>
      </w:r>
      <w:r w:rsidR="00DB64C7" w:rsidRPr="006325C2">
        <w:t xml:space="preserve">during </w:t>
      </w:r>
      <w:r w:rsidR="008224AC" w:rsidRPr="006325C2">
        <w:t xml:space="preserve">cohort </w:t>
      </w:r>
      <w:r w:rsidR="00DB64C7" w:rsidRPr="006325C2">
        <w:t>follow-up</w:t>
      </w:r>
      <w:r w:rsidR="008224AC" w:rsidRPr="006325C2">
        <w:t>s</w:t>
      </w:r>
      <w:r w:rsidR="00524553" w:rsidRPr="006325C2">
        <w:t xml:space="preserve">. </w:t>
      </w:r>
      <w:r w:rsidR="009C0862" w:rsidRPr="006325C2">
        <w:t xml:space="preserve">We examined the association among all cases </w:t>
      </w:r>
      <w:r w:rsidR="00E43607" w:rsidRPr="006325C2">
        <w:t>combined</w:t>
      </w:r>
      <w:r w:rsidR="009C0862" w:rsidRPr="006325C2">
        <w:t xml:space="preserve"> and separately by </w:t>
      </w:r>
      <w:r w:rsidR="008224AC" w:rsidRPr="006325C2">
        <w:t>major</w:t>
      </w:r>
      <w:r w:rsidR="00A67367" w:rsidRPr="006325C2">
        <w:t xml:space="preserve"> </w:t>
      </w:r>
      <w:r w:rsidR="00364725" w:rsidRPr="006325C2">
        <w:t xml:space="preserve">lung cancer prognostic factors, </w:t>
      </w:r>
      <w:r w:rsidR="00940905" w:rsidRPr="006325C2">
        <w:t>including</w:t>
      </w:r>
      <w:r w:rsidR="00364725" w:rsidRPr="006325C2">
        <w:t xml:space="preserve"> </w:t>
      </w:r>
      <w:r w:rsidR="00BF07E4" w:rsidRPr="006325C2">
        <w:t>age</w:t>
      </w:r>
      <w:r w:rsidR="008224AC" w:rsidRPr="006325C2">
        <w:t>,</w:t>
      </w:r>
      <w:r w:rsidR="00A67367" w:rsidRPr="006325C2">
        <w:t xml:space="preserve"> </w:t>
      </w:r>
      <w:r w:rsidR="00364725" w:rsidRPr="006325C2">
        <w:t>stage</w:t>
      </w:r>
      <w:r w:rsidR="00A4202C" w:rsidRPr="006325C2">
        <w:t xml:space="preserve">, </w:t>
      </w:r>
      <w:r w:rsidR="00BF07E4" w:rsidRPr="006325C2">
        <w:t>and histology.</w:t>
      </w:r>
    </w:p>
    <w:p w:rsidR="00A16BE7" w:rsidRPr="006325C2" w:rsidRDefault="00A16BE7" w:rsidP="00434502">
      <w:pPr>
        <w:spacing w:before="60" w:after="0" w:line="480" w:lineRule="auto"/>
      </w:pPr>
    </w:p>
    <w:p w:rsidR="00A16BE7" w:rsidRPr="006325C2" w:rsidRDefault="00577265" w:rsidP="00434502">
      <w:pPr>
        <w:spacing w:before="60" w:after="0" w:line="480" w:lineRule="auto"/>
        <w:rPr>
          <w:b/>
        </w:rPr>
      </w:pPr>
      <w:r w:rsidRPr="006325C2">
        <w:rPr>
          <w:b/>
        </w:rPr>
        <w:t>M</w:t>
      </w:r>
      <w:r w:rsidR="007C593D" w:rsidRPr="006325C2">
        <w:rPr>
          <w:b/>
        </w:rPr>
        <w:t>ethods</w:t>
      </w:r>
    </w:p>
    <w:p w:rsidR="00A16BE7" w:rsidRPr="006325C2" w:rsidRDefault="00A16BE7" w:rsidP="00434502">
      <w:pPr>
        <w:spacing w:before="60" w:after="0" w:line="480" w:lineRule="auto"/>
        <w:rPr>
          <w:b/>
        </w:rPr>
      </w:pPr>
      <w:r w:rsidRPr="006325C2">
        <w:rPr>
          <w:b/>
        </w:rPr>
        <w:t>Study Population</w:t>
      </w:r>
    </w:p>
    <w:p w:rsidR="00B23002" w:rsidRPr="006325C2" w:rsidRDefault="00DB4B0F" w:rsidP="00434502">
      <w:pPr>
        <w:spacing w:before="60" w:after="0" w:line="480" w:lineRule="auto"/>
      </w:pPr>
      <w:r w:rsidRPr="006325C2">
        <w:t xml:space="preserve">Twelve large, prospective cohort studies participated in </w:t>
      </w:r>
      <w:r w:rsidR="004D6BC6" w:rsidRPr="006325C2">
        <w:t>The Calcium and Lung Cancer Pooling Project</w:t>
      </w:r>
      <w:r w:rsidRPr="006325C2">
        <w:t xml:space="preserve">, including </w:t>
      </w:r>
      <w:r w:rsidR="008B4DAD" w:rsidRPr="006325C2">
        <w:t>eight</w:t>
      </w:r>
      <w:r w:rsidR="00023AA8" w:rsidRPr="006325C2">
        <w:t xml:space="preserve"> </w:t>
      </w:r>
      <w:r w:rsidR="004042E5" w:rsidRPr="006325C2">
        <w:t>US</w:t>
      </w:r>
      <w:r w:rsidR="00023AA8" w:rsidRPr="006325C2">
        <w:t xml:space="preserve"> cohorts</w:t>
      </w:r>
      <w:r w:rsidRPr="006325C2">
        <w:t>:</w:t>
      </w:r>
      <w:r w:rsidR="00B23002" w:rsidRPr="006325C2">
        <w:t xml:space="preserve"> </w:t>
      </w:r>
      <w:r w:rsidR="00833047" w:rsidRPr="006325C2">
        <w:t xml:space="preserve">the </w:t>
      </w:r>
      <w:r w:rsidR="00B23002" w:rsidRPr="006325C2">
        <w:t>National Institutes of Health</w:t>
      </w:r>
      <w:r w:rsidR="00825734" w:rsidRPr="006325C2">
        <w:t>-AARP</w:t>
      </w:r>
      <w:r w:rsidR="00B23002" w:rsidRPr="006325C2">
        <w:t xml:space="preserve"> </w:t>
      </w:r>
      <w:r w:rsidR="007923C6" w:rsidRPr="006325C2">
        <w:t>study</w:t>
      </w:r>
      <w:r w:rsidR="00B23002" w:rsidRPr="006325C2">
        <w:t xml:space="preserve"> (</w:t>
      </w:r>
      <w:r w:rsidR="00C239BF" w:rsidRPr="006325C2">
        <w:t>NIH-</w:t>
      </w:r>
      <w:r w:rsidR="00B23002" w:rsidRPr="006325C2">
        <w:t>AARP),</w:t>
      </w:r>
      <w:r w:rsidR="000C1920" w:rsidRPr="006325C2">
        <w:fldChar w:fldCharType="begin"/>
      </w:r>
      <w:r w:rsidR="007D6428" w:rsidRPr="006325C2">
        <w:instrText xml:space="preserve"> ADDIN ZOTERO_ITEM CSL_CITATION {"citationID":"U1TZEspY","properties":{"formattedCitation":"{\\rtf \\super 25\\nosupersub{}}","plainCitation":"25"},"citationItems":[{"id":813,"uris":["http://zotero.org/users/2024628/items/34T6PT9F"],"uri":["http://zotero.org/users/2024628/items/34T6PT9F"],"itemData":{"id":813,"type":"article-journal","title":"Design and serendipity in establishing a large cohort with wide dietary intake distributions : the National Institutes of Health-American Association of Retired Persons Diet and Health Study","container-title":"American Journal of Epidemiology","page":"1119-1125","volume":"154","issue":"12","source":"PubMed","abstract":"In 1995-1996, the authors mailed a food frequency questionnaire to 3.5 million American Association of Retired Persons members who were aged 50-69 years and who resided in one of six states or two metropolitan areas with high-quality cancer registries. In establishing a cohort of 567,169 persons (340,148 men and 227,021 women), the authors were fortunate in that a less-than-anticipated baseline response rate (threatening inadequate numbers of respondents in the intake extremes) was offset by both a shifting and a widening of the intake distributions among those who provided satisfactory data. Reported median intakes for the first and fifth intake quintiles, respectively, were 20.4 and 40.1 (men) and 20.1 and 40.0 (women) percent calories from fat, 10.3 and 32.0 (men) and 8.7 and 28.7 (women) g per day of dietary fiber, 3.1 and 11.6 (men) and 2.8 and 11.3 (women) servings per day of fruits and vegetables, and 20.7 and 156.8 (men) and 10.5 and 97.0 (women) g per day of red meat. After 5 years of follow-up, the cohort is expected to yield nearly 4,000 breast cancers, more than 10,000 prostate cancers, more than 4,000 colorectal cancers, and more than 900 pancreatic cancers. The large size and wide intake range of the cohort will provide ample power for examining a number of important diet and cancer hypotheses.","ISSN":"0002-9262","note":"00338 \nPMID: 11744517","shortTitle":"Design and serendipity in establishing a large cohort with wide dietary intake distributions","journalAbbreviation":"Am. J. Epidemiol.","language":"eng","author":[{"family":"Schatzkin","given":"A."},{"family":"Subar","given":"A. F."},{"family":"Thompson","given":"F. E."},{"family":"Harlan","given":"L. C."},{"family":"Tangrea","given":"J."},{"family":"Hollenbeck","given":"A. R."},{"family":"Hurwitz","given":"P. E."},{"family":"Coyle","given":"L."},{"family":"Schussler","given":"N."},{"family":"Michaud","given":"D. S."},{"family":"Freedman","given":"L. S."},{"family":"Brown","given":"C. C."},{"family":"Midthune","given":"D."},{"family":"Kipnis","given":"V."}],"issued":{"date-parts":[["2001",12,15]]},"PMID":"11744517"}}],"schema":"https://github.com/citation-style-language/schema/raw/master/csl-citation.json"} </w:instrText>
      </w:r>
      <w:r w:rsidR="000C1920" w:rsidRPr="006325C2">
        <w:fldChar w:fldCharType="separate"/>
      </w:r>
      <w:r w:rsidR="00AB395C" w:rsidRPr="00AB395C">
        <w:rPr>
          <w:vertAlign w:val="superscript"/>
        </w:rPr>
        <w:t>25</w:t>
      </w:r>
      <w:r w:rsidR="000C1920" w:rsidRPr="006325C2">
        <w:fldChar w:fldCharType="end"/>
      </w:r>
      <w:r w:rsidR="00B23002" w:rsidRPr="006325C2">
        <w:t xml:space="preserve"> </w:t>
      </w:r>
      <w:r w:rsidR="00833047" w:rsidRPr="006325C2">
        <w:t xml:space="preserve">the </w:t>
      </w:r>
      <w:r w:rsidR="00B23002" w:rsidRPr="006325C2">
        <w:t>Health Professionals’ Follow-Up Study (HPFS),</w:t>
      </w:r>
      <w:r w:rsidR="00EF2B39" w:rsidRPr="006325C2">
        <w:fldChar w:fldCharType="begin"/>
      </w:r>
      <w:r w:rsidR="007D6428" w:rsidRPr="006325C2">
        <w:instrText xml:space="preserve"> ADDIN ZOTERO_ITEM CSL_CITATION {"citationID":"UiPUzP1E","properties":{"formattedCitation":"{\\rtf \\super 26\\nosupersub{}}","plainCitation":"26"},"citationItems":[{"id":821,"uris":["http://zotero.org/users/2024628/items/9867CKHC"],"uri":["http://zotero.org/users/2024628/items/9867CKHC"],"itemData":{"id":821,"type":"article-journal","title":"Periodontal disease, tooth loss, and cancer risk in male health professionals: a prospective cohort study","container-title":"The Lancet. Oncology","page":"550-558","volume":"9","issue":"6","source":"PubMed","abstract":"BACKGROUND: Studies suggest that tooth loss and periodontal disease might increase the risk of developing various cancers; however, smoking might have confounded the reported associations. We aimed to assess whether periodontal disease or tooth loss is associated with cancer risk.\nMETHODS: The analysis was done in a prospective study (the Health Professionals Follow-Up Study [HPFS]), which was initiated in 1986 when US male health professionals aged 40-75 years responded to questionnaires posted by the Department of Nutrition, Harvard University School of Public Health, Boston, MA, USA. In addition to the baseline questionnaires, follow-up questionnaires were posted to all living participants every 2 years and dietary questionnaires every 4 years. At baseline, participants were asked whether they had a history of periodontal disease with bone loss. Participants also reported number of natural teeth at baseline and any tooth loss during the previous 2 years was reported on the follow-up questionnaires. Smoking status and history of smoking were obtained at baseline and in all subsequent questionnaires. Additionally at baseline, participants reported their mean frequency of food intake over the previous year on a 131-item semiquantitative food-frequency questionnaire. Participants reported any new cancer diagnosis on the follow-up questionnaires. Endpoints for this study were risk of total cancer and individual cancers with more than 100 cases. Multivariate hazard ratios (HRs) and 95% CIs were calculated by use of Cox proportional hazard models according to periodontal disease status and number of teeth at baseline.\nFINDINGS: In the main analyses, 48 375 men with median follow-up of 17.7 years (1986 to Jan 31, 2004) were eligible after excluding participants diagnosed with cancer before 1986 (other than non-melanoma skin cancer, n=2076) and those with missing data on periodontal disease (n=1078). 5720 incident cancer cases were documented (excluding non-melanoma skin cancer and non-aggressive prostate cancer). The five most common cancers were colorectal (n=1043), melanoma of the skin (n=698), lung (n=678), bladder (n=543), and advanced prostate (n=541). After adjusting for known risk factors, including detailed smoking history and dietary factors, participants with a history of periodontal disease had an increased risk of total cancer (HR 1.14 [95% CI 1.07-1.22]) compared with those with no history of periodontal disease. By cancer site, significant associations for those with a history of periodontal disease were noted for lung (1.36 [1.15-1.60]), kidney (1.49 [1.12-1.97]), pancreas (1.54 [1.16-2.04]; findings previously published), and haematological cancers (1.30 [1.11-1.53]). Fewer teeth at baseline (0-16) was associated with an increase in risk of lung cancer (1.70 [1.37-2.11]) for those with 0-16 teeth versus those with 25-32 teeth. In never-smokers, periodontal disease was associated with significant increases in total (1.21 [1.06-1.39]) and haematological cancers (1.35 [1.01-1.81]). By contrast, no association was noted for lung cancer (0.96 [0.46-1.98]).\nINTERPRETATION: Periodontal disease was associated with a small, but significant, increase in overall cancer risk, which persisted in never-smokers. The associations recorded for lung cancer are probably because of residual confounding by smoking. The increased risks noted for haematological, kidney, and pancreatic cancers need confirmation, but suggest that periodontal disease might be a marker of a susceptible immune system or might directly affect cancer risk.","DOI":"10.1016/S1470-2045(08)70106-2","ISSN":"1474-5488","note":"00139 \nPMID: 18462995\nPMCID: PMC2601530","shortTitle":"Periodontal disease, tooth loss, and cancer risk in male health professionals","journalAbbreviation":"Lancet Oncol.","language":"eng","author":[{"family":"Michaud","given":"Dominique S."},{"family":"Liu","given":"Yan"},{"family":"Meyer","given":"Mara"},{"family":"Giovannucci","given":"Edward"},{"family":"Joshipura","given":"Kaumudi"}],"issued":{"date-parts":[["2008",6]]},"PMID":"18462995","PMCID":"PMC2601530"}}],"schema":"https://github.com/citation-style-language/schema/raw/master/csl-citation.json"} </w:instrText>
      </w:r>
      <w:r w:rsidR="00EF2B39" w:rsidRPr="006325C2">
        <w:fldChar w:fldCharType="separate"/>
      </w:r>
      <w:r w:rsidR="00AB395C" w:rsidRPr="00AB395C">
        <w:rPr>
          <w:vertAlign w:val="superscript"/>
        </w:rPr>
        <w:t>26</w:t>
      </w:r>
      <w:r w:rsidR="00EF2B39" w:rsidRPr="006325C2">
        <w:fldChar w:fldCharType="end"/>
      </w:r>
      <w:r w:rsidR="00B23002" w:rsidRPr="006325C2">
        <w:t xml:space="preserve"> </w:t>
      </w:r>
      <w:r w:rsidR="00833047" w:rsidRPr="006325C2">
        <w:t xml:space="preserve">the </w:t>
      </w:r>
      <w:r w:rsidR="002F6108" w:rsidRPr="006325C2">
        <w:t>Nurses’ Health Study</w:t>
      </w:r>
      <w:r w:rsidR="001122E2" w:rsidRPr="006325C2">
        <w:t xml:space="preserve"> I</w:t>
      </w:r>
      <w:r w:rsidR="00B23002" w:rsidRPr="006325C2">
        <w:t xml:space="preserve"> (NHS),</w:t>
      </w:r>
      <w:r w:rsidR="004D62D3" w:rsidRPr="006325C2">
        <w:fldChar w:fldCharType="begin"/>
      </w:r>
      <w:r w:rsidR="007D6428" w:rsidRPr="006325C2">
        <w:instrText xml:space="preserve"> ADDIN ZOTERO_ITEM CSL_CITATION {"citationID":"sPCUHyor","properties":{"formattedCitation":"{\\rtf \\super 27\\nosupersub{}}","plainCitation":"27"},"citationItems":[{"id":823,"uris":["http://zotero.org/users/2024628/items/G8MQJNZE"],"uri":["http://zotero.org/users/2024628/items/G8MQJNZE"],"itemData":{"id":823,"type":"article-journal","title":"Reproductive factors, hormone use, and risk for lung cancer in postmenopausal women, the Nurses' Health Study","container-title":"Cancer Epidemiology, Biomarkers &amp; Prevention: A Publication of the American Association for Cancer Research, Cosponsored by the American Society of Preventive Oncology","page":"2525-2533","volume":"19","issue":"10","source":"PubMed","abstract":"BACKGROUND: There is increasing evidence suggesting that female hormones may play a significant role in lung cancer development. We evaluated the associations between reproductive factors, exogenous hormone use, and lung cancer incidence in the Nurses' Health Study.\nMETHODS: We assessed age at menopause, age at menarche, type of menopause, parity, age at first birth, postmenopausal hormone (PMH) use, and past oral contraceptive use in 107,171 postmenopausal women. Cox models were used to estimate the hazard ratios for each exposure, adjusting for smoking and other covariates.\nRESULTS: We identified 1,729 lung cancer cases during follow-up from 1984 to 2006. Menopause onset before 44 years of age (hazard ratio, 1.39; 95% confidence interval, 1.14-1.70) and past oral contraceptive use for &gt;5 years (hazard ratio, 1.22; 95% confidence interval, 1.05-1.42) were associated with increased lung cancer risk. These associations were strongest in current smokers and small cell histology. In never smokers, increased parity was associated with decreased risk among parous women (P trend = 0.03), whereas in current smokers, older age at first birth was associated with increased risk (P trend = 0.02). PMH use was not associated with overall lung cancer incidence. However, nonsignificant results of increased risk in adenocarcinoma were seen with current PMH use.\nCONCLUSIONS: Our findings suggest female hormones may influence lung carcinogenesis, although the effect is likely modest, varied by histologic subtype, and altered by smoking.\nIMPACT: Further investigation of the pathophysiology of female hormones in lung cancer subtypes and their interaction with smoking will lead to better understanding of lung carcinogenesis.","DOI":"10.1158/1055-9965.EPI-10-0450","ISSN":"1538-7755","note":"00026 \nPMID: 20739629\nPMCID: PMC2952036","journalAbbreviation":"Cancer Epidemiol. Biomarkers Prev.","language":"eng","author":[{"family":"Baik","given":"Christina S."},{"family":"Strauss","given":"Gary M."},{"family":"Speizer","given":"Frank E."},{"family":"Feskanich","given":"Diane"}],"issued":{"date-parts":[["2010",10]]},"PMID":"20739629","PMCID":"PMC2952036"}}],"schema":"https://github.com/citation-style-language/schema/raw/master/csl-citation.json"} </w:instrText>
      </w:r>
      <w:r w:rsidR="004D62D3" w:rsidRPr="006325C2">
        <w:fldChar w:fldCharType="separate"/>
      </w:r>
      <w:r w:rsidR="00AB395C" w:rsidRPr="00AB395C">
        <w:rPr>
          <w:vertAlign w:val="superscript"/>
        </w:rPr>
        <w:t>27</w:t>
      </w:r>
      <w:r w:rsidR="004D62D3" w:rsidRPr="006325C2">
        <w:fldChar w:fldCharType="end"/>
      </w:r>
      <w:r w:rsidR="00B23002" w:rsidRPr="006325C2">
        <w:t xml:space="preserve"> </w:t>
      </w:r>
      <w:r w:rsidR="00833047" w:rsidRPr="006325C2">
        <w:t xml:space="preserve">the </w:t>
      </w:r>
      <w:r w:rsidR="00B23002" w:rsidRPr="006325C2">
        <w:t>Iowa Women's Health Study (IWHS),</w:t>
      </w:r>
      <w:r w:rsidR="00EF2B39" w:rsidRPr="006325C2">
        <w:fldChar w:fldCharType="begin"/>
      </w:r>
      <w:r w:rsidR="007D6428" w:rsidRPr="006325C2">
        <w:instrText xml:space="preserve"> ADDIN ZOTERO_ITEM CSL_CITATION {"citationID":"sVXpWXCR","properties":{"formattedCitation":"{\\rtf \\super 28\\nosupersub{}}","plainCitation":"28"},"citationItems":[{"id":819,"uris":["http://zotero.org/users/2024628/items/EG4XQZ63"],"uri":["http://zotero.org/users/2024628/items/EG4XQZ63"],"itemData":{"id":819,"type":"article-journal","title":"The association of physical activity with lung cancer incidence in a cohort of older women: the Iowa Women's Health Study","container-title":"Cancer Epidemiology, Biomarkers &amp; Prevention: A Publication of the American Association for Cancer Research, Cosponsored by the American Society of Preventive Oncology","page":"2359-2363","volume":"15","issue":"12","source":"PubMed","abstract":"BACKGROUND: We examined the potential association between physical activity and lung cancer in women.\nMETHODS: In 1986, 36,929 women from Iowa, who were free of prior cancer, completed a questionnaire regarding physical activity, smoking, body mass index, and other life-style factors. Women were followed through 2002 for cancer incidence.\nRESULTS: After adjusting for potential confounders, women with high physical activity levels were less likely [hazard ratio, 0.77; 95% confidence intervals (CI), 0.64-0.94] to develop lung cancer than women with low activity levels. This hazard ratio was 0.72 (95% CI, 0.55-0.94) in current smokers and 0.63 (95% CI, 0.43-0.92) in former smokers, but was not significant in never smokers.\nCONCLUSION: These results suggest that physical activity might reduce the risk of lung cancer in women who are current or former smokers.","DOI":"10.1158/1055-9965.EPI-06-0251","ISSN":"1055-9965","note":"00040 \nPMID: 17164357","shortTitle":"The association of physical activity with lung cancer incidence in a cohort of older women","journalAbbreviation":"Cancer Epidemiol. Biomarkers Prev.","language":"eng","author":[{"family":"Sinner","given":"Penny"},{"family":"Folsom","given":"Aaron R."},{"family":"Harnack","given":"Lisa"},{"family":"Eberly","given":"Lynn E."},{"family":"Schmitz","given":"Kathryn H."}],"issued":{"date-parts":[["2006",12]]},"PMID":"17164357"}}],"schema":"https://github.com/citation-style-language/schema/raw/master/csl-citation.json"} </w:instrText>
      </w:r>
      <w:r w:rsidR="00EF2B39" w:rsidRPr="006325C2">
        <w:fldChar w:fldCharType="separate"/>
      </w:r>
      <w:r w:rsidR="00AB395C" w:rsidRPr="00AB395C">
        <w:rPr>
          <w:vertAlign w:val="superscript"/>
        </w:rPr>
        <w:t>28</w:t>
      </w:r>
      <w:r w:rsidR="00EF2B39" w:rsidRPr="006325C2">
        <w:fldChar w:fldCharType="end"/>
      </w:r>
      <w:r w:rsidR="00B23002" w:rsidRPr="006325C2">
        <w:t xml:space="preserve"> </w:t>
      </w:r>
      <w:r w:rsidR="00833047" w:rsidRPr="006325C2">
        <w:t xml:space="preserve">the </w:t>
      </w:r>
      <w:r w:rsidR="00B23002" w:rsidRPr="006325C2">
        <w:t>Prostate, Lung, Colorectal and Ovarian Cancer Screening Trial (PLCO),</w:t>
      </w:r>
      <w:r w:rsidR="004D62D3" w:rsidRPr="006325C2">
        <w:fldChar w:fldCharType="begin"/>
      </w:r>
      <w:r w:rsidR="007D6428" w:rsidRPr="006325C2">
        <w:instrText xml:space="preserve"> ADDIN ZOTERO_ITEM CSL_CITATION {"citationID":"zPD5gOFh","properties":{"formattedCitation":"{\\rtf \\super 29\\nosupersub{}}","plainCitation":"29"},"citationItems":[{"id":825,"uris":["http://zotero.org/users/2024628/items/JQKTAARQ"],"uri":["http://zotero.org/users/2024628/items/JQKTAARQ"],"itemData":{"id":825,"type":"article-journal","title":"The prostate, lung, colorectal, and ovarian cancer screening trial and its associated research resource","container-title":"Journal of the National Cancer Institute","page":"1684-1693","volume":"105","issue":"22","source":"PubMed","abstract":"The Prostate, Lung, Colorectal, and Ovarian (PLCO) Cancer Screening Trial is a large-scale research effort conducted by the National Cancer Institute. PLCO offers an example of coordinated research by both the extramural and intramural communities of the National Institutes of Health. The purpose of this article is to describe the PLCO research resource and how it is managed and to assess the productivity and the costs associated with this resource. Such an in-depth analysis of a single large-scale project can shed light on questions such as how large-scale projects should be managed, what metrics should be used to assess productivity, and how costs can be compared with productivity metrics. A comprehensive publication analysis identified 335 primary research publications resulting from research using PLCO data and biospecimens from 2000 to 2012. By the end of 2012, a total of 9679 citations (excluding self-citations) have resulted from this body of research publications, with an average of 29.7 citations per article, and an h index of 45, which is comparable with other large-scale studies, such as the Nurses' Health Study. In terms of impact on public health, PLCO trial results have been used by the US Preventive Services Task Force in making recommendations concerning prostate and ovarian cancer screening. The overall cost of PLCO was $454 million over 20 years, adjusted to 2011 dollars, with approximately $37 million for the collection, processing, and storage of biospecimens, including blood samples, buccal cells, and pathology tissues.","DOI":"10.1093/jnci/djt281","ISSN":"1460-2105","note":"00010 \nPMID: 24115361\nPMCID: PMC3888207","journalAbbreviation":"J. Natl. Cancer Inst.","language":"eng","author":[{"family":"Zhu","given":"Claire S."},{"family":"Pinsky","given":"Paul F."},{"family":"Kramer","given":"Barnett S."},{"family":"Prorok","given":"Philip C."},{"family":"Purdue","given":"Mark P."},{"family":"Berg","given":"Christine D."},{"family":"Gohagan","given":"John K."}],"issued":{"date-parts":[["2013",11,20]]},"PMID":"24115361","PMCID":"PMC3888207"}}],"schema":"https://github.com/citation-style-language/schema/raw/master/csl-citation.json"} </w:instrText>
      </w:r>
      <w:r w:rsidR="004D62D3" w:rsidRPr="006325C2">
        <w:fldChar w:fldCharType="separate"/>
      </w:r>
      <w:r w:rsidR="00AB395C" w:rsidRPr="00AB395C">
        <w:rPr>
          <w:vertAlign w:val="superscript"/>
        </w:rPr>
        <w:t>29</w:t>
      </w:r>
      <w:r w:rsidR="004D62D3" w:rsidRPr="006325C2">
        <w:fldChar w:fldCharType="end"/>
      </w:r>
      <w:r w:rsidR="00B23002" w:rsidRPr="006325C2">
        <w:t xml:space="preserve"> </w:t>
      </w:r>
      <w:r w:rsidR="00833047" w:rsidRPr="006325C2">
        <w:t xml:space="preserve">the </w:t>
      </w:r>
      <w:r w:rsidR="00B23002" w:rsidRPr="006325C2">
        <w:t>Southern Community Cohort Study (SCCS),</w:t>
      </w:r>
      <w:r w:rsidR="004D62D3" w:rsidRPr="006325C2">
        <w:fldChar w:fldCharType="begin"/>
      </w:r>
      <w:r w:rsidR="007D6428" w:rsidRPr="006325C2">
        <w:instrText xml:space="preserve"> ADDIN ZOTERO_ITEM CSL_CITATION {"citationID":"CcSq9pdO","properties":{"formattedCitation":"{\\rtf \\super 30\\nosupersub{}}","plainCitation":"30"},"citationItems":[{"id":132,"uris":["http://zotero.org/users/2024628/items/QUC7C5PU"],"uri":["http://zotero.org/users/2024628/items/QUC7C5PU"],"itemData":{"id":132,"type":"article-journal","title":"The Southern Community Cohort Study: Investigating Health Disparities","container-title":"Journal of Health Care for the Poor and Underserved","page":"26-37","volume":"21","issue":"1A","source":"Project MUSE","abstract":"Summary: Over 73,700 adults age 40–79, nearly 70% African American, were recruited at community health centers across 12 southeastern states; individual characteristics were recorded and biologic specimens collected at baseline for later follow-up. The Southern Community Cohort Study is a unique national resource for assessing determinants of racial/ethnic differentials in diseases.","DOI":"10.1353/hpu.0.0245","ISSN":"1548-6869","note":"&lt;p&gt;Volume 21, Number 1, February 2010 Supplement&lt;/p&gt;","shortTitle":"The Southern Community Cohort Study","author":[{"family":"Signorello","given":"Lisa B."},{"family":"Hargreaves","given":"Margaret K."},{"family":"Blot","given":"William J."}],"issued":{"date-parts":[["2010"]]}}}],"schema":"https://github.com/citation-style-language/schema/raw/master/csl-citation.json"} </w:instrText>
      </w:r>
      <w:r w:rsidR="004D62D3" w:rsidRPr="006325C2">
        <w:fldChar w:fldCharType="separate"/>
      </w:r>
      <w:r w:rsidR="00AB395C" w:rsidRPr="00AB395C">
        <w:rPr>
          <w:vertAlign w:val="superscript"/>
        </w:rPr>
        <w:t>30</w:t>
      </w:r>
      <w:r w:rsidR="004D62D3" w:rsidRPr="006325C2">
        <w:fldChar w:fldCharType="end"/>
      </w:r>
      <w:r w:rsidR="00B23002" w:rsidRPr="006325C2">
        <w:t xml:space="preserve"> </w:t>
      </w:r>
      <w:r w:rsidR="00833047" w:rsidRPr="006325C2">
        <w:t xml:space="preserve">the </w:t>
      </w:r>
      <w:r w:rsidR="00B23002" w:rsidRPr="006325C2">
        <w:t>Vitamins and Lifestyle Cohort Study (VITAL),</w:t>
      </w:r>
      <w:r w:rsidR="004D62D3" w:rsidRPr="006325C2">
        <w:fldChar w:fldCharType="begin"/>
      </w:r>
      <w:r w:rsidR="007D6428" w:rsidRPr="006325C2">
        <w:instrText xml:space="preserve"> ADDIN ZOTERO_ITEM CSL_CITATION {"citationID":"h1xaHbH2","properties":{"formattedCitation":"{\\rtf \\super 31\\nosupersub{}}","plainCitation":"31"},"citationItems":[{"id":829,"uris":["http://zotero.org/users/2024628/items/Z5HJVQVK"],"uri":["http://zotero.org/users/2024628/items/Z5HJVQVK"],"itemData":{"id":829,"type":"article-journal","title":"VITamins And Lifestyle cohort study: study design and characteristics of supplement users","container-title":"American Journal of Epidemiology","page":"83-93","volume":"159","issue":"1","source":"PubMed","abstract":"Vitamin and mineral supplements are among the most commonly used drugs in the United States, despite limited evidence on their benefits or risks. This paper describes the design, implementation, and participant characteristics of the VITamins And Lifestyle (VITAL) Study, a cohort study of the associations of supplement use with cancer risk. A total of 77,738 men and women in western Washington State, aged 50-76 years, entered the study in 2000-2002 by completing a detailed questionnaire on supplement use, diet, and other cancer risk factors, and 70% provided DNA through self-collected buccal cell specimens. Supplement users were targeted in recruitment: 66% used multivitamins, 46% used individual vitamin C, 47% used individual vitamin E, and 46% used calcium, typically for 5-8 of the past 10 years. Analyses to identify confounding factors, the main study limitation, showed that regular nonsteroidal anti-inflammatory drug use, intake of fruits and vegetables, and recreational physical activity were strongly associated with supplement use (p &lt; 0.001). The authors describe a follow-up system in which cancers, deaths, and changes of residence are tracked efficiently, primarily through linkage to public databases. These methods may be useful to other researchers implementing a large cohort study or designing a passive follow-up system.","ISSN":"0002-9262","note":"00175 \nPMID: 14693663","shortTitle":"VITamins And Lifestyle cohort study","journalAbbreviation":"Am. J. Epidemiol.","language":"eng","author":[{"family":"White","given":"Emily"},{"family":"Patterson","given":"Ruth E."},{"family":"Kristal","given":"Alan R."},{"family":"Thornquist","given":"Mark"},{"family":"King","given":"Irena"},{"family":"Shattuck","given":"Ann L."},{"family":"Evans","given":"Ilonka"},{"family":"Satia-Abouta","given":"Jessie"},{"family":"Littman","given":"Alyson J."},{"family":"Potter","given":"John D."}],"issued":{"date-parts":[["2004",1,1]]},"PMID":"14693663"}}],"schema":"https://github.com/citation-style-language/schema/raw/master/csl-citation.json"} </w:instrText>
      </w:r>
      <w:r w:rsidR="004D62D3" w:rsidRPr="006325C2">
        <w:fldChar w:fldCharType="separate"/>
      </w:r>
      <w:r w:rsidR="00AB395C" w:rsidRPr="00AB395C">
        <w:rPr>
          <w:vertAlign w:val="superscript"/>
        </w:rPr>
        <w:t>31</w:t>
      </w:r>
      <w:r w:rsidR="004D62D3" w:rsidRPr="006325C2">
        <w:fldChar w:fldCharType="end"/>
      </w:r>
      <w:r w:rsidR="00B23002" w:rsidRPr="006325C2">
        <w:t xml:space="preserve"> and </w:t>
      </w:r>
      <w:r w:rsidR="00833047" w:rsidRPr="006325C2">
        <w:t xml:space="preserve">the </w:t>
      </w:r>
      <w:r w:rsidR="00B23002" w:rsidRPr="006325C2">
        <w:t>Women’s Health Initia</w:t>
      </w:r>
      <w:r w:rsidR="004A7778" w:rsidRPr="006325C2">
        <w:t>tive Observational Study (WHI</w:t>
      </w:r>
      <w:r w:rsidR="00B23002" w:rsidRPr="006325C2">
        <w:t>);</w:t>
      </w:r>
      <w:r w:rsidR="000C1920" w:rsidRPr="006325C2">
        <w:fldChar w:fldCharType="begin"/>
      </w:r>
      <w:r w:rsidR="007D6428" w:rsidRPr="006325C2">
        <w:instrText xml:space="preserve"> ADDIN ZOTERO_ITEM CSL_CITATION {"citationID":"Fv0yFCst","properties":{"formattedCitation":"{\\rtf \\super 32\\nosupersub{}}","plainCitation":"32"},"citationItems":[{"id":831,"uris":["http://zotero.org/users/2024628/items/3TUW9ER6"],"uri":["http://zotero.org/users/2024628/items/3TUW9ER6"],"itemData":{"id":831,"type":"article-journal","title":"The women's health initiative observational study: baseline characteristics of participants and reliability of baseline measures","container-title":"Annals of Epidemiology","page":"S107-S121","volume":"13","issue":"9, Supplement","source":"ScienceDirect","DOI":"10.1016/S1047-2797(03)00047-4","ISSN":"1047-2797","note":"00327","shortTitle":"The women's health initiative observational study","journalAbbreviation":"Annals of Epidemiology","author":[{"family":"Langer","given":"Robert D"},{"family":"White","given":"Emily"},{"family":"Lewis","given":"Cora E"},{"family":"Kotchen","given":"Jane M"},{"family":"Hendrix","given":"Susan L"},{"family":"Trevisan","given":"Maurizio"}],"issued":{"date-parts":[["2003",10]]}}}],"schema":"https://github.com/citation-style-language/schema/raw/master/csl-citation.json"} </w:instrText>
      </w:r>
      <w:r w:rsidR="000C1920" w:rsidRPr="006325C2">
        <w:fldChar w:fldCharType="separate"/>
      </w:r>
      <w:r w:rsidR="00AB395C" w:rsidRPr="00AB395C">
        <w:rPr>
          <w:vertAlign w:val="superscript"/>
        </w:rPr>
        <w:t>32</w:t>
      </w:r>
      <w:r w:rsidR="000C1920" w:rsidRPr="006325C2">
        <w:fldChar w:fldCharType="end"/>
      </w:r>
      <w:r w:rsidR="00B23002" w:rsidRPr="006325C2">
        <w:t xml:space="preserve"> </w:t>
      </w:r>
      <w:r w:rsidR="00023AA8" w:rsidRPr="006325C2">
        <w:t xml:space="preserve">one </w:t>
      </w:r>
      <w:r w:rsidR="00B23002" w:rsidRPr="006325C2">
        <w:t>Europ</w:t>
      </w:r>
      <w:r w:rsidR="00023AA8" w:rsidRPr="006325C2">
        <w:t>ean cohort</w:t>
      </w:r>
      <w:r w:rsidR="00B23002" w:rsidRPr="006325C2">
        <w:t xml:space="preserve">: </w:t>
      </w:r>
      <w:r w:rsidR="00833047" w:rsidRPr="006325C2">
        <w:t xml:space="preserve">the </w:t>
      </w:r>
      <w:r w:rsidR="00B23002" w:rsidRPr="006325C2">
        <w:t>European Prospective Investigation into Cancer and Nutrition Cohort (EPIC);</w:t>
      </w:r>
      <w:r w:rsidR="000C1920" w:rsidRPr="006325C2">
        <w:fldChar w:fldCharType="begin"/>
      </w:r>
      <w:r w:rsidR="007D6428" w:rsidRPr="006325C2">
        <w:instrText xml:space="preserve"> ADDIN ZOTERO_ITEM CSL_CITATION {"citationID":"z8ZTyUNf","properties":{"formattedCitation":"{\\rtf \\super 33\\nosupersub{}}","plainCitation":"33"},"citationItems":[{"id":833,"uris":["http://zotero.org/users/2024628/items/X8K6VAAI"],"uri":["http://zotero.org/users/2024628/items/X8K6VAAI"],"itemData":{"id":833,"type":"article-journal","title":"European Prospective Investigation into Cancer and Nutrition (EPIC): study populations and data collection","container-title":"Public Health Nutrition","page":"1113-1124","volume":"5","issue":"6B","source":"PubMed","abstract":"The European Prospective Investigation into Cancer and Nutrition (EPIC) is an ongoing multi-centre prospective cohort study designed to investigate the relationship between nutrition and cancer, with the potential for studying other diseases as well. The study currently includes 519 978 participants (366 521 women and 153 457 men, mostly aged 35-70 years) in 23 centres located in 10 European countries, to be followed for cancer incidence and cause-specific mortality for several decades. At enrollment, which took place between 1992 and 2000 at each of the different centres, information was collected through a non-dietary questionnaire on lifestyle variables and through a dietary questionnaire addressing usual diet. Anthropometric measurements were performed and blood samples taken, from which plasma, serum, red cells and buffy coat fractions were separated and aliquoted for long-term storage, mostly in liquid nitrogen. To calibrate dietary measurements, a standardised, computer-assisted 24-hour dietary recall was implemented at each centre on stratified random samples of the participants, for a total of 36 900 subjects. EPIC represents the largest single resource available today world-wide for prospective investigations on the aetiology of cancers (and other diseases) that can integrate questionnaire data on lifestyle and diet, biomarkers of diet and of endogenous metabolism (e.g. hormones and growth factors) and genetic polymorphisms. First results of case-control studies nested within the cohort are expected early in 2003. The present paper provides a description of the EPIC study, with the aim of simplifying reference to it in future papers reporting substantive or methodological studies carried out in the EPIC cohort.","DOI":"10.1079/PHN2002394","ISSN":"1368-9800","note":"00992 \nPMID: 12639222","shortTitle":"European Prospective Investigation into Cancer and Nutrition (EPIC)","journalAbbreviation":"Public Health Nutr","language":"eng","author":[{"family":"Riboli","given":"E."},{"family":"Hunt","given":"K. J."},{"family":"Slimani","given":"N."},{"family":"Ferrari","given":"P."},{"family":"Norat","given":"T."},{"family":"Fahey","given":"M."},{"family":"Charrondière","given":"U. R."},{"family":"Hémon","given":"B."},{"family":"Casagrande","given":"C."},{"family":"Vignat","given":"J."},{"family":"Overvad","given":"K."},{"family":"Tjønneland","given":"A."},{"family":"Clavel-Chapelon","given":"F."},{"family":"Thiébaut","given":"A."},{"family":"Wahrendorf","given":"J."},{"family":"Boeing","given":"H."},{"family":"Trichopoulos","given":"D."},{"family":"Trichopoulou","given":"A."},{"family":"Vineis","given":"P."},{"family":"Palli","given":"D."},{"family":"Bueno-De-Mesquita","given":"H. B."},{"family":"Peeters","given":"P. H. M."},{"family":"Lund","given":"E."},{"family":"Engeset","given":"D."},{"family":"González","given":"C. A."},{"family":"Barricarte","given":"A."},{"family":"Berglund","given":"G."},{"family":"Hallmans","given":"G."},{"family":"Day","given":"N. E."},{"family":"Key","given":"T. J."},{"family":"Kaaks","given":"R."},{"family":"Saracci","given":"R."}],"issued":{"date-parts":[["2002",12]]},"PMID":"12639222"}}],"schema":"https://github.com/citation-style-language/schema/raw/master/csl-citation.json"} </w:instrText>
      </w:r>
      <w:r w:rsidR="000C1920" w:rsidRPr="006325C2">
        <w:fldChar w:fldCharType="separate"/>
      </w:r>
      <w:r w:rsidR="00AB395C" w:rsidRPr="00AB395C">
        <w:rPr>
          <w:vertAlign w:val="superscript"/>
        </w:rPr>
        <w:t>33</w:t>
      </w:r>
      <w:r w:rsidR="000C1920" w:rsidRPr="006325C2">
        <w:fldChar w:fldCharType="end"/>
      </w:r>
      <w:r w:rsidR="00B23002" w:rsidRPr="006325C2">
        <w:t xml:space="preserve"> and </w:t>
      </w:r>
      <w:r w:rsidR="000B69A4" w:rsidRPr="006325C2">
        <w:t>three</w:t>
      </w:r>
      <w:r w:rsidR="00023AA8" w:rsidRPr="006325C2">
        <w:t xml:space="preserve"> </w:t>
      </w:r>
      <w:r w:rsidR="00B23002" w:rsidRPr="006325C2">
        <w:t>Asia</w:t>
      </w:r>
      <w:r w:rsidR="00023AA8" w:rsidRPr="006325C2">
        <w:t>n cohorts</w:t>
      </w:r>
      <w:r w:rsidR="00B23002" w:rsidRPr="006325C2">
        <w:t xml:space="preserve">: </w:t>
      </w:r>
      <w:r w:rsidR="00833047" w:rsidRPr="006325C2">
        <w:t xml:space="preserve">the </w:t>
      </w:r>
      <w:r w:rsidR="00B23002" w:rsidRPr="006325C2">
        <w:t>Japan Public Health Center-based Prospective Study</w:t>
      </w:r>
      <w:r w:rsidR="000F4AA4" w:rsidRPr="006325C2">
        <w:t xml:space="preserve"> </w:t>
      </w:r>
      <w:r w:rsidR="001122E2" w:rsidRPr="006325C2">
        <w:t>cohort I and II</w:t>
      </w:r>
      <w:r w:rsidR="00D41AD5" w:rsidRPr="006325C2">
        <w:t xml:space="preserve"> </w:t>
      </w:r>
      <w:r w:rsidR="00B23002" w:rsidRPr="006325C2">
        <w:t>(JPHC),</w:t>
      </w:r>
      <w:r w:rsidR="00DB50DA" w:rsidRPr="006325C2">
        <w:fldChar w:fldCharType="begin"/>
      </w:r>
      <w:r w:rsidR="00DB50DA" w:rsidRPr="006325C2">
        <w:instrText xml:space="preserve"> ADDIN ZOTERO_ITEM CSL_CITATION {"citationID":"jRzxRDgo","properties":{"formattedCitation":"{\\rtf \\super 34\\nosupersub{}}","plainCitation":"34"},"citationItems":[{"id":960,"uris":["http://zotero.org/users/2024628/items/KR97K45B"],"uri":["http://zotero.org/users/2024628/items/KR97K45B"],"itemData":{"id":960,"type":"article-journal","title":"The JPHC study: design and some findings on the typical Japanese diet","container-title":"Japanese Journal of Clinical Oncology","page":"777-782","volume":"44","issue":"9","source":"PubMed","abstract":"The Japan Public Health Center-based prospective Study conducted a baseline survey for 140 000 registered residents aged 40-69 years within 11 public health center areas nationwide in 1990-94. Five- and 10-year follow-up surveys were conducted to update information on lifestyle habits and health conditions. In total, 130 000 participants responded to at least one of the three questionnaire surveys, and 78 000 to all three. In addition, 60 000 participants provided blood samples on at least one of the two sampling times, and 23 000 on both. The subjects have been followed for vital status and the occurrence of cancer and other diseases. As of December 2011, 24 000 deaths have been documented, as well as 17 000 cases of cancer, 6000 cases of stroke and 1100 cases of myocardial infarction. We have tested the association between potential causal factors and the incidence of or mortality from cancer and other diseases, and published &gt;250 papers to date. Typical dietary habits in Japan are high consumption of soy/isoflavones, fish/n-3 fatty acids, salt/salted foods and green tea, and low consumption of red meat and saturated fat. This paper briefly summarizes the observed associations of these foods/nutrients with cancer, cardiovascular diseases and diabetes. The Japan Public Health Center-based prospective Study is scheduled to conduct active follow-up for a total of 30 years, and we plan to publish additional evidence on the potential causes of a shorter life and major disease occurrence.","DOI":"10.1093/jjco/hyu096","ISSN":"1465-3621","note":"00019 \nPMID: 25104790","shortTitle":"The JPHC study","journalAbbreviation":"Jpn. J. Clin. Oncol.","language":"eng","author":[{"family":"Tsugane","given":"Shoichiro"},{"family":"Sawada","given":"Norie"}],"issued":{"date-parts":[["2014",9]]},"PMID":"25104790"}}],"schema":"https://github.com/citation-style-language/schema/raw/master/csl-citation.json"} </w:instrText>
      </w:r>
      <w:r w:rsidR="00DB50DA" w:rsidRPr="006325C2">
        <w:fldChar w:fldCharType="separate"/>
      </w:r>
      <w:r w:rsidR="00AB395C" w:rsidRPr="00AB395C">
        <w:rPr>
          <w:vertAlign w:val="superscript"/>
        </w:rPr>
        <w:t>34</w:t>
      </w:r>
      <w:r w:rsidR="00DB50DA" w:rsidRPr="006325C2">
        <w:fldChar w:fldCharType="end"/>
      </w:r>
      <w:r w:rsidR="00B23002" w:rsidRPr="006325C2">
        <w:t xml:space="preserve"> </w:t>
      </w:r>
      <w:r w:rsidR="00833047" w:rsidRPr="006325C2">
        <w:t xml:space="preserve">the </w:t>
      </w:r>
      <w:r w:rsidR="00B23002" w:rsidRPr="006325C2">
        <w:t>Shanghai Men’s Health Study (SMHS),</w:t>
      </w:r>
      <w:r w:rsidR="000C1920" w:rsidRPr="006325C2">
        <w:fldChar w:fldCharType="begin"/>
      </w:r>
      <w:r w:rsidR="007D6428" w:rsidRPr="006325C2">
        <w:instrText xml:space="preserve"> ADDIN ZOTERO_ITEM CSL_CITATION {"citationID":"T8uSzYEd","properties":{"formattedCitation":"{\\rtf \\super 35\\nosupersub{}}","plainCitation":"35"},"citationItems":[{"id":461,"uris":["http://zotero.org/users/2024628/items/RATFC622"],"uri":["http://zotero.org/users/2024628/items/RATFC622"],"itemData":{"id":461,"type":"article-journal","title":"Cohort Profile: The Shanghai Men’s Health Study","container-title":"International Journal of Epidemiology","page":"dyv013","source":"ije.oxfordjournals.org","abstract":"The Shanghai Men’s Health Study (SMHS) is a population-based cohort study of 61 480 men aged 40–74 years, launched in 2002 in urban Shanghai to investigate the contribution of lifestyle/environmental factors and genetic susceptibility to cancer and other non-communicable diseases (NCDs). At baseline, trained interviewers collected detailed information on personal and dietary habits, occupational/medical history and physical activity, and took anthropometric measurements (response rate: 74%). Blood, urine and DNA were collected from 75%, 89% and 89% of participants, respectively. The cohort has been followed up through a combination of in-person surveys every 3–4 years and annual record linkage with cancer and vital statistics registries. Response rates for in-person follow-up surveys were over 91% and coverage for mortality nearly 100%. SMHS participants have a high smoking rate (58.6%) and moderate alcohol-drinking rate (29.3%), but low obesity rate (2.6%). They have a low calorie intake from fat (16.2% of total calorie intake) and protein (16.4%), high calorie intake from carbohydrates (67.4%), and high intake of soy food, cruciferous vegetables and fish (156.5, 110.6 and 51.7 g/day, respectively). With its unique exposure pattern and wealth of data and biological samples, the SMHS is well positioned for long-term research into NCD aetiology and prognosis. Information about accessing the SMHS resources can be found at: http://www.mc.vanderbilt.edu/swhs-smhs/.","DOI":"10.1093/ije/dyv013","ISSN":"0300-5771, 1464-3685","note":"PMID: 25733578","shortTitle":"Cohort Profile","journalAbbreviation":"Int. J. Epidemiol.","language":"en","author":[{"family":"Shu","given":"Xiao-Ou"},{"family":"Li","given":"Honglan"},{"family":"Yang","given":"Gong"},{"family":"Gao","given":"Jing"},{"family":"Cai","given":"Hui"},{"family":"Takata","given":"Yumie"},{"family":"Zheng","given":"Wei"},{"family":"Xiang","given":"Yong-Bing"}],"issued":{"date-parts":[["2015",3,2]]},"PMID":"25733578"}}],"schema":"https://github.com/citation-style-language/schema/raw/master/csl-citation.json"} </w:instrText>
      </w:r>
      <w:r w:rsidR="000C1920" w:rsidRPr="006325C2">
        <w:fldChar w:fldCharType="separate"/>
      </w:r>
      <w:r w:rsidR="00AB395C" w:rsidRPr="00AB395C">
        <w:rPr>
          <w:vertAlign w:val="superscript"/>
        </w:rPr>
        <w:t>35</w:t>
      </w:r>
      <w:r w:rsidR="000C1920" w:rsidRPr="006325C2">
        <w:fldChar w:fldCharType="end"/>
      </w:r>
      <w:r w:rsidR="00B23002" w:rsidRPr="006325C2">
        <w:t xml:space="preserve"> and </w:t>
      </w:r>
      <w:r w:rsidR="00833047" w:rsidRPr="006325C2">
        <w:t xml:space="preserve">the </w:t>
      </w:r>
      <w:r w:rsidR="00B23002" w:rsidRPr="006325C2">
        <w:t>Shanghai Women’s Health Study (SWHS).</w:t>
      </w:r>
      <w:r w:rsidR="000C1920" w:rsidRPr="006325C2">
        <w:fldChar w:fldCharType="begin"/>
      </w:r>
      <w:r w:rsidR="007D6428" w:rsidRPr="006325C2">
        <w:instrText xml:space="preserve"> ADDIN ZOTERO_ITEM CSL_CITATION {"citationID":"yTkIqWZM","properties":{"formattedCitation":"{\\rtf \\super 36\\nosupersub{}}","plainCitation":"36"},"citationItems":[{"id":7,"uris":["http://zotero.org/users/2024628/items/VSQRNTIK"],"uri":["http://zotero.org/users/2024628/items/VSQRNTIK"],"itemData":{"id":7,"type":"article-journal","title":"The Shanghai Women's Health Study: rationale, study design, and baseline characteristics","container-title":"American Journal of Epidemiology","page":"1123-1131","volume":"162","issue":"11","source":"NCBI PubMed","abstract":"Although cancer is a major cause of morbidity and mortality in most nations, the spectrum of cancer occurrence varies substantially worldwide. Most previous epidemiologic studies investigating cancer etiology were conducted in North American and western European countries that are relatively homogenous in terms of cancer spectrums and many lifestyle exposures. These limitations may have hindered these studies from evaluating some important etiologic hypotheses. From 1996 to 2000, the Shanghai Women's Health Study recruited 74,942 adult Chinese women from selected urban communities, with a 92% response rate. All participants completed a detailed baseline survey and anthropometrics. Approximately 88% of cohort members donated a urine sample (n = 65,755) and a blood (n = 56,832) or exfoliated buccal cell (n = 8,934) sample. Noteworthy characteristics of this cohort include low consumption of alcohol (1.9%) and use of tobacco (2.4%); high intake of fish (mean, 50.8 g/day), soy foods (mean, 142.3 g/day), and certain vegetables; low prevalence of obesity (5.1%); and nearly 100% employment outside the home. Currently, this cohort of women is being followed via biennial in-person recontact and periodic linkage to cancer and vital statistics registries. The resources from the cohort will be valuable in future studies of environmental exposures and biomarkers for the risk of cancer and other chronic diseases.","DOI":"10.1093/aje/kwi322","ISSN":"0002-9262","note":"PMID: 16236996","shortTitle":"The Shanghai Women's Health Study","journalAbbreviation":"Am. J. Epidemiol.","language":"eng","author":[{"family":"Zheng","given":"Wei"},{"family":"Chow","given":"Wong-Ho"},{"family":"Yang","given":"Gong"},{"family":"Jin","given":"Fan"},{"family":"Rothman","given":"Nathaniel"},{"family":"Blair","given":"Aaron"},{"family":"Li","given":"Hong-Lan"},{"family":"Wen","given":"Wanqing"},{"family":"Ji","given":"Bu-Tian"},{"family":"Li","given":"Qi"},{"family":"Shu","given":"Xiao-Ou"},{"family":"Gao","given":"Yu-Tang"}],"issued":{"date-parts":[["2005",12,1]]},"PMID":"16236996"}}],"schema":"https://github.com/citation-style-language/schema/raw/master/csl-citation.json"} </w:instrText>
      </w:r>
      <w:r w:rsidR="000C1920" w:rsidRPr="006325C2">
        <w:fldChar w:fldCharType="separate"/>
      </w:r>
      <w:r w:rsidR="00AB395C" w:rsidRPr="00AB395C">
        <w:rPr>
          <w:vertAlign w:val="superscript"/>
        </w:rPr>
        <w:t>36</w:t>
      </w:r>
      <w:r w:rsidR="000C1920" w:rsidRPr="006325C2">
        <w:fldChar w:fldCharType="end"/>
      </w:r>
      <w:r w:rsidR="000F4AA4" w:rsidRPr="006325C2">
        <w:t xml:space="preserve"> Each study was approved by the Institutional Review Board at </w:t>
      </w:r>
      <w:r w:rsidR="00833047" w:rsidRPr="006325C2">
        <w:t>local</w:t>
      </w:r>
      <w:r w:rsidR="00D41AD5" w:rsidRPr="006325C2">
        <w:t xml:space="preserve"> institutions; and </w:t>
      </w:r>
      <w:r w:rsidR="001B49BA" w:rsidRPr="006325C2">
        <w:t xml:space="preserve">the pooling project was approved by </w:t>
      </w:r>
      <w:r w:rsidR="00BC25C1" w:rsidRPr="006325C2">
        <w:t xml:space="preserve">the </w:t>
      </w:r>
      <w:r w:rsidR="001B49BA" w:rsidRPr="006325C2">
        <w:t xml:space="preserve">Vanderbilt </w:t>
      </w:r>
      <w:r w:rsidR="007923C6" w:rsidRPr="006325C2">
        <w:t xml:space="preserve">University </w:t>
      </w:r>
      <w:r w:rsidR="001B49BA" w:rsidRPr="006325C2">
        <w:t>Institutional Review Board</w:t>
      </w:r>
      <w:r w:rsidR="00D41AD5" w:rsidRPr="006325C2">
        <w:t>.</w:t>
      </w:r>
    </w:p>
    <w:p w:rsidR="00A16BE7" w:rsidRPr="006325C2" w:rsidRDefault="00AB3DF8" w:rsidP="00434502">
      <w:pPr>
        <w:spacing w:before="60" w:after="0" w:line="480" w:lineRule="auto"/>
        <w:rPr>
          <w:b/>
        </w:rPr>
      </w:pPr>
      <w:r w:rsidRPr="006325C2">
        <w:rPr>
          <w:b/>
        </w:rPr>
        <w:t>Assessment</w:t>
      </w:r>
      <w:r w:rsidR="00DB377A" w:rsidRPr="006325C2">
        <w:rPr>
          <w:b/>
        </w:rPr>
        <w:t xml:space="preserve"> of Dietary and Supplemental Calcium Intake</w:t>
      </w:r>
    </w:p>
    <w:p w:rsidR="00AB3DF8" w:rsidRPr="006325C2" w:rsidRDefault="00C239BF" w:rsidP="00434502">
      <w:pPr>
        <w:spacing w:before="60" w:after="0" w:line="480" w:lineRule="auto"/>
      </w:pPr>
      <w:r w:rsidRPr="006325C2">
        <w:t xml:space="preserve">Usual </w:t>
      </w:r>
      <w:r w:rsidR="00975C63" w:rsidRPr="006325C2">
        <w:t>diet</w:t>
      </w:r>
      <w:r w:rsidR="00127EF9" w:rsidRPr="006325C2">
        <w:t>ary intakes</w:t>
      </w:r>
      <w:r w:rsidR="00975C63" w:rsidRPr="006325C2">
        <w:t xml:space="preserve"> </w:t>
      </w:r>
      <w:r w:rsidR="00DB377A" w:rsidRPr="006325C2">
        <w:t>w</w:t>
      </w:r>
      <w:r w:rsidR="00127EF9" w:rsidRPr="006325C2">
        <w:t>ere</w:t>
      </w:r>
      <w:r w:rsidR="00DB377A" w:rsidRPr="006325C2">
        <w:t xml:space="preserve"> assessed at </w:t>
      </w:r>
      <w:r w:rsidR="00A95E9B" w:rsidRPr="006325C2">
        <w:t>baseline</w:t>
      </w:r>
      <w:r w:rsidR="00DB377A" w:rsidRPr="006325C2">
        <w:t xml:space="preserve"> in each </w:t>
      </w:r>
      <w:r w:rsidR="004A7778" w:rsidRPr="006325C2">
        <w:t>cohort</w:t>
      </w:r>
      <w:r w:rsidR="00DB377A" w:rsidRPr="006325C2">
        <w:t xml:space="preserve"> using a </w:t>
      </w:r>
      <w:r w:rsidR="0084321B" w:rsidRPr="006325C2">
        <w:t xml:space="preserve">self- or interviewer-administered </w:t>
      </w:r>
      <w:r w:rsidR="00975C63" w:rsidRPr="006325C2">
        <w:t>food</w:t>
      </w:r>
      <w:r w:rsidR="00BC16C5" w:rsidRPr="006325C2">
        <w:t>-</w:t>
      </w:r>
      <w:r w:rsidR="00975C63" w:rsidRPr="006325C2">
        <w:t>frequency questionnaire</w:t>
      </w:r>
      <w:r w:rsidR="002153BF" w:rsidRPr="006325C2">
        <w:t xml:space="preserve"> </w:t>
      </w:r>
      <w:r w:rsidR="00BC16C5" w:rsidRPr="006325C2">
        <w:t>(FFQ)</w:t>
      </w:r>
      <w:r w:rsidR="002153BF" w:rsidRPr="006325C2">
        <w:t xml:space="preserve">. </w:t>
      </w:r>
      <w:r w:rsidR="001E1950" w:rsidRPr="006325C2">
        <w:t>The FFQ</w:t>
      </w:r>
      <w:r w:rsidR="00BF4429" w:rsidRPr="006325C2">
        <w:t>s</w:t>
      </w:r>
      <w:r w:rsidR="001E1950" w:rsidRPr="006325C2">
        <w:t xml:space="preserve"> usually inquired about the average consumption of </w:t>
      </w:r>
      <w:r w:rsidR="00DB4B0F" w:rsidRPr="006325C2">
        <w:t>common</w:t>
      </w:r>
      <w:r w:rsidR="001E1950" w:rsidRPr="006325C2">
        <w:t xml:space="preserve"> food items over the past 12 months and </w:t>
      </w:r>
      <w:r w:rsidR="00BF4429" w:rsidRPr="006325C2">
        <w:t>were</w:t>
      </w:r>
      <w:r w:rsidR="00975C63" w:rsidRPr="006325C2">
        <w:t xml:space="preserve"> validated</w:t>
      </w:r>
      <w:r w:rsidR="001E1950" w:rsidRPr="006325C2">
        <w:t xml:space="preserve"> against</w:t>
      </w:r>
      <w:r w:rsidR="00975C63" w:rsidRPr="006325C2">
        <w:t xml:space="preserve"> 24-hour dietary recalls, 7-day food records, or </w:t>
      </w:r>
      <w:r w:rsidR="00C47E67" w:rsidRPr="006325C2">
        <w:t xml:space="preserve">dietary </w:t>
      </w:r>
      <w:r w:rsidR="00975C63" w:rsidRPr="006325C2">
        <w:t xml:space="preserve">biomarkers. Daily food </w:t>
      </w:r>
      <w:r w:rsidR="001E1950" w:rsidRPr="006325C2">
        <w:t>intakes</w:t>
      </w:r>
      <w:r w:rsidR="00975C63" w:rsidRPr="006325C2">
        <w:t xml:space="preserve"> w</w:t>
      </w:r>
      <w:r w:rsidR="001E1950" w:rsidRPr="006325C2">
        <w:t>ere</w:t>
      </w:r>
      <w:r w:rsidR="00975C63" w:rsidRPr="006325C2">
        <w:t xml:space="preserve"> </w:t>
      </w:r>
      <w:r w:rsidR="00FA4214" w:rsidRPr="006325C2">
        <w:t xml:space="preserve">estimated </w:t>
      </w:r>
      <w:r w:rsidR="00BC16C5" w:rsidRPr="006325C2">
        <w:t xml:space="preserve">based on </w:t>
      </w:r>
      <w:r w:rsidR="00FA4214" w:rsidRPr="006325C2">
        <w:t xml:space="preserve">the </w:t>
      </w:r>
      <w:r w:rsidR="00BC16C5" w:rsidRPr="006325C2">
        <w:t>frequency and amount</w:t>
      </w:r>
      <w:r w:rsidR="00FA4214" w:rsidRPr="006325C2">
        <w:t xml:space="preserve"> of</w:t>
      </w:r>
      <w:r w:rsidR="006C4A67" w:rsidRPr="006325C2">
        <w:t xml:space="preserve"> </w:t>
      </w:r>
      <w:r w:rsidR="00FA4214" w:rsidRPr="006325C2">
        <w:t xml:space="preserve">consumption </w:t>
      </w:r>
      <w:r w:rsidR="00975C63" w:rsidRPr="006325C2">
        <w:t xml:space="preserve">and </w:t>
      </w:r>
      <w:r w:rsidR="00C47E67" w:rsidRPr="006325C2">
        <w:t xml:space="preserve">were </w:t>
      </w:r>
      <w:r w:rsidR="00E61E67" w:rsidRPr="006325C2">
        <w:t xml:space="preserve">linked to country-specific food composition tables to </w:t>
      </w:r>
      <w:r w:rsidR="00FA4214" w:rsidRPr="006325C2">
        <w:t xml:space="preserve">calculate </w:t>
      </w:r>
      <w:r w:rsidR="00975C63" w:rsidRPr="006325C2">
        <w:t xml:space="preserve">intakes of </w:t>
      </w:r>
      <w:r w:rsidR="007923C6" w:rsidRPr="006325C2">
        <w:t>energy (kcal/d</w:t>
      </w:r>
      <w:r w:rsidR="00C47E67" w:rsidRPr="006325C2">
        <w:t xml:space="preserve">), </w:t>
      </w:r>
      <w:r w:rsidR="00E61E67" w:rsidRPr="006325C2">
        <w:t>calcium (</w:t>
      </w:r>
      <w:r w:rsidR="00B11DEB" w:rsidRPr="006325C2">
        <w:t>mg/d</w:t>
      </w:r>
      <w:r w:rsidR="00E61E67" w:rsidRPr="006325C2">
        <w:t xml:space="preserve">), and </w:t>
      </w:r>
      <w:r w:rsidR="00975C63" w:rsidRPr="006325C2">
        <w:t xml:space="preserve">other </w:t>
      </w:r>
      <w:r w:rsidR="00E61E67" w:rsidRPr="006325C2">
        <w:t xml:space="preserve">nutrients. Details on the </w:t>
      </w:r>
      <w:r w:rsidR="00BF4429" w:rsidRPr="006325C2">
        <w:t xml:space="preserve">FFQs, calibration studies, </w:t>
      </w:r>
      <w:r w:rsidR="00E61E67" w:rsidRPr="006325C2">
        <w:t xml:space="preserve">and </w:t>
      </w:r>
      <w:r w:rsidR="00BF4429" w:rsidRPr="006325C2">
        <w:t xml:space="preserve">estimation of </w:t>
      </w:r>
      <w:r w:rsidR="006C4A67" w:rsidRPr="006325C2">
        <w:t>nutrient</w:t>
      </w:r>
      <w:r w:rsidR="00BF4429" w:rsidRPr="006325C2">
        <w:t xml:space="preserve"> intake</w:t>
      </w:r>
      <w:r w:rsidR="00E61E67" w:rsidRPr="006325C2">
        <w:t xml:space="preserve"> can be found </w:t>
      </w:r>
      <w:r w:rsidR="00BF4429" w:rsidRPr="006325C2">
        <w:t>in previous publications</w:t>
      </w:r>
      <w:r w:rsidR="00E61E67" w:rsidRPr="006325C2">
        <w:t>.</w:t>
      </w:r>
      <w:r w:rsidR="00BF4429" w:rsidRPr="006325C2">
        <w:fldChar w:fldCharType="begin"/>
      </w:r>
      <w:r w:rsidR="00DB50DA" w:rsidRPr="006325C2">
        <w:instrText xml:space="preserve"> ADDIN ZOTERO_ITEM CSL_CITATION {"citationID":"fTb4HuJC","properties":{"unsorted":true,"formattedCitation":"{\\rtf \\super 37\\uc0\\u8211{}48\\nosupersub{}}","plainCitation":"37–48"},"citationItems":[{"id":837,"uris":["http://zotero.org/users/2024628/items/AB2NUS7W"],"uri":["http://zotero.org/users/2024628/items/AB2NUS7W"],"itemData":{"id":837,"type":"article-journal","title":"Performance of a food-frequency questionnaire in the US NIH-AARP (National Institutes of Health-American Association of Retired Persons) Diet and Health Study","container-title":"Public Health Nutrition","page":"183-195","volume":"11","issue":"2","source":"PubMed","abstract":"OBJECTIVE: We evaluated the performance of the food-frequency questionnaire (FFQ) administered to participants in the US NIH-AARP (National Institutes of Health-American Association of Retired Persons) Diet and Health Study, a cohort of 566 404 persons living in the USA and aged 50-71 years at baseline in 1995.\nDESIGN: The 124-item FFQ was evaluated within a measurement error model using two non-consecutive 24-hour dietary recalls (24HRs) as the reference.\nSETTING: Participants were from six states (California, Florida, Pennsylvania, New Jersey, North Carolina and Louisiana) and two metropolitan areas (Atlanta, Georgia and Detroit, Michigan).\nSUBJECTS: A subgroup of the cohort consisting of 2053 individuals.\nRESULTS: For the 26 nutrient constituents examined, estimated correlations with true intake (not energy-adjusted) ranged from 0.22 to 0.67, and attenuation factors ranged from 0.15 to 0.49. When adjusted for reported energy intake, performance improved; estimated correlations with true intake ranged from 0.36 to 0.76, and attenuation factors ranged from 0.24 to 0.68. These results compare favourably with those from other large prospective studies. However, previous biomarker-based studies suggest that, due to correlation of errors in FFQs and self-report reference instruments such as the 24HR, the correlations and attenuation factors observed in most calibration studies, including ours, tend to overestimate FFQ performance.\nCONCLUSION: The performance of the FFQ in the NIH-AARP Diet and Health Study, in conjunction with the study's large sample size and wide range of dietary intake, is likely to allow detection of moderate (&gt; or =1.8) relative risks between many energy-adjusted nutrients and common cancers.","DOI":"10.1017/S1368980007000419","ISSN":"1368-9800","note":"00125 \nPMID: 17610761","journalAbbreviation":"Public Health Nutr","language":"eng","author":[{"family":"Thompson","given":"Frances E."},{"family":"Kipnis","given":"Victor"},{"family":"Midthune","given":"Douglas"},{"family":"Freedman","given":"Laurence S."},{"family":"Carroll","given":"Raymond J."},{"family":"Subar","given":"Amy F."},{"family":"Brown","given":"Charles C."},{"family":"Butcher","given":"Matthew S."},{"family":"Mouw","given":"Traci"},{"family":"Leitzmann","given":"Michael"},{"family":"Schatzkin","given":"Arthur"}],"issued":{"date-parts":[["2008",2]]},"PMID":"17610761"},"label":"page"},{"id":839,"uris":["http://zotero.org/users/2024628/items/5DFW4UMB"],"uri":["http://zotero.org/users/2024628/items/5DFW4UMB"],"itemData":{"id":839,"type":"article-journal","title":"Reproducibility and validity of a semiquantitative food frequency questionnaire","container-title":"American Journal of Epidemiology","page":"51-65","volume":"122","issue":"1","source":"PubMed","abstract":"The aim of this study was to evaluate the reproducibility and validity of a 61-item semiquantitative food frequency questionnaire used in a large prospective study among women. This form was administered twice to 173 participants at an interval of approximately one year (1980-1981), and four one-week diet records for each subject were collected during that period. Intraclass correlation coefficients for nutrient intakes estimated by the one-week diet records (range = 0.41 for total vitamin A without supplements to 0.79 for vitamin B6 with supplements) were similar to those computed from the questionnaire (range = 0.49 for total vitamin A without supplements to 0.71 for sucrose), indicating that these methods were generally comparable with respect to reproducibility. With the exception of sucrose and total carbohydrate, nutrient intakes from the diet records tended to correlate more strongly with those computed from the questionnaire after adjustment for total caloric intake. Correlation coefficients between the mean calorie-adjusted intakes from the four one-week diet records and those from the questionnaire completed after the diet records ranged from 0.36 for vitamin A without supplements to 0.75 for vitamin C with supplements. Overall, 48% of subjects in the lowest quintile of calorie-adjusted intake computed from the diet records were also in the lowest questionnaire quintile, and 74% were in the lowest one of two questionnaire quintiles. Similarly, 49% of those in the highest diet record quintile were also in the highest questionnaire quintile, and 77% were in the highest one or two questionnaire quintiles. These data indicate that a simple self-administered dietary questionnaire can provide useful information about individual nutrient intakes over a one-year period.","ISSN":"0002-9262","note":"03035 \nPMID: 4014201","journalAbbreviation":"Am. J. Epidemiol.","language":"eng","author":[{"family":"Willett","given":"W. C."},{"family":"Sampson","given":"L."},{"family":"Stampfer","given":"M. J."},{"family":"Rosner","given":"B."},{"family":"Bain","given":"C."},{"family":"Witschi","given":"J."},{"family":"Hennekens","given":"C. H."},{"family":"Speizer","given":"F. E."}],"issued":{"date-parts":[["1985",7]]},"PMID":"4014201"},"label":"page"},{"id":841,"uris":["http://zotero.org/users/2024628/items/QI9ZB3QB"],"uri":["http://zotero.org/users/2024628/items/QI9ZB3QB"],"itemData":{"id":841,"type":"article-journal","title":"Reproducibility and validity of an expanded self-administered semiquantitative food frequency questionnaire among male health professionals","container-title":"American Journal of Epidemiology","page":"1114-1126; discussion 1127-1136","volume":"135","issue":"10","source":"PubMed","abstract":"The authors assessed the reproducibility and validity of an expanded 131-item semiquantitative food frequency questionnaire used in a prospective study among 51,529 men. The form was administered by mail twice to a sample of 127 participants at a one-year interval. During this interval, men completed two one-week diet records spaced approximately 6 months apart. Mean values for intake of most nutrients assessed by the two methods were similar. Intraclass correlation coefficients for nutrient intakes assessed by questionnaires one year apart ranged from 0.47 for vitamin E without supplements to 0.80 for vitamin C with supplements. Correlation coefficients between the energy-adjusted nutrient intakes measured by diet records and the second questionnaire (which asked about diet during the year encompassing the diet records) ranged from 0.28 for iron without supplements to 0.86 for vitamin C with supplements (mean r = 0.59). These correlations were higher after adjusting for week-to-week variation in diet record intakes (mean r = 0.65). These data indicate that the expanded semiquantitative food frequency questionnaire is reproducible and provides a useful measure of intake for many nutrients over a one-year period.","ISSN":"0002-9262","note":"01344 \nPMID: 1632423","journalAbbreviation":"Am. J. Epidemiol.","language":"eng","author":[{"family":"Rimm","given":"E. B."},{"family":"Giovannucci","given":"E. L."},{"family":"Stampfer","given":"M. J."},{"family":"Colditz","given":"G. A."},{"family":"Litin","given":"L. B."},{"family":"Willett","given":"W. C."}],"issued":{"date-parts":[["1992",5,15]]},"PMID":"1632423"},"label":"page"},{"id":843,"uris":["http://zotero.org/users/2024628/items/JJVEVZQJ"],"uri":["http://zotero.org/users/2024628/items/JJVEVZQJ"],"itemData":{"id":843,"type":"article-journal","title":"Dietary Assessment of Older Iowa Women with a Food Frequency Questionnaire: Nutrient Intake, Reproducibility, and Comparison with 24-Hour Dietary Recall Interviews","container-title":"American Journal of Epidemiology","page":"192-200","volume":"136","issue":"2","source":"aje.oxfordjournals.org","abstract":"The authors report the results of a dietary survey of 38,121 Iowa women, 55–69 years of age in 1986, based on a semiquantitative food frequency questionnaire previously tested among Boston-area women aged 34–59 years. The Iowa women, compared with the younger Boston-area women, consumed a similar amount of calories (1,767 vs. 1,844 kcal) and a similar amount of total calories from fat (35 vs. 37%) but had markedly greater intake of the following mtaronutrients after including supplement use: iron (+18%), calcium (+33%), vitamin A (+43%), riboflavin (+46%), thiamine (+50%), and pyridoxine (+122%). The reproducibility of the questionnaire was examined in two more administrations to 44 of the Iowa women in January and June of 1988. Reproducibirity was highest for alcohol (Pearson's r = 0.99), caffeine (r = 0.95), and vitamin E (r = 0.90) and lowest for sucrose (r = 0.53), polyunsaturated fat (r = 0.56), and iron (r = 0.59). Micronutrient intakes were generally more reproducible than macronutrient intakes. The agreement between the June 1988 questionnaire and the average of five 24-hour dietary recalls was also assessed in the 44 subjects. The median correlations of energy-adjusted intake were as follows: for macronutrients, r = 0.45; for micronutrients without supplements, r = 0.33; and for micronutrients with supplements, r = 0.64. This food frequency questionnaire appears to be reasonably reproducible and accurate, so that Its use may be extended to epidemiokxjic studies of older women with a broad range of socioeconomic backgrounds. Am J Epidemiol 1992:136:192–200.","ISSN":"0002-9262, 1476-6256","note":"00282 \nPMID: 1415141","shortTitle":"Dietary Assessment of Older Iowa Women with a Food Frequency Questionnaire","journalAbbreviation":"Am. J. Epidemiol.","language":"en","author":[{"family":"Munger","given":"Ronald G."},{"family":"Folsom","given":"Aaron R."},{"family":"Kushi","given":"Lawrence H."},{"family":"Kaye","given":"Susan A."},{"family":"Sellers","given":"Thomas A."}],"issued":{"date-parts":[["1992",7,15]]},"PMID":"1415141"},"label":"page"},{"id":847,"uris":["http://zotero.org/users/2024628/items/4AV7TFWS"],"uri":["http://zotero.org/users/2024628/items/4AV7TFWS"],"itemData":{"id":847,"type":"article-journal","title":"Comparative Validation of the Block, Willett, and National Cancer Institute Food Frequency Questionnaires The Eating at America's Table Study","container-title":"American Journal of Epidemiology","page":"1089-1099","volume":"154","issue":"12","source":"aje.oxfordjournals.org","abstract":"Researchers at the National Cancer Institute developed a new cognitively based food frequency questionnaire (FFQ), the Diet History Questionnaire (DHQ). The Eating at America's Table Study sought to validate and compare the DHQ with the Block and Willett FFQs. Of 1,640 men and women recruited to participate from a nationally representative sample in 1997, 1,301 completed four telephone 24-hour recalls, one in each season. Participants were randomized to receive either a DHQ and Block FFQ or a DHQ and Willett FFQ. With a standard measurement error model, correlations for energy between estimated truth and the DHQ, Block FFQ, and Willett FFQ, respectively, were 0.48, 0.45, and 0.18 for women and 0.49, 0.45, and 0.21 for men. For 26 nutrients, correlations and attenuation coefficients were somewhat higher for the DHQ versus the Block FFQ, and both were better than the Willett FFQ in models unadjusted for energy. Energy adjustment increased correlations and attenuation coefficients for the Willett FFQ dramatically and for the DHQ and Block FFQ instruments modestly. The DHQ performed best overall. These data show that the DHQ and the Block FFQ are better at estimating absolute intakes than is the Willett FFQ but that, after energy adjustment, all three are more comparable for purposes of assessing diet-disease risk.","DOI":"10.1093/aje/154.12.1089","ISSN":"0002-9262, 1476-6256","note":"00726 \nPMID: 11744511","journalAbbreviation":"Am. J. Epidemiol.","language":"en","author":[{"family":"Subar","given":"Amy F."},{"family":"Thompson","given":"Frances E."},{"family":"Kipnis","given":"Victor"},{"family":"Midthune","given":"Douglas"},{"family":"Hurwitz","given":"Paul"},{"family":"McNutt","given":"Suzanne"},{"family":"McIntosh","given":"Anna"},{"family":"Rosenfeld","given":"Simon"}],"issued":{"date-parts":[["2001",12,15]]},"PMID":"11744511"},"label":"page"},{"id":203,"uris":["http://zotero.org/groups/305042/items/FXNZW3AA"],"uri":["http://zotero.org/groups/305042/items/FXNZW3AA"],"itemData":{"id":203,"type":"article-journal","title":"Estimating nutrient intake from a food frequency questionnaire: incorporating the elements of race and geographic region","container-title":"American Journal of Epidemiology","page":"104-111","volume":"170","issue":"1","source":"NCBI PubMed","abstract":"Assignment of nutrient values to food frequency questionnaire (FFQ) items does not usually account for participant characteristics (besides age or sex) that may influence eating patterns. For the Southern Community Cohort Study, the authors developed and assessed results from a nutrient database system incorporating sex-, race-, and census-region-specific food lists, using 24-hour recall data from the National Health and Nutrition Examination Survey (NHANES III, NHANES 1999-2000, NHANES 2001-2002, and NHANES 2003-2004) and the Continuing Survey of Food Intakes by Individuals that permitted estimation of nutrients tailored to participants' characteristics. For each of 15 nutrients, comparisons were made to a \"standard\" nutrient scoring system based on nationwide race-blind 24-hour recalls from these same sources. Using FFQ data from 67,926 Southern Community Cohort Study participants (47,038 African-American, 20,888 non-Hispanic white) aged 40-79 years who enrolled in the study during 2002-2008, the region- and race-informed system tended to produce increased estimated intake for most nutrients for black women, particularly for saturated fat (7.1%), monounsaturated fat (8.3%), and polyunsaturated fat (7.2%); smaller but significant changes (&lt;5%) were also observed for nutrient intake for men and white women. These types of refinements in nutrient databases can be considered a means of enhancing the accuracy of dietary estimation using FFQs.","DOI":"10.1093/aje/kwp098","ISSN":"1476-6256","note":"PMID: 19451177 \nPMCID: PMC2733041","shortTitle":"Estimating nutrient intake from a food frequency questionnaire","journalAbbreviation":"Am. J. Epidemiol.","language":"eng","author":[{"family":"Signorello","given":"Lisa B."},{"family":"Munro","given":"Heather M."},{"family":"Buchowski","given":"Maciej S."},{"family":"Schlundt","given":"David G."},{"family":"Cohen","given":"Sarah S."},{"family":"Hargreaves","given":"Margaret K."},{"family":"Blot","given":"William J."}],"issued":{"date-parts":[["2009",7,1]]},"PMID":"19451177","PMCID":"PMC2733041"},"label":"page"},{"id":853,"uris":["http://zotero.org/users/2024628/items/DIJQMGMD"],"uri":["http://zotero.org/users/2024628/items/DIJQMGMD"],"itemData":{"id":853,"type":"article-journal","title":"Measurement characteristics of the Women's Health Initiative food frequency questionnaire","container-title":"Annals of Epidemiology","page":"178-187","volume":"9","issue":"3","source":"PubMed","abstract":"PURPOSE: The Women's Health Initiative (WHI) is the largest research program ever initiated in the United States with a focus on diet and health. Therefore, it is important to understand and document the measurement characteristics of the key dietary assessment instrument: the WHI food frequency questionnaire (FFQ).\nMETHODS: Data are from 113 women screened for participation in the WHI in 1995. We assessed bias and precision of the FFQ by comparing the intake of 30 nutrients estimated from the FFQ with means from four 24-hour dietary recalls and a 4-day food record.\nRESULTS: For most nutrients, means estimated by the FFQ were within 10% of the records or recalls. Precision, defined as the correlation between the FFQ and the records and recalls, was similar to other FFQs. Energy adjusted correlation coefficients ranged from 0.2 (vitamin B12) to 0.7 (magnesium) with a mean of 0.5. The correlation for percentage energy from fat (a key measure in WHI) was 0.6. Vitamin supplement use was common. For example, almost half of total vitamin E intake was obtained from supplements. Including supplemental vitamins and minerals increased micronutrient correlation coefficients, which ranged from 0.2 (thiamin) to 0.8 (vitamin E) with a mean of 0.6.\nCONCLUSIONS: The WHI FFQ produced nutrient estimate, that were similar to those obtained from short-term dietary recall and recording methods. Comparison of WHI FFQ nutrient intake measures to independent and unbiased measures, such as doubly labeled water estimates of energy expenditure, are needed to help address the validity of the FFQ in this population.","ISSN":"1047-2797","note":"00626 \nPMID: 10192650","journalAbbreviation":"Ann Epidemiol","language":"eng","author":[{"family":"Patterson","given":"R. E."},{"family":"Kristal","given":"A. R."},{"family":"Tinker","given":"L. F."},{"family":"Carter","given":"R. A."},{"family":"Bolton","given":"M. P."},{"family":"Agurs-Collins","given":"T."}],"issued":{"date-parts":[["1999",4]]},"PMID":"10192650"},"label":"page"},{"id":855,"uris":["http://zotero.org/users/2024628/items/DCJTHA9B"],"uri":["http://zotero.org/users/2024628/items/DCJTHA9B"],"itemData":{"id":855,"type":"article-journal","title":"Standardization of the 24-hour diet recall calibration method used in the european prospective investigation into cancer and nutrition (EPIC): general concepts and preliminary results","container-title":"European Journal of Clinical Nutrition","page":"900-917","volume":"54","issue":"12","source":"PubMed","abstract":"OBJECTIVES: Despite increasing interest in the concept of calibration in dietary surveys, there is still little experience in the use and standardization of a common reference dietary method, especially in international studies. In this paper, we present the general theoretical framework and the approaches developed to standardize the computer-assisted 24 h diet recall method (EPIC-SOFT) used to collect about 37 000 24-h dietary recall measurements (24-HDR) from the 10 countries participating in the European Prospective Investigation into Cancer and Nutrition (EPIC). In addition, an analysis of variance was performed to examine the level of standardization of EPIC-SOFT across the 90 interviewers involved in the study.\nMETHODS: The analysis of variance used a random effects model in which mean energy intake per interviewer was used as the dependent variable, while age, body mass index (BMI), energy requirement, week day, season, special diet, special day, physical activity and the EPIC-SOFT version were used as independent variables. The analysis was performed separately for men and women.\nRESULTS: The results show no statistical difference between interviewers in all countries for men and five out of eight countries for women, after adjustment for physical activity and the EPIC-SOFT program version used, and the exclusion of one interviewer in Germany (for men), and one in Denmark (for women). These results showed an interviewer effect in certain countries and a significant difference between gender, suggesting an underlying respondent's effect due to the higher under-reporting among women that was consistently observed in EPIC. However, the actual difference between interviewer and country mean energy intakes is about 10%. Furthermore, no statistical differences in mean energy intakes were observed across centres from the same country, except in Italy and Germany for men, and France and Spain for women, where the populations were recruited from areas scattered throughout the countries.\nCONCLUSION: Despite these encouraging results and the efforts to standardize the 24-HDR interview method, conscious or unconscious behaviour of respondents and/or interviewer bias cannot be prevented entirely. Further evaluation of the reliability of EPIC-SOFT measurements will be conducted through validation against independent biological markers (nitrogen, potassium).","ISSN":"0954-3007","note":"00003 \nPMID: 11114689","shortTitle":"Standardization of the 24-hour diet recall calibration method used in the european prospective investigation into cancer and nutrition (EPIC)","journalAbbreviation":"Eur J Clin Nutr","language":"eng","author":[{"family":"Slimani","given":"N."},{"family":"Ferrari","given":"P."},{"family":"Ocké","given":"M."},{"family":"Welch","given":"A."},{"family":"Boeing","given":"H."},{"family":"Liere","given":"M."},{"family":"Pala","given":"V."},{"family":"Amiano","given":"P."},{"family":"Lagiou","given":"A."},{"family":"Mattisson","given":"I."},{"family":"Stripp","given":"C."},{"family":"Engeset","given":"D."},{"family":"Charrondière","given":"R."},{"family":"Buzzard","given":"M."},{"family":"Staveren","given":"W."},{"family":"Riboli","given":"E."}],"issued":{"date-parts":[["2000",12]]},"PMID":"11114689"},"label":"page"},{"id":857,"uris":["http://zotero.org/users/2024628/items/XI8P6EKT"],"uri":["http://zotero.org/users/2024628/items/XI8P6EKT"],"itemData":{"id":857,"type":"article-journal","title":"Validity and reproducibility of a self-administered food frequency questionnaire in the JPHC Study Cohort II: study design, participant profile and results in comparison with Cohort I","container-title":"Journal of Epidemiology / Japan Epidemiological Association","page":"S134-147","volume":"13","issue":"1 Suppl","source":"PubMed","abstract":"The objective of this study was to evaluate the validity and reproducibility of a self-administered food frequency questionnaire (FFQ) to estimate nutrient and food intake in the subjects of the Japan Public Health Center-based prospective Study on Cancer and Cardiovascular Diseases (JPHC Study Cohort II). The FFQ was originally developed to estimate intake in the JPHC Study Cohort I. A total of 392 subjects were recruited from the entire cohort participants in the 6 areas of Cohort II on a voluntary basis. The subjects completed the FFQ used for the 5-year follow-up survey twice at approximately a 1-year interval. Seven-day dietary records (DR) and blood samples were collected 4 times at 3-month intervals over a year. Daily nutrient and food intakes from FFQ and DR were estimated. The Spearman correlation coefficients for estimated intakes were calculated between FFQ and DR for validity, and between 2 identical FFQs for reproducibility. Correlation coefficients for the validity ranged from 0.09 to 0.82 among various nutrients and food groups. The correlation coefficients for most of the nutrients and food groups were improved to a level comparable to that of Cohort I by energy-adjustment. Correlation coefficients for reproducibility ranged from 0.42 to 0.82, similar to those of Cohort I.","ISSN":"0917-5040","note":"00069 \nPMID: 12701641","shortTitle":"Validity and reproducibility of a self-administered food frequency questionnaire in the JPHC Study Cohort II","journalAbbreviation":"J Epidemiol","language":"eng","author":[{"family":"Ishihara","given":"Junko"},{"family":"Sobue","given":"Tomotaka"},{"family":"Yamamoto","given":"Seiichiro"},{"family":"Yoshimi","given":"Itsuro"},{"family":"Sasaki","given":"Satoshi"},{"family":"Kobayashi","given":"Minatsu"},{"family":"Takahashi","given":"Tosei"},{"family":"Iitoi","given":"Yoji"},{"family":"Akabane","given":"Masayuki"},{"family":"Tsugane","given":"Shoichiro"},{"literal":"JPHC"}],"issued":{"date-parts":[["2003",1]]},"PMID":"12701641"},"label":"page"},{"id":962,"uris":["http://zotero.org/users/2024628/items/MIET8AKA"],"uri":["http://zotero.org/users/2024628/items/MIET8AKA"],"itemData":{"id":962,"type":"article-journal","title":"Validity and reproducibility of a self-administered food frequency questionnaire used in the baseline survey of the JPHC Study Cohort I","container-title":"Journal of Epidemiology / Japan Epidemiological Association","page":"S125-133","volume":"13","issue":"1 Suppl","source":"PubMed","abstract":"We examined the validity and reproducibility of a 44-item food frequency questionnaire used in a baseline survey of the Japan Public Health Center-Based Prospective Study Cohort I conducted in February 1990. Subjects were 94 men and 107 women selected on a voluntary basis among respondents to the baseline survey. Four or five years after the baseline survey, they provided four 7-day diet records during a 1-year period, and then responded to the same questionnaire a second time. The median (range) for energy-adjusted correlation coefficients between 30 nutrients measured by the questionnaire and the diet records was 0.36 (0.06-0.81) for men and 0.37 (0.11-0.52) for women. The median correlation (range) for 17 food groups was 0.30 (0.08-0.75) for men and 0.28 (0.08-0.46) for women. The median correlation (range) for energy-adjusted correlation coefficients between the two questionnaires was 0.24 (0.04-0.69) for men and 0.50 (0.27-0.60) for women for the nutrients, and 0.34 (0.15-0.63) for men and 0.48 (0.18-0.55) for women for the food groups, respectively. The results indicate that this brief food frequency questionnaire provides reasonably valid and reproducible measures of consumption for many nutrients and food groups, and is useful for examining the association between diet and health in the Japanese population.","ISSN":"0917-5040","note":"00078 \nPMID: 12701640","journalAbbreviation":"J Epidemiol","language":"eng","author":[{"family":"Tsubono","given":"Yoshitaka"},{"family":"Kobayashi","given":"Minatsu"},{"family":"Sasaki","given":"Satoshi"},{"family":"Tsugane","given":"Shoichiro"},{"literal":"JPHC"}],"issued":{"date-parts":[["2003",1]]},"PMID":"12701640"},"label":"page"},{"id":27,"uris":["http://zotero.org/users/2024628/items/TVBBPAD7"],"uri":["http://zotero.org/users/2024628/items/TVBBPAD7"],"itemData":{"id":27,"type":"article-journal","title":"Validity and reproducibility of the food-frequency questionnaire used in the Shanghai men's health study","container-title":"The British Journal of Nutrition","page":"993-1000","volume":"97","issue":"5","source":"NCBI PubMed","abstract":"We evaluated the validity and reproducibility of the FFQ used in the Shanghai Men's Health Study (SMHS). The study included 195 randomly selected participants of the SMHS who completed one FFQ at baseline, twelve 24-hour dietary recalls (24-HDR) (once a month for twelve consecutive months) and a second FFQ at the end of the study. The FFQ accounted for 88.78% of the foods recorded in the 24-HDR surveys. The validity of the FFQ was evaluated by comparing nutrient and food group intake levels from the second FFQ and the multiple 24-HDR. Correlation coefficients ranged from 0.38 to 0.64 for macronutrients, 0.33 to 0.58 for micronutrients and 0.35 to 0.72 for food groups. Misclassification to opposite quartiles for nutrients and food groups was rare, ranging from 1.5 to 7.7%, while exact agreement rates were between 31.8 and 53.3%. The reliability of the FFQ was assessed by comparing the intake levels from the two FFQ. Correlation coefficients were 0.39 to 0.53 for macronutrients, 0.38 to 0.52 for micronutrients and 0.39 to 0.64 for food groups. Exact agreement rates for quartile distribution were between 31.8 and 49.2%, while misclassification to opposite quartiles was between 1.5 and 6.2%. These data indicate that the SMHS FFQ can reasonably categorise usual intake of nutrients and food groups among men living in urban Shanghai.","DOI":"10.1017/S0007114507669189","ISSN":"0007-1145","note":"PMID: 17381986","journalAbbreviation":"Br. J. Nutr.","language":"eng","author":[{"family":"Villegas","given":"Raquel"},{"family":"Yang","given":"Gong"},{"family":"Liu","given":"DaKe"},{"family":"Xiang","given":"Yong-Bing"},{"family":"Cai","given":"Hui"},{"family":"Zheng","given":"Wei"},{"family":"Shu","given":"Xiao Ou"}],"issued":{"date-parts":[["2007",5]]},"PMID":"17381986"},"label":"page"},{"id":25,"uris":["http://zotero.org/users/2024628/items/SHRF9N5I"],"uri":["http://zotero.org/users/2024628/items/SHRF9N5I"],"itemData":{"id":25,"type":"article-journal","title":"Validity and reproducibility of the food frequency questionnaire used in the Shanghai Women's Health Study","container-title":"European Journal of Clinical Nutrition","page":"17-23","volume":"58","issue":"1","source":"NCBI PubMed","abstract":"To evaluate the validity and reliability of the food frequency questionnaire (FFQ) used in the Shanghai Women's Health Study (SWHS), 200 SWHS participants were recruited for a dietary calibration study. Study participants completed an FFQ at baseline and 24-h dietary recalls (24-HDR) twice per month consecutively for 12 months. At the end of the study, a second FFQ was administered. Of the 200 study participants, 196 completed 24 or more days of 24-h dietary recalls, 191 completed two FFQs from whom the results of this report were based. The FFQ included the foods that accounted for 86% of the foods recorded in the 24-HDR surveys. Validity of the FFQ was evaluated by comparing intake levels of major nutrients and foods obtained from the second FFQ with those derived from the multiple 24-HDR. The median intake for major nutrients, rice, poultry and meat derived from the second FFQ and the 24-HDR was similar, with the differences ranging from 1.3 to 12.1%. The FFQ tended to overestimate the intake level of total vegetables and total fruits, and the differences were explained mainly by over-reporting seasonal vegetables and fruits consumption in the FFQ. Nutrient and food intake assessed by the FFQ and the multiple 24-HDR correlated very well, with the correlation coefficients being 0.59-0.66 for macronutrients, 0.41-0.59 for micronutrients, and 0.41-0.66 for major food groups. The reliability of the FFQ was assessed by comparing the correlation and median intake of nutrients and food groups obtained from the two FFQs that were administered approximately 2 y apart. The median intake levels for selected nutrients and food groups derived from the two FFQs were similar with differences below 10%. At the individual level, the intake levels of these dietary variables obtained from two FFQs also correlated well. When nutrient and food group intakes were categorized into quartiles, FFQ and 24-HDR produced exact agreement rates between 33 and 50%. Misclassification to adjacent quartile was common, ranging from 34-48%, while misclassification to an extreme quartile was rare (1-6%). These data indicate that the SWHS FFQ can reliably and accurately measure usual intake of major nutrients and food groups among women in Shanghai.","DOI":"10.1038/sj.ejcn.1601738","ISSN":"0954-3007","note":"PMID: 14679362","journalAbbreviation":"Eur J Clin Nutr","language":"eng","author":[{"family":"Shu","given":"X. O."},{"family":"Yang","given":"G."},{"family":"Jin","given":"F."},{"family":"Liu","given":"D."},{"family":"Kushi","given":"L."},{"family":"Wen","given":"W."},{"family":"Gao","given":"Y.-T."},{"family":"Zheng","given":"W."}],"issued":{"date-parts":[["2004",1]]},"PMID":"14679362"},"label":"page"}],"schema":"https://github.com/citation-style-language/schema/raw/master/csl-citation.json"} </w:instrText>
      </w:r>
      <w:r w:rsidR="00BF4429" w:rsidRPr="006325C2">
        <w:fldChar w:fldCharType="separate"/>
      </w:r>
      <w:r w:rsidR="00AB395C" w:rsidRPr="00AB395C">
        <w:rPr>
          <w:vertAlign w:val="superscript"/>
        </w:rPr>
        <w:t>37–48</w:t>
      </w:r>
      <w:r w:rsidR="00BF4429" w:rsidRPr="006325C2">
        <w:fldChar w:fldCharType="end"/>
      </w:r>
      <w:r w:rsidR="006C4A67" w:rsidRPr="006325C2">
        <w:t xml:space="preserve"> </w:t>
      </w:r>
      <w:r w:rsidR="009A60AA" w:rsidRPr="006325C2">
        <w:t>In the present study,</w:t>
      </w:r>
      <w:r w:rsidR="00DB377A" w:rsidRPr="006325C2">
        <w:t xml:space="preserve"> </w:t>
      </w:r>
      <w:r w:rsidR="009A60AA" w:rsidRPr="006325C2">
        <w:t>dietary intakes were adjusted for total energy intake using the nutrient density method</w:t>
      </w:r>
      <w:r w:rsidR="009A60AA" w:rsidRPr="006325C2">
        <w:fldChar w:fldCharType="begin"/>
      </w:r>
      <w:r w:rsidR="00DB50DA" w:rsidRPr="006325C2">
        <w:instrText xml:space="preserve"> ADDIN ZOTERO_ITEM CSL_CITATION {"citationID":"FF8hAcFy","properties":{"formattedCitation":"{\\rtf \\super 49\\nosupersub{}}","plainCitation":"49"},"citationItems":[{"id":23,"uris":["http://zotero.org/users/2024628/items/ZNIJPIFN"],"uri":["http://zotero.org/users/2024628/items/ZNIJPIFN"],"itemData":{"id":23,"type":"article-journal","title":"Adjustment for total energy intake in epidemiologic studies","container-title":"The American Journal of Clinical Nutrition","page":"1220S-1228S","volume":"65","issue":"4 Suppl","source":"NCBI PubMed","abstract":"In epidemiologic studies, total energy intake is often related to disease risk because of associations between physical activity or body size and the probability of disease. In theory, differences in disease incidence may also be related to metabolic efficiency and therefore to total energy intake. Because intakes of most specific nutrients, particularly macronutrients, are correlated with total energy intake, they may be noncausally associated with disease as a result of confounding by total energy intake. In addition, extraneous variation in nutrient intake resulting from variation in total energy intake that is unrelated to disease risk may weaken associations. Furthermore, individuals or populations must alter their intake of specific nutrients primarily by altering the composition of their diets rather than by changing their total energy intake, unless physical activity or body weight are changed substantially. Thus, adjustment for total energy intake is usually appropriate in epidemiologic studies to control for confounding, reduce extraneous variation, and predict the effect of dietary interventions. Failure to account for total energy intake can obscure associations between nutrient intakes and disease risk or even reverse the direction of association. Several disease-risk models and formulations of these models are available to account for energy intake in epidemiologic analyses, including adjustment of nutrient intakes for total energy intake by regression analysis and addition of total energy to a model with the nutrient density (nutrient divided by energy).","ISSN":"0002-9165","note":"PMID: 9094926","journalAbbreviation":"Am. J. Clin. Nutr.","language":"eng","author":[{"family":"Willett","given":"W. C."},{"family":"Howe","given":"G. R."},{"family":"Kushi","given":"L. H."}],"issued":{"date-parts":[["1997",4]]},"PMID":"9094926"}}],"schema":"https://github.com/citation-style-language/schema/raw/master/csl-citation.json"} </w:instrText>
      </w:r>
      <w:r w:rsidR="009A60AA" w:rsidRPr="006325C2">
        <w:fldChar w:fldCharType="separate"/>
      </w:r>
      <w:r w:rsidR="00AB395C" w:rsidRPr="00AB395C">
        <w:rPr>
          <w:vertAlign w:val="superscript"/>
        </w:rPr>
        <w:t>49</w:t>
      </w:r>
      <w:r w:rsidR="009A60AA" w:rsidRPr="006325C2">
        <w:fldChar w:fldCharType="end"/>
      </w:r>
      <w:r w:rsidR="009A60AA" w:rsidRPr="006325C2">
        <w:t xml:space="preserve"> and standardized to intakes per 2,000 kcal for women and per 2,500 kcal for men.</w:t>
      </w:r>
      <w:r w:rsidR="00DB377A" w:rsidRPr="006325C2">
        <w:t xml:space="preserve">  </w:t>
      </w:r>
    </w:p>
    <w:p w:rsidR="00AB3DF8" w:rsidRPr="006325C2" w:rsidRDefault="00AE5E21" w:rsidP="00434502">
      <w:pPr>
        <w:spacing w:before="60" w:after="0" w:line="480" w:lineRule="auto"/>
        <w:ind w:firstLine="360"/>
      </w:pPr>
      <w:r w:rsidRPr="006325C2">
        <w:t>Intake</w:t>
      </w:r>
      <w:r w:rsidR="00BE44DD" w:rsidRPr="006325C2">
        <w:t xml:space="preserve"> of s</w:t>
      </w:r>
      <w:r w:rsidR="009623EF" w:rsidRPr="006325C2">
        <w:t xml:space="preserve">upplemental calcium </w:t>
      </w:r>
      <w:r w:rsidR="00BE44DD" w:rsidRPr="006325C2">
        <w:t xml:space="preserve">was assessed in </w:t>
      </w:r>
      <w:r w:rsidR="00CD6393" w:rsidRPr="006325C2">
        <w:t>eight</w:t>
      </w:r>
      <w:r w:rsidR="0054677E" w:rsidRPr="006325C2">
        <w:t xml:space="preserve"> US cohorts. </w:t>
      </w:r>
      <w:r w:rsidR="00510045" w:rsidRPr="006325C2">
        <w:t xml:space="preserve">Participants were asked </w:t>
      </w:r>
      <w:r w:rsidR="0002604E" w:rsidRPr="006325C2">
        <w:t>whether</w:t>
      </w:r>
      <w:r w:rsidR="00510045" w:rsidRPr="006325C2">
        <w:t xml:space="preserve"> in the past year they </w:t>
      </w:r>
      <w:r w:rsidR="0002604E" w:rsidRPr="006325C2">
        <w:t xml:space="preserve">generally </w:t>
      </w:r>
      <w:r w:rsidR="00510045" w:rsidRPr="006325C2">
        <w:t>t</w:t>
      </w:r>
      <w:r w:rsidR="0054677E" w:rsidRPr="006325C2">
        <w:t>ook</w:t>
      </w:r>
      <w:r w:rsidR="00510045" w:rsidRPr="006325C2">
        <w:t xml:space="preserve"> supplements (multivitamins and</w:t>
      </w:r>
      <w:r w:rsidR="0054677E" w:rsidRPr="006325C2">
        <w:t>/or</w:t>
      </w:r>
      <w:r w:rsidR="00510045" w:rsidRPr="006325C2">
        <w:t xml:space="preserve"> single calcium supplements); and if yes, how often </w:t>
      </w:r>
      <w:r w:rsidR="00B46C4F" w:rsidRPr="006325C2">
        <w:t>(from less than once per week to every</w:t>
      </w:r>
      <w:r w:rsidR="0002604E" w:rsidRPr="006325C2">
        <w:t xml:space="preserve"> </w:t>
      </w:r>
      <w:r w:rsidR="00B46C4F" w:rsidRPr="006325C2">
        <w:t xml:space="preserve">day) </w:t>
      </w:r>
      <w:r w:rsidR="00510045" w:rsidRPr="006325C2">
        <w:t xml:space="preserve">and </w:t>
      </w:r>
      <w:r w:rsidR="002F1E8C" w:rsidRPr="006325C2">
        <w:t>how much</w:t>
      </w:r>
      <w:r w:rsidR="00B46C4F" w:rsidRPr="006325C2">
        <w:t xml:space="preserve"> they usually took (from less than 200 mg/d to more than 1000 mg/d for calcium)</w:t>
      </w:r>
      <w:r w:rsidR="00510045" w:rsidRPr="006325C2">
        <w:t xml:space="preserve">. </w:t>
      </w:r>
      <w:r w:rsidR="00BE44DD" w:rsidRPr="006325C2">
        <w:t xml:space="preserve">Most cohorts </w:t>
      </w:r>
      <w:r w:rsidRPr="006325C2">
        <w:t>estimated</w:t>
      </w:r>
      <w:r w:rsidR="00C47E67" w:rsidRPr="006325C2">
        <w:t xml:space="preserve"> </w:t>
      </w:r>
      <w:r w:rsidR="00BE44DD" w:rsidRPr="006325C2">
        <w:t xml:space="preserve">supplemental calcium intakes from </w:t>
      </w:r>
      <w:r w:rsidR="00624466" w:rsidRPr="006325C2">
        <w:t xml:space="preserve">both </w:t>
      </w:r>
      <w:r w:rsidR="00C47E67" w:rsidRPr="006325C2">
        <w:t xml:space="preserve">calcium supplements </w:t>
      </w:r>
      <w:r w:rsidR="00624466" w:rsidRPr="006325C2">
        <w:t>and</w:t>
      </w:r>
      <w:r w:rsidR="00C47E67" w:rsidRPr="006325C2">
        <w:t xml:space="preserve"> multivitamins</w:t>
      </w:r>
      <w:r w:rsidR="00BE44DD" w:rsidRPr="006325C2">
        <w:t xml:space="preserve">, except that the SCCS asked </w:t>
      </w:r>
      <w:r w:rsidR="00BC25C1" w:rsidRPr="006325C2">
        <w:t xml:space="preserve">only </w:t>
      </w:r>
      <w:r w:rsidR="00BE44DD" w:rsidRPr="006325C2">
        <w:t xml:space="preserve">about </w:t>
      </w:r>
      <w:r w:rsidR="00624466" w:rsidRPr="006325C2">
        <w:t xml:space="preserve">the </w:t>
      </w:r>
      <w:r w:rsidR="00C47E67" w:rsidRPr="006325C2">
        <w:t xml:space="preserve">use of </w:t>
      </w:r>
      <w:r w:rsidR="00BE44DD" w:rsidRPr="006325C2">
        <w:t xml:space="preserve">calcium </w:t>
      </w:r>
      <w:r w:rsidR="00624466" w:rsidRPr="006325C2">
        <w:t>supplements</w:t>
      </w:r>
      <w:r w:rsidR="00BE44DD" w:rsidRPr="006325C2">
        <w:t xml:space="preserve">.   </w:t>
      </w:r>
    </w:p>
    <w:p w:rsidR="00401465" w:rsidRPr="006325C2" w:rsidRDefault="00401465" w:rsidP="00434502">
      <w:pPr>
        <w:spacing w:before="60" w:after="0" w:line="480" w:lineRule="auto"/>
        <w:rPr>
          <w:b/>
        </w:rPr>
      </w:pPr>
      <w:r w:rsidRPr="006325C2">
        <w:rPr>
          <w:b/>
        </w:rPr>
        <w:t xml:space="preserve">Assessment of </w:t>
      </w:r>
      <w:r w:rsidR="00867F21" w:rsidRPr="006325C2">
        <w:rPr>
          <w:b/>
        </w:rPr>
        <w:t>L</w:t>
      </w:r>
      <w:r w:rsidRPr="006325C2">
        <w:rPr>
          <w:b/>
        </w:rPr>
        <w:t xml:space="preserve">ung </w:t>
      </w:r>
      <w:r w:rsidR="00867F21" w:rsidRPr="006325C2">
        <w:rPr>
          <w:b/>
        </w:rPr>
        <w:t>C</w:t>
      </w:r>
      <w:r w:rsidRPr="006325C2">
        <w:rPr>
          <w:b/>
        </w:rPr>
        <w:t xml:space="preserve">ancer </w:t>
      </w:r>
      <w:r w:rsidR="00867F21" w:rsidRPr="006325C2">
        <w:rPr>
          <w:b/>
        </w:rPr>
        <w:t>I</w:t>
      </w:r>
      <w:r w:rsidRPr="006325C2">
        <w:rPr>
          <w:b/>
        </w:rPr>
        <w:t xml:space="preserve">ncidence and </w:t>
      </w:r>
      <w:r w:rsidR="00867F21" w:rsidRPr="006325C2">
        <w:rPr>
          <w:b/>
        </w:rPr>
        <w:t>S</w:t>
      </w:r>
      <w:r w:rsidRPr="006325C2">
        <w:rPr>
          <w:b/>
        </w:rPr>
        <w:t>urvival</w:t>
      </w:r>
      <w:r w:rsidR="00BC25C1" w:rsidRPr="006325C2">
        <w:rPr>
          <w:b/>
        </w:rPr>
        <w:t xml:space="preserve"> </w:t>
      </w:r>
    </w:p>
    <w:p w:rsidR="000303DC" w:rsidRPr="006325C2" w:rsidRDefault="00CC6A4B" w:rsidP="00434502">
      <w:pPr>
        <w:spacing w:before="60" w:after="0" w:line="480" w:lineRule="auto"/>
      </w:pPr>
      <w:r w:rsidRPr="006325C2">
        <w:t xml:space="preserve">Incident cancer cases </w:t>
      </w:r>
      <w:r w:rsidR="00601DCF" w:rsidRPr="006325C2">
        <w:t xml:space="preserve">and the vital status of cancer patients </w:t>
      </w:r>
      <w:r w:rsidRPr="006325C2">
        <w:t xml:space="preserve">were identified in each </w:t>
      </w:r>
      <w:r w:rsidR="004A7778" w:rsidRPr="006325C2">
        <w:t>cohort</w:t>
      </w:r>
      <w:r w:rsidRPr="006325C2">
        <w:t xml:space="preserve"> through linkage</w:t>
      </w:r>
      <w:r w:rsidR="00C47E67" w:rsidRPr="006325C2">
        <w:t>s</w:t>
      </w:r>
      <w:r w:rsidRPr="006325C2">
        <w:t xml:space="preserve"> with regional or national cancer registries</w:t>
      </w:r>
      <w:r w:rsidR="000F5326" w:rsidRPr="006325C2">
        <w:t xml:space="preserve"> and</w:t>
      </w:r>
      <w:r w:rsidR="008318B1" w:rsidRPr="006325C2">
        <w:t xml:space="preserve"> </w:t>
      </w:r>
      <w:r w:rsidR="00601DCF" w:rsidRPr="006325C2">
        <w:t xml:space="preserve">death registries, </w:t>
      </w:r>
      <w:r w:rsidRPr="006325C2">
        <w:t>follow-up</w:t>
      </w:r>
      <w:r w:rsidR="008318B1" w:rsidRPr="006325C2">
        <w:t xml:space="preserve"> interviews with</w:t>
      </w:r>
      <w:r w:rsidRPr="006325C2">
        <w:t xml:space="preserve"> cohort participants</w:t>
      </w:r>
      <w:r w:rsidR="00601DCF" w:rsidRPr="006325C2">
        <w:t xml:space="preserve"> or their next of kin</w:t>
      </w:r>
      <w:r w:rsidR="008318B1" w:rsidRPr="006325C2">
        <w:t xml:space="preserve">, review of </w:t>
      </w:r>
      <w:r w:rsidR="00601DCF" w:rsidRPr="006325C2">
        <w:t xml:space="preserve">medical records </w:t>
      </w:r>
      <w:r w:rsidR="000F5326" w:rsidRPr="006325C2">
        <w:t>and/</w:t>
      </w:r>
      <w:r w:rsidR="00601DCF" w:rsidRPr="006325C2">
        <w:t>or death certificates, or these methods combined</w:t>
      </w:r>
      <w:r w:rsidRPr="006325C2">
        <w:t xml:space="preserve">. </w:t>
      </w:r>
      <w:r w:rsidR="00036810" w:rsidRPr="006325C2">
        <w:t>C</w:t>
      </w:r>
      <w:r w:rsidRPr="006325C2">
        <w:t>ancer</w:t>
      </w:r>
      <w:r w:rsidR="00E12DE4" w:rsidRPr="006325C2">
        <w:t>s of the bronchus and lung</w:t>
      </w:r>
      <w:r w:rsidRPr="006325C2">
        <w:t xml:space="preserve"> were ascertained by the </w:t>
      </w:r>
      <w:r w:rsidRPr="006325C2">
        <w:rPr>
          <w:i/>
        </w:rPr>
        <w:t>International Classification of Diseases</w:t>
      </w:r>
      <w:r w:rsidR="003B0C06" w:rsidRPr="006325C2">
        <w:rPr>
          <w:i/>
        </w:rPr>
        <w:t xml:space="preserve"> </w:t>
      </w:r>
      <w:r w:rsidRPr="006325C2">
        <w:t xml:space="preserve">(ICD) codes: </w:t>
      </w:r>
      <w:r w:rsidR="00466744" w:rsidRPr="006325C2">
        <w:t>162</w:t>
      </w:r>
      <w:r w:rsidRPr="006325C2">
        <w:t xml:space="preserve"> (ICD-9) </w:t>
      </w:r>
      <w:r w:rsidR="00E7714E" w:rsidRPr="006325C2">
        <w:t xml:space="preserve">or </w:t>
      </w:r>
      <w:r w:rsidRPr="006325C2">
        <w:t xml:space="preserve">C34 (ICD-10). </w:t>
      </w:r>
      <w:r w:rsidR="000303DC" w:rsidRPr="006325C2">
        <w:t>C</w:t>
      </w:r>
      <w:r w:rsidR="00466744" w:rsidRPr="006325C2">
        <w:t>linical</w:t>
      </w:r>
      <w:r w:rsidR="00E12DE4" w:rsidRPr="006325C2">
        <w:t xml:space="preserve"> </w:t>
      </w:r>
      <w:r w:rsidRPr="006325C2">
        <w:t xml:space="preserve">tumor </w:t>
      </w:r>
      <w:r w:rsidR="000F5326" w:rsidRPr="006325C2">
        <w:t>features</w:t>
      </w:r>
      <w:r w:rsidR="004A27C4" w:rsidRPr="006325C2">
        <w:t xml:space="preserve"> were obtained</w:t>
      </w:r>
      <w:r w:rsidR="00E12DE4" w:rsidRPr="006325C2">
        <w:t xml:space="preserve"> when available</w:t>
      </w:r>
      <w:r w:rsidRPr="006325C2">
        <w:t xml:space="preserve">, including </w:t>
      </w:r>
      <w:r w:rsidR="004A27C4" w:rsidRPr="006325C2">
        <w:t>stag</w:t>
      </w:r>
      <w:r w:rsidR="00940905" w:rsidRPr="006325C2">
        <w:t>e, histologic</w:t>
      </w:r>
      <w:r w:rsidR="00E12DE4" w:rsidRPr="006325C2">
        <w:t xml:space="preserve"> type and grade</w:t>
      </w:r>
      <w:r w:rsidR="004A27C4" w:rsidRPr="006325C2">
        <w:t>.</w:t>
      </w:r>
      <w:r w:rsidR="00466744" w:rsidRPr="006325C2">
        <w:t xml:space="preserve"> </w:t>
      </w:r>
      <w:r w:rsidR="00E105CD" w:rsidRPr="006325C2">
        <w:t xml:space="preserve">We </w:t>
      </w:r>
      <w:r w:rsidR="00B40066" w:rsidRPr="006325C2">
        <w:t>harmonized</w:t>
      </w:r>
      <w:r w:rsidR="00E105CD" w:rsidRPr="006325C2">
        <w:t xml:space="preserve"> the tumor information across studies. </w:t>
      </w:r>
      <w:r w:rsidR="00E7714E" w:rsidRPr="006325C2">
        <w:t xml:space="preserve">For </w:t>
      </w:r>
      <w:r w:rsidR="00945497" w:rsidRPr="006325C2">
        <w:t xml:space="preserve">stage, </w:t>
      </w:r>
      <w:r w:rsidR="00466744" w:rsidRPr="006325C2">
        <w:t xml:space="preserve">lung cancer cases were classified </w:t>
      </w:r>
      <w:r w:rsidR="00945497" w:rsidRPr="006325C2">
        <w:t>into</w:t>
      </w:r>
      <w:r w:rsidR="00466744" w:rsidRPr="006325C2">
        <w:t xml:space="preserve"> localized</w:t>
      </w:r>
      <w:r w:rsidR="00945497" w:rsidRPr="006325C2">
        <w:t>, regio</w:t>
      </w:r>
      <w:r w:rsidR="0004026A" w:rsidRPr="006325C2">
        <w:t>nal, distant, and unknown stage</w:t>
      </w:r>
      <w:r w:rsidR="00BF4242" w:rsidRPr="006325C2">
        <w:t>s</w:t>
      </w:r>
      <w:r w:rsidR="00DD3E5E" w:rsidRPr="006325C2">
        <w:t>.</w:t>
      </w:r>
      <w:r w:rsidR="00945497" w:rsidRPr="006325C2">
        <w:t xml:space="preserve"> </w:t>
      </w:r>
      <w:r w:rsidR="00E7714E" w:rsidRPr="006325C2">
        <w:t xml:space="preserve">For </w:t>
      </w:r>
      <w:r w:rsidR="00945497" w:rsidRPr="006325C2">
        <w:t>histolo</w:t>
      </w:r>
      <w:r w:rsidR="00940905" w:rsidRPr="006325C2">
        <w:t>gic type</w:t>
      </w:r>
      <w:r w:rsidR="00945497" w:rsidRPr="006325C2">
        <w:t xml:space="preserve">, </w:t>
      </w:r>
      <w:r w:rsidR="00DD3E5E" w:rsidRPr="006325C2">
        <w:t xml:space="preserve">lung cancer cases were classified into </w:t>
      </w:r>
      <w:r w:rsidR="00945497" w:rsidRPr="006325C2">
        <w:t xml:space="preserve">adenocarcinoma, squamous cell carcinoma, </w:t>
      </w:r>
      <w:r w:rsidR="00D762F5" w:rsidRPr="006325C2">
        <w:t xml:space="preserve">other non-small cell lung cancer, </w:t>
      </w:r>
      <w:r w:rsidR="000608FA" w:rsidRPr="006325C2">
        <w:t>small cell lung cancer,</w:t>
      </w:r>
      <w:r w:rsidR="00945497" w:rsidRPr="006325C2">
        <w:t xml:space="preserve"> </w:t>
      </w:r>
      <w:r w:rsidR="0004026A" w:rsidRPr="006325C2">
        <w:t>and all other types</w:t>
      </w:r>
      <w:r w:rsidR="00DD3E5E" w:rsidRPr="006325C2">
        <w:t>.</w:t>
      </w:r>
      <w:r w:rsidR="0004026A" w:rsidRPr="006325C2">
        <w:t xml:space="preserve"> </w:t>
      </w:r>
      <w:r w:rsidR="00E7714E" w:rsidRPr="006325C2">
        <w:t xml:space="preserve">For </w:t>
      </w:r>
      <w:r w:rsidR="0004026A" w:rsidRPr="006325C2">
        <w:t xml:space="preserve">grade, </w:t>
      </w:r>
      <w:r w:rsidR="00DD3E5E" w:rsidRPr="006325C2">
        <w:t xml:space="preserve">lung cancer cases were classified into </w:t>
      </w:r>
      <w:r w:rsidR="00CE59B7" w:rsidRPr="006325C2">
        <w:t>well-, moderately-, and poorly-</w:t>
      </w:r>
      <w:r w:rsidR="0004026A" w:rsidRPr="006325C2">
        <w:t>differentiated, undifferentiated, and unknown grade</w:t>
      </w:r>
      <w:r w:rsidR="00BF4242" w:rsidRPr="006325C2">
        <w:t>s</w:t>
      </w:r>
      <w:r w:rsidR="0004026A" w:rsidRPr="006325C2">
        <w:t xml:space="preserve">. </w:t>
      </w:r>
      <w:r w:rsidR="00B40066" w:rsidRPr="006325C2">
        <w:t>Lung cancer survival time was counted from the date of lung cancer diagnosis to the date of death or the end of follow-up, whichever came first.</w:t>
      </w:r>
      <w:r w:rsidR="00363B25" w:rsidRPr="006325C2">
        <w:t xml:space="preserve"> Information on year of lung cancer diagnosis and </w:t>
      </w:r>
      <w:r w:rsidR="007923C6" w:rsidRPr="006325C2">
        <w:t xml:space="preserve">whether lung cancer </w:t>
      </w:r>
      <w:r w:rsidR="0002604E" w:rsidRPr="006325C2">
        <w:t>was</w:t>
      </w:r>
      <w:r w:rsidR="007923C6" w:rsidRPr="006325C2">
        <w:t xml:space="preserve"> the </w:t>
      </w:r>
      <w:r w:rsidR="00363B25" w:rsidRPr="006325C2">
        <w:t xml:space="preserve">underlying cause of death was </w:t>
      </w:r>
      <w:r w:rsidR="000F5326" w:rsidRPr="006325C2">
        <w:t>acquired</w:t>
      </w:r>
      <w:r w:rsidR="00363B25" w:rsidRPr="006325C2">
        <w:t xml:space="preserve"> from all participating </w:t>
      </w:r>
      <w:r w:rsidR="000F5326" w:rsidRPr="006325C2">
        <w:t>cohorts</w:t>
      </w:r>
      <w:r w:rsidR="00363B25" w:rsidRPr="006325C2">
        <w:t>.</w:t>
      </w:r>
    </w:p>
    <w:p w:rsidR="001E1950" w:rsidRPr="006325C2" w:rsidRDefault="001E1950" w:rsidP="00434502">
      <w:pPr>
        <w:spacing w:before="60" w:after="0" w:line="480" w:lineRule="auto"/>
        <w:rPr>
          <w:b/>
        </w:rPr>
      </w:pPr>
      <w:r w:rsidRPr="006325C2">
        <w:rPr>
          <w:b/>
        </w:rPr>
        <w:t>Assessment of Non-dietary Covariates</w:t>
      </w:r>
    </w:p>
    <w:p w:rsidR="00AE237B" w:rsidRPr="006325C2" w:rsidRDefault="00A95E9B" w:rsidP="00434502">
      <w:pPr>
        <w:spacing w:before="60" w:after="0" w:line="480" w:lineRule="auto"/>
      </w:pPr>
      <w:r w:rsidRPr="006325C2">
        <w:t>Each study collected baseline information on</w:t>
      </w:r>
      <w:r w:rsidR="00747CFB" w:rsidRPr="006325C2">
        <w:t xml:space="preserve"> soc</w:t>
      </w:r>
      <w:r w:rsidR="007923C6" w:rsidRPr="006325C2">
        <w:t>iodemographics, lifestyle</w:t>
      </w:r>
      <w:r w:rsidR="00CE59B7" w:rsidRPr="006325C2">
        <w:t>s</w:t>
      </w:r>
      <w:r w:rsidR="001E1950" w:rsidRPr="006325C2">
        <w:t>, medical history</w:t>
      </w:r>
      <w:r w:rsidRPr="006325C2">
        <w:t>, and a</w:t>
      </w:r>
      <w:r w:rsidR="001E1950" w:rsidRPr="006325C2">
        <w:t>nthropometrics</w:t>
      </w:r>
      <w:r w:rsidRPr="006325C2">
        <w:t xml:space="preserve">. </w:t>
      </w:r>
      <w:r w:rsidR="00E105CD" w:rsidRPr="006325C2">
        <w:t xml:space="preserve">We harmonized </w:t>
      </w:r>
      <w:r w:rsidR="00BA1D52" w:rsidRPr="006325C2">
        <w:t>these data and generated uniform variables to be used in</w:t>
      </w:r>
      <w:r w:rsidR="000E2951" w:rsidRPr="006325C2">
        <w:t xml:space="preserve"> </w:t>
      </w:r>
      <w:r w:rsidR="00F50D63" w:rsidRPr="006325C2">
        <w:t xml:space="preserve">the </w:t>
      </w:r>
      <w:r w:rsidR="000E2951" w:rsidRPr="006325C2">
        <w:t xml:space="preserve">statistical </w:t>
      </w:r>
      <w:r w:rsidR="00F50D63" w:rsidRPr="006325C2">
        <w:t>analyses</w:t>
      </w:r>
      <w:r w:rsidR="000E2951" w:rsidRPr="006325C2">
        <w:t xml:space="preserve">, including age at </w:t>
      </w:r>
      <w:r w:rsidR="000F5326" w:rsidRPr="006325C2">
        <w:t>baseline</w:t>
      </w:r>
      <w:r w:rsidR="00F50D63" w:rsidRPr="006325C2">
        <w:t xml:space="preserve"> and at diagnosis</w:t>
      </w:r>
      <w:r w:rsidR="000E2951" w:rsidRPr="006325C2">
        <w:t xml:space="preserve"> (years, integer), </w:t>
      </w:r>
      <w:r w:rsidRPr="006325C2">
        <w:t>sex (male</w:t>
      </w:r>
      <w:r w:rsidR="000E2951" w:rsidRPr="006325C2">
        <w:t xml:space="preserve"> or</w:t>
      </w:r>
      <w:r w:rsidRPr="006325C2">
        <w:t xml:space="preserve"> female), race/ethnicity (</w:t>
      </w:r>
      <w:r w:rsidR="00F50D63" w:rsidRPr="006325C2">
        <w:t>non-Hispanic w</w:t>
      </w:r>
      <w:r w:rsidRPr="006325C2">
        <w:t>hite, Black, Asian, or other), education</w:t>
      </w:r>
      <w:r w:rsidR="00CE59B7" w:rsidRPr="006325C2">
        <w:t>al</w:t>
      </w:r>
      <w:r w:rsidR="0093687F" w:rsidRPr="006325C2">
        <w:t xml:space="preserve"> attainment</w:t>
      </w:r>
      <w:r w:rsidRPr="006325C2">
        <w:t xml:space="preserve"> (≤ high school, vocational school or some college, college or graduate school), smoking status (never, former, or current use of cigarette</w:t>
      </w:r>
      <w:r w:rsidR="00CE59B7" w:rsidRPr="006325C2">
        <w:t>s</w:t>
      </w:r>
      <w:r w:rsidRPr="006325C2">
        <w:t>, cigar</w:t>
      </w:r>
      <w:r w:rsidR="00CE59B7" w:rsidRPr="006325C2">
        <w:t>s</w:t>
      </w:r>
      <w:r w:rsidRPr="006325C2">
        <w:t>, or pipe), pack-years of cigarette smoking (continuous), alcohol drinking status (none, moderate, or heavy [</w:t>
      </w:r>
      <w:r w:rsidR="00CD6393" w:rsidRPr="006325C2">
        <w:t>&gt;</w:t>
      </w:r>
      <w:r w:rsidRPr="006325C2">
        <w:t>1</w:t>
      </w:r>
      <w:r w:rsidR="00303E7A" w:rsidRPr="006325C2">
        <w:t>4</w:t>
      </w:r>
      <w:r w:rsidRPr="006325C2">
        <w:t xml:space="preserve"> </w:t>
      </w:r>
      <w:r w:rsidR="00303E7A" w:rsidRPr="006325C2">
        <w:t>g/</w:t>
      </w:r>
      <w:r w:rsidR="005C0F89" w:rsidRPr="006325C2">
        <w:t>d</w:t>
      </w:r>
      <w:r w:rsidRPr="006325C2">
        <w:t xml:space="preserve"> for women and </w:t>
      </w:r>
      <w:r w:rsidR="00CD6393" w:rsidRPr="006325C2">
        <w:t>&gt;</w:t>
      </w:r>
      <w:r w:rsidR="00303E7A" w:rsidRPr="006325C2">
        <w:t>28 g</w:t>
      </w:r>
      <w:r w:rsidR="005C0F89" w:rsidRPr="006325C2">
        <w:t>/d</w:t>
      </w:r>
      <w:r w:rsidR="00303E7A" w:rsidRPr="006325C2">
        <w:t xml:space="preserve"> </w:t>
      </w:r>
      <w:r w:rsidRPr="006325C2">
        <w:t xml:space="preserve">for men]), physical activity level (low, middle, or high [cutoffs: </w:t>
      </w:r>
      <w:r w:rsidR="00CD6393" w:rsidRPr="006325C2">
        <w:t>zero</w:t>
      </w:r>
      <w:r w:rsidRPr="006325C2">
        <w:t xml:space="preserve"> </w:t>
      </w:r>
      <w:r w:rsidR="00CD6393" w:rsidRPr="006325C2">
        <w:t xml:space="preserve">leisure-time physical activity </w:t>
      </w:r>
      <w:r w:rsidRPr="006325C2">
        <w:t xml:space="preserve">and median of non-zero leisure-time physical activity assessed by metabolic equivalents in the EPIC, HPFS, VITAL, WHI, SCCS, SMHS, and SWHS or </w:t>
      </w:r>
      <w:r w:rsidR="00303E7A" w:rsidRPr="006325C2">
        <w:t xml:space="preserve">by </w:t>
      </w:r>
      <w:r w:rsidR="007F1C30" w:rsidRPr="006325C2">
        <w:t xml:space="preserve">hours in the </w:t>
      </w:r>
      <w:r w:rsidR="00456353" w:rsidRPr="006325C2">
        <w:t>NIH-</w:t>
      </w:r>
      <w:r w:rsidR="007F1C30" w:rsidRPr="006325C2">
        <w:t>AARP, IWHS, NHS</w:t>
      </w:r>
      <w:r w:rsidRPr="006325C2">
        <w:t>, and PLCO</w:t>
      </w:r>
      <w:r w:rsidR="00CD6393" w:rsidRPr="006325C2">
        <w:t>;</w:t>
      </w:r>
      <w:r w:rsidRPr="006325C2">
        <w:t xml:space="preserve"> or tertile of total physical activity metabolic equivalents in the JPHC]</w:t>
      </w:r>
      <w:r w:rsidR="009F2978" w:rsidRPr="006325C2">
        <w:t>)</w:t>
      </w:r>
      <w:r w:rsidRPr="006325C2">
        <w:t xml:space="preserve">, </w:t>
      </w:r>
      <w:r w:rsidR="009F2978" w:rsidRPr="006325C2">
        <w:t xml:space="preserve">history of diabetes (yes or no), </w:t>
      </w:r>
      <w:r w:rsidR="0002604E" w:rsidRPr="006325C2">
        <w:t xml:space="preserve">obesity </w:t>
      </w:r>
      <w:r w:rsidRPr="006325C2">
        <w:t>status (body mass index [BMI] &lt;18.5, 18.5-24.99, 25.0-29.99, or ≥30 kg/m</w:t>
      </w:r>
      <w:r w:rsidRPr="006325C2">
        <w:rPr>
          <w:vertAlign w:val="superscript"/>
        </w:rPr>
        <w:t>2</w:t>
      </w:r>
      <w:r w:rsidRPr="006325C2">
        <w:t xml:space="preserve">), </w:t>
      </w:r>
      <w:r w:rsidR="00303E7A" w:rsidRPr="006325C2">
        <w:t>and in women, postmenopausal status (yes or no)</w:t>
      </w:r>
      <w:r w:rsidR="000F5326" w:rsidRPr="006325C2">
        <w:t xml:space="preserve"> and</w:t>
      </w:r>
      <w:r w:rsidR="00303E7A" w:rsidRPr="006325C2">
        <w:t xml:space="preserve"> </w:t>
      </w:r>
      <w:r w:rsidRPr="006325C2">
        <w:t>use of hormone therapy (never or ever)</w:t>
      </w:r>
      <w:r w:rsidR="00303E7A" w:rsidRPr="006325C2">
        <w:t>.</w:t>
      </w:r>
    </w:p>
    <w:p w:rsidR="001E1950" w:rsidRPr="006325C2" w:rsidRDefault="00303E7A" w:rsidP="00434502">
      <w:pPr>
        <w:spacing w:before="60" w:after="0" w:line="480" w:lineRule="auto"/>
        <w:ind w:firstLine="360"/>
      </w:pPr>
      <w:r w:rsidRPr="006325C2">
        <w:t xml:space="preserve"> </w:t>
      </w:r>
      <w:r w:rsidR="0007020E" w:rsidRPr="006325C2">
        <w:t>The proportion of missing values was</w:t>
      </w:r>
      <w:r w:rsidR="0023275F" w:rsidRPr="006325C2">
        <w:t xml:space="preserve"> generally less than 10%</w:t>
      </w:r>
      <w:r w:rsidR="0007020E" w:rsidRPr="006325C2">
        <w:t xml:space="preserve"> </w:t>
      </w:r>
      <w:r w:rsidR="0023275F" w:rsidRPr="006325C2">
        <w:t xml:space="preserve">in each </w:t>
      </w:r>
      <w:r w:rsidR="000416E8" w:rsidRPr="006325C2">
        <w:t>cohort</w:t>
      </w:r>
      <w:r w:rsidR="0023275F" w:rsidRPr="006325C2">
        <w:t xml:space="preserve"> that measured the</w:t>
      </w:r>
      <w:r w:rsidR="007F1C30" w:rsidRPr="006325C2">
        <w:t xml:space="preserve"> variable</w:t>
      </w:r>
      <w:r w:rsidR="0023275F" w:rsidRPr="006325C2">
        <w:t xml:space="preserve">. If </w:t>
      </w:r>
      <w:r w:rsidR="0093687F" w:rsidRPr="006325C2">
        <w:t xml:space="preserve">the </w:t>
      </w:r>
      <w:r w:rsidR="0023275F" w:rsidRPr="006325C2">
        <w:t xml:space="preserve">proportion of missing </w:t>
      </w:r>
      <w:r w:rsidR="0093687F" w:rsidRPr="006325C2">
        <w:t xml:space="preserve">values </w:t>
      </w:r>
      <w:r w:rsidR="0023275F" w:rsidRPr="006325C2">
        <w:t xml:space="preserve">was &lt;3%, we assigned the median non-missing value for continuous variables (e.g. BMI) and </w:t>
      </w:r>
      <w:r w:rsidR="00886927" w:rsidRPr="006325C2">
        <w:t xml:space="preserve">the most frequent category for categorical variables (e.g. education). If </w:t>
      </w:r>
      <w:r w:rsidR="0093687F" w:rsidRPr="006325C2">
        <w:t xml:space="preserve">the </w:t>
      </w:r>
      <w:r w:rsidR="00886927" w:rsidRPr="006325C2">
        <w:t xml:space="preserve">proportion of missing </w:t>
      </w:r>
      <w:r w:rsidR="0093687F" w:rsidRPr="006325C2">
        <w:t xml:space="preserve">variables </w:t>
      </w:r>
      <w:r w:rsidR="00886927" w:rsidRPr="006325C2">
        <w:t>wa</w:t>
      </w:r>
      <w:r w:rsidR="003E6924" w:rsidRPr="006325C2">
        <w:t xml:space="preserve">s ≥3%, we used a </w:t>
      </w:r>
      <w:r w:rsidR="00886927" w:rsidRPr="006325C2">
        <w:t>multivariate imputation to estimate missing value</w:t>
      </w:r>
      <w:r w:rsidR="000F5326" w:rsidRPr="006325C2">
        <w:t xml:space="preserve"> </w:t>
      </w:r>
      <w:r w:rsidR="00C865A6" w:rsidRPr="006325C2">
        <w:t xml:space="preserve">based on </w:t>
      </w:r>
      <w:r w:rsidR="00C94992" w:rsidRPr="006325C2">
        <w:t>other</w:t>
      </w:r>
      <w:r w:rsidR="00C865A6" w:rsidRPr="006325C2">
        <w:t xml:space="preserve"> covariates, calcium intake, energy intake, </w:t>
      </w:r>
      <w:r w:rsidR="007F1C30" w:rsidRPr="006325C2">
        <w:t>and lung</w:t>
      </w:r>
      <w:r w:rsidR="00CD6393" w:rsidRPr="006325C2">
        <w:t xml:space="preserve"> cancer</w:t>
      </w:r>
      <w:r w:rsidR="007F1C30" w:rsidRPr="006325C2">
        <w:t xml:space="preserve"> and death</w:t>
      </w:r>
      <w:r w:rsidR="00CD6393" w:rsidRPr="006325C2">
        <w:t xml:space="preserve"> </w:t>
      </w:r>
      <w:r w:rsidR="00C865A6" w:rsidRPr="006325C2">
        <w:t>outcome</w:t>
      </w:r>
      <w:r w:rsidR="007F1C30" w:rsidRPr="006325C2">
        <w:t>s</w:t>
      </w:r>
      <w:r w:rsidR="00C94992" w:rsidRPr="006325C2">
        <w:t xml:space="preserve"> </w:t>
      </w:r>
      <w:r w:rsidR="000F5326" w:rsidRPr="006325C2">
        <w:t>(fully conditional specification methods in the SAS PROC MI procedure)</w:t>
      </w:r>
      <w:r w:rsidR="00C865A6" w:rsidRPr="006325C2">
        <w:t>.</w:t>
      </w:r>
      <w:r w:rsidR="007F1C30" w:rsidRPr="006325C2">
        <w:t xml:space="preserve"> Missing data</w:t>
      </w:r>
      <w:r w:rsidR="00023AA8" w:rsidRPr="006325C2">
        <w:t xml:space="preserve"> imputation</w:t>
      </w:r>
      <w:r w:rsidR="007F1C30" w:rsidRPr="006325C2">
        <w:t xml:space="preserve"> w</w:t>
      </w:r>
      <w:r w:rsidR="00023AA8" w:rsidRPr="006325C2">
        <w:t>as</w:t>
      </w:r>
      <w:r w:rsidR="007F1C30" w:rsidRPr="006325C2">
        <w:t xml:space="preserve"> processed </w:t>
      </w:r>
      <w:r w:rsidR="00023AA8" w:rsidRPr="006325C2">
        <w:t xml:space="preserve">for </w:t>
      </w:r>
      <w:r w:rsidR="007F1C30" w:rsidRPr="006325C2">
        <w:t xml:space="preserve">each </w:t>
      </w:r>
      <w:r w:rsidR="000416E8" w:rsidRPr="006325C2">
        <w:t>cohort</w:t>
      </w:r>
      <w:r w:rsidR="007F1C30" w:rsidRPr="006325C2">
        <w:t xml:space="preserve"> separately. </w:t>
      </w:r>
      <w:r w:rsidR="00CC3E07" w:rsidRPr="006325C2">
        <w:t>Specifically</w:t>
      </w:r>
      <w:r w:rsidR="003A3E24" w:rsidRPr="006325C2">
        <w:t xml:space="preserve">, </w:t>
      </w:r>
      <w:r w:rsidR="006A6C1F" w:rsidRPr="006325C2">
        <w:t xml:space="preserve">in </w:t>
      </w:r>
      <w:r w:rsidR="001122E2" w:rsidRPr="006325C2">
        <w:t>the JPHC</w:t>
      </w:r>
      <w:r w:rsidR="006A6C1F" w:rsidRPr="006325C2">
        <w:t>,</w:t>
      </w:r>
      <w:r w:rsidR="001122E2" w:rsidRPr="006325C2">
        <w:t xml:space="preserve"> </w:t>
      </w:r>
      <w:r w:rsidR="00CC3E07" w:rsidRPr="006325C2">
        <w:t>C</w:t>
      </w:r>
      <w:r w:rsidR="001122E2" w:rsidRPr="006325C2">
        <w:t xml:space="preserve">ohort I did not have </w:t>
      </w:r>
      <w:r w:rsidR="005B1B6A" w:rsidRPr="006325C2">
        <w:t xml:space="preserve">data on </w:t>
      </w:r>
      <w:r w:rsidR="001122E2" w:rsidRPr="006325C2">
        <w:t>physical act</w:t>
      </w:r>
      <w:r w:rsidR="005B1B6A" w:rsidRPr="006325C2">
        <w:t>ivity metabolic equivalents</w:t>
      </w:r>
      <w:r w:rsidR="001122E2" w:rsidRPr="006325C2">
        <w:t xml:space="preserve"> and </w:t>
      </w:r>
      <w:r w:rsidR="00CC3E07" w:rsidRPr="006325C2">
        <w:t>C</w:t>
      </w:r>
      <w:r w:rsidR="001122E2" w:rsidRPr="006325C2">
        <w:t xml:space="preserve">ohort II did not collect </w:t>
      </w:r>
      <w:r w:rsidR="005B1B6A" w:rsidRPr="006325C2">
        <w:t xml:space="preserve">information on </w:t>
      </w:r>
      <w:r w:rsidR="001122E2" w:rsidRPr="006325C2">
        <w:t>education</w:t>
      </w:r>
      <w:r w:rsidR="005B1B6A" w:rsidRPr="006325C2">
        <w:t xml:space="preserve"> level</w:t>
      </w:r>
      <w:r w:rsidR="006A6C1F" w:rsidRPr="006325C2">
        <w:t>;</w:t>
      </w:r>
      <w:r w:rsidR="001122E2" w:rsidRPr="006325C2">
        <w:t xml:space="preserve"> </w:t>
      </w:r>
      <w:r w:rsidR="006A6C1F" w:rsidRPr="006325C2">
        <w:t>w</w:t>
      </w:r>
      <w:r w:rsidR="001122E2" w:rsidRPr="006325C2">
        <w:t xml:space="preserve">e </w:t>
      </w:r>
      <w:r w:rsidR="003E6924" w:rsidRPr="006325C2">
        <w:t xml:space="preserve">imputed these two variables </w:t>
      </w:r>
      <w:r w:rsidR="00AA0C64" w:rsidRPr="006325C2">
        <w:t xml:space="preserve">using the above described method </w:t>
      </w:r>
      <w:r w:rsidR="003E6924" w:rsidRPr="006325C2">
        <w:t>in</w:t>
      </w:r>
      <w:r w:rsidR="0002604E" w:rsidRPr="006325C2">
        <w:t xml:space="preserve"> </w:t>
      </w:r>
      <w:r w:rsidR="003E6924" w:rsidRPr="006325C2">
        <w:t xml:space="preserve">JPHC </w:t>
      </w:r>
      <w:r w:rsidR="00CC3E07" w:rsidRPr="006325C2">
        <w:t>C</w:t>
      </w:r>
      <w:r w:rsidR="003E6924" w:rsidRPr="006325C2">
        <w:t xml:space="preserve">ohort I and II </w:t>
      </w:r>
      <w:r w:rsidR="0063236A">
        <w:t xml:space="preserve">data </w:t>
      </w:r>
      <w:r w:rsidR="00CC3E07" w:rsidRPr="006325C2">
        <w:t>combined</w:t>
      </w:r>
      <w:r w:rsidR="003E6924" w:rsidRPr="006325C2">
        <w:t>.</w:t>
      </w:r>
    </w:p>
    <w:p w:rsidR="00FD40B5" w:rsidRPr="006325C2" w:rsidRDefault="00FD40B5" w:rsidP="00434502">
      <w:pPr>
        <w:spacing w:before="60" w:after="0" w:line="480" w:lineRule="auto"/>
        <w:rPr>
          <w:b/>
        </w:rPr>
      </w:pPr>
      <w:r w:rsidRPr="006325C2">
        <w:rPr>
          <w:b/>
        </w:rPr>
        <w:t>Analytic population</w:t>
      </w:r>
    </w:p>
    <w:p w:rsidR="00D51FAD" w:rsidRPr="006325C2" w:rsidRDefault="00DA1A71" w:rsidP="00434502">
      <w:pPr>
        <w:spacing w:before="60" w:after="0" w:line="480" w:lineRule="auto"/>
      </w:pPr>
      <w:r w:rsidRPr="006325C2">
        <w:t>P</w:t>
      </w:r>
      <w:r w:rsidR="00D51FAD" w:rsidRPr="006325C2">
        <w:t xml:space="preserve">articipants </w:t>
      </w:r>
      <w:r w:rsidRPr="006325C2">
        <w:t>were excluded if they</w:t>
      </w:r>
      <w:r w:rsidR="00D51FAD" w:rsidRPr="006325C2">
        <w:t xml:space="preserve"> </w:t>
      </w:r>
      <w:r w:rsidR="00CB49EE" w:rsidRPr="006325C2">
        <w:t xml:space="preserve">had </w:t>
      </w:r>
      <w:r w:rsidR="00D51FAD" w:rsidRPr="006325C2">
        <w:t xml:space="preserve">1) </w:t>
      </w:r>
      <w:r w:rsidR="0093687F" w:rsidRPr="006325C2">
        <w:t xml:space="preserve">a </w:t>
      </w:r>
      <w:r w:rsidR="00CB49EE" w:rsidRPr="006325C2">
        <w:t>history of</w:t>
      </w:r>
      <w:r w:rsidR="00D51FAD" w:rsidRPr="006325C2">
        <w:t xml:space="preserve"> any cancer except non-melanoma skin cancer</w:t>
      </w:r>
      <w:r w:rsidR="00B13CDF" w:rsidRPr="006325C2">
        <w:t xml:space="preserve"> prior to diagnosis of lung cancer</w:t>
      </w:r>
      <w:r w:rsidR="00D51FAD" w:rsidRPr="006325C2">
        <w:t xml:space="preserve">, 2) </w:t>
      </w:r>
      <w:r w:rsidR="00CB49EE" w:rsidRPr="006325C2">
        <w:t>missing</w:t>
      </w:r>
      <w:r w:rsidR="002D6FAC" w:rsidRPr="006325C2">
        <w:t xml:space="preserve"> </w:t>
      </w:r>
      <w:r w:rsidR="00D762F5" w:rsidRPr="006325C2">
        <w:t xml:space="preserve">diagnosis </w:t>
      </w:r>
      <w:r w:rsidR="00565619" w:rsidRPr="006325C2">
        <w:t xml:space="preserve">or </w:t>
      </w:r>
      <w:r w:rsidR="002F2306" w:rsidRPr="006325C2">
        <w:t>survival</w:t>
      </w:r>
      <w:r w:rsidR="000303DC" w:rsidRPr="006325C2">
        <w:t xml:space="preserve"> </w:t>
      </w:r>
      <w:r w:rsidR="002D6FAC" w:rsidRPr="006325C2">
        <w:t>time information</w:t>
      </w:r>
      <w:r w:rsidR="00565619" w:rsidRPr="006325C2">
        <w:t xml:space="preserve">, </w:t>
      </w:r>
      <w:r w:rsidR="002F2306" w:rsidRPr="006325C2">
        <w:t>3</w:t>
      </w:r>
      <w:r w:rsidR="00565619" w:rsidRPr="006325C2">
        <w:t>) missing</w:t>
      </w:r>
      <w:r w:rsidR="000303DC" w:rsidRPr="006325C2">
        <w:t xml:space="preserve"> </w:t>
      </w:r>
      <w:r w:rsidR="00B13CDF" w:rsidRPr="006325C2">
        <w:t xml:space="preserve">calcium intakes or </w:t>
      </w:r>
      <w:r w:rsidR="00CB49EE" w:rsidRPr="006325C2">
        <w:t xml:space="preserve">smoking </w:t>
      </w:r>
      <w:r w:rsidR="00565619" w:rsidRPr="006325C2">
        <w:t xml:space="preserve">status </w:t>
      </w:r>
      <w:r w:rsidR="00B13CDF" w:rsidRPr="006325C2">
        <w:t>information</w:t>
      </w:r>
      <w:r w:rsidR="00CB49EE" w:rsidRPr="006325C2">
        <w:t xml:space="preserve">, or </w:t>
      </w:r>
      <w:r w:rsidR="002F2306" w:rsidRPr="006325C2">
        <w:t>4</w:t>
      </w:r>
      <w:r w:rsidR="00CB49EE" w:rsidRPr="006325C2">
        <w:t xml:space="preserve">) implausible </w:t>
      </w:r>
      <w:r w:rsidR="002F2306" w:rsidRPr="006325C2">
        <w:t xml:space="preserve">total </w:t>
      </w:r>
      <w:r w:rsidR="00CB49EE" w:rsidRPr="006325C2">
        <w:t xml:space="preserve">energy intake (beyond </w:t>
      </w:r>
      <w:r w:rsidR="00CD2ADB" w:rsidRPr="006325C2">
        <w:t>three</w:t>
      </w:r>
      <w:r w:rsidR="00CB49EE" w:rsidRPr="006325C2">
        <w:t xml:space="preserve"> standard deviations of the cohort- and sex-specific log-transformed mean energy intake or </w:t>
      </w:r>
      <w:r w:rsidR="00BA1D52" w:rsidRPr="006325C2">
        <w:t xml:space="preserve">beyond the </w:t>
      </w:r>
      <w:r w:rsidR="00CB49EE" w:rsidRPr="006325C2">
        <w:t xml:space="preserve">pre-determined </w:t>
      </w:r>
      <w:r w:rsidR="00AE5E21" w:rsidRPr="006325C2">
        <w:t>range</w:t>
      </w:r>
      <w:r w:rsidR="00CB49EE" w:rsidRPr="006325C2">
        <w:t xml:space="preserve"> </w:t>
      </w:r>
      <w:r w:rsidR="00BA1D52" w:rsidRPr="006325C2">
        <w:t>in</w:t>
      </w:r>
      <w:r w:rsidR="007F1C30" w:rsidRPr="006325C2">
        <w:t xml:space="preserve"> </w:t>
      </w:r>
      <w:r w:rsidR="00F50D63" w:rsidRPr="006325C2">
        <w:t xml:space="preserve">six </w:t>
      </w:r>
      <w:r w:rsidR="007F1C30" w:rsidRPr="006325C2">
        <w:t>cohorts: HPFS, NHS</w:t>
      </w:r>
      <w:r w:rsidR="00CB49EE" w:rsidRPr="006325C2">
        <w:t xml:space="preserve">, IWHS, SCCS, </w:t>
      </w:r>
      <w:r w:rsidR="00F50D63" w:rsidRPr="006325C2">
        <w:t xml:space="preserve">VITAL, </w:t>
      </w:r>
      <w:r w:rsidR="00CB49EE" w:rsidRPr="006325C2">
        <w:t xml:space="preserve">and WHI). </w:t>
      </w:r>
      <w:r w:rsidR="00160212" w:rsidRPr="006325C2">
        <w:t xml:space="preserve">A total of </w:t>
      </w:r>
      <w:r w:rsidR="00DA312D" w:rsidRPr="006325C2">
        <w:t>24,440</w:t>
      </w:r>
      <w:r w:rsidR="00C313DA" w:rsidRPr="006325C2">
        <w:t xml:space="preserve"> first, primary lung cancer cases diagnosed after the baseline survey </w:t>
      </w:r>
      <w:r w:rsidR="00DA312D" w:rsidRPr="006325C2">
        <w:t>among</w:t>
      </w:r>
      <w:r w:rsidR="00C313DA" w:rsidRPr="006325C2">
        <w:t xml:space="preserve"> </w:t>
      </w:r>
      <w:r w:rsidR="00476BE7" w:rsidRPr="006325C2">
        <w:t>1,679,842</w:t>
      </w:r>
      <w:r w:rsidR="00C313DA" w:rsidRPr="006325C2">
        <w:t xml:space="preserve"> eligible</w:t>
      </w:r>
      <w:r w:rsidR="00476BE7" w:rsidRPr="006325C2">
        <w:t xml:space="preserve"> </w:t>
      </w:r>
      <w:r w:rsidR="00C313DA" w:rsidRPr="006325C2">
        <w:t xml:space="preserve">participants of </w:t>
      </w:r>
      <w:r w:rsidR="00B13CDF" w:rsidRPr="006325C2">
        <w:t>t</w:t>
      </w:r>
      <w:r w:rsidR="00F94AB1" w:rsidRPr="006325C2">
        <w:t>he</w:t>
      </w:r>
      <w:r w:rsidR="00476BE7" w:rsidRPr="006325C2">
        <w:t xml:space="preserve"> Calcium and Lung Cancer Pooling Project</w:t>
      </w:r>
      <w:r w:rsidR="00C313DA" w:rsidRPr="006325C2">
        <w:t xml:space="preserve"> were considered eligible for the current study</w:t>
      </w:r>
      <w:r w:rsidR="00476BE7" w:rsidRPr="006325C2">
        <w:t>.</w:t>
      </w:r>
      <w:r w:rsidR="00160212" w:rsidRPr="006325C2">
        <w:t xml:space="preserve"> </w:t>
      </w:r>
      <w:r w:rsidR="00476BE7" w:rsidRPr="006325C2">
        <w:t>We further excluded 1</w:t>
      </w:r>
      <w:r w:rsidR="00096D6D" w:rsidRPr="006325C2">
        <w:t>1</w:t>
      </w:r>
      <w:r w:rsidR="00476BE7" w:rsidRPr="006325C2">
        <w:t xml:space="preserve"> cases with cancer in situ and </w:t>
      </w:r>
      <w:r w:rsidR="00096D6D" w:rsidRPr="006325C2">
        <w:t>547</w:t>
      </w:r>
      <w:r w:rsidR="00476BE7" w:rsidRPr="006325C2">
        <w:t xml:space="preserve"> cases </w:t>
      </w:r>
      <w:r w:rsidR="0093687F" w:rsidRPr="006325C2">
        <w:t xml:space="preserve">that </w:t>
      </w:r>
      <w:r w:rsidR="00476BE7" w:rsidRPr="006325C2">
        <w:t xml:space="preserve">had missing data on </w:t>
      </w:r>
      <w:r w:rsidR="00A82C2B" w:rsidRPr="006325C2">
        <w:t xml:space="preserve">both </w:t>
      </w:r>
      <w:r w:rsidR="00940905" w:rsidRPr="006325C2">
        <w:t>stage</w:t>
      </w:r>
      <w:r w:rsidR="00476BE7" w:rsidRPr="006325C2">
        <w:t xml:space="preserve"> </w:t>
      </w:r>
      <w:r w:rsidR="00940905" w:rsidRPr="006325C2">
        <w:t xml:space="preserve">and </w:t>
      </w:r>
      <w:r w:rsidR="00476BE7" w:rsidRPr="006325C2">
        <w:t>histology</w:t>
      </w:r>
      <w:r w:rsidR="00C313DA" w:rsidRPr="006325C2">
        <w:t xml:space="preserve">, leaving </w:t>
      </w:r>
      <w:r w:rsidR="00476BE7" w:rsidRPr="006325C2">
        <w:t>a</w:t>
      </w:r>
      <w:r w:rsidR="00D51FAD" w:rsidRPr="006325C2">
        <w:t xml:space="preserve"> total of 23,882 </w:t>
      </w:r>
      <w:r w:rsidR="00702579" w:rsidRPr="006325C2">
        <w:t xml:space="preserve">incident </w:t>
      </w:r>
      <w:r w:rsidR="007E6CAC" w:rsidRPr="006325C2">
        <w:t xml:space="preserve">lung cancer </w:t>
      </w:r>
      <w:r w:rsidR="00C313DA" w:rsidRPr="006325C2">
        <w:t xml:space="preserve">cases </w:t>
      </w:r>
      <w:r w:rsidR="00D51FAD" w:rsidRPr="006325C2">
        <w:t>in the present analys</w:t>
      </w:r>
      <w:r w:rsidR="007F1C30" w:rsidRPr="006325C2">
        <w:t>e</w:t>
      </w:r>
      <w:r w:rsidR="00D51FAD" w:rsidRPr="006325C2">
        <w:t>s</w:t>
      </w:r>
      <w:r w:rsidR="00036810" w:rsidRPr="006325C2">
        <w:t>.</w:t>
      </w:r>
      <w:r w:rsidR="00D51FAD" w:rsidRPr="006325C2">
        <w:t xml:space="preserve"> </w:t>
      </w:r>
    </w:p>
    <w:p w:rsidR="00867F21" w:rsidRPr="006325C2" w:rsidRDefault="00867F21" w:rsidP="00434502">
      <w:pPr>
        <w:spacing w:before="60" w:after="0" w:line="480" w:lineRule="auto"/>
        <w:rPr>
          <w:b/>
        </w:rPr>
      </w:pPr>
      <w:r w:rsidRPr="006325C2">
        <w:rPr>
          <w:b/>
        </w:rPr>
        <w:t>Statistical Analysis</w:t>
      </w:r>
    </w:p>
    <w:p w:rsidR="000D71F9" w:rsidRPr="006325C2" w:rsidRDefault="00CD2ADB" w:rsidP="00434502">
      <w:pPr>
        <w:spacing w:before="60" w:after="0" w:line="480" w:lineRule="auto"/>
      </w:pPr>
      <w:r w:rsidRPr="006325C2">
        <w:t>Usual dietary calcium intakes were calculated and compared a</w:t>
      </w:r>
      <w:r w:rsidR="000D71F9" w:rsidRPr="006325C2">
        <w:t xml:space="preserve">mong lung cancer patients with </w:t>
      </w:r>
      <w:r w:rsidRPr="006325C2">
        <w:t>different</w:t>
      </w:r>
      <w:r w:rsidR="000D71F9" w:rsidRPr="006325C2">
        <w:t xml:space="preserve"> </w:t>
      </w:r>
      <w:r w:rsidR="001824F9" w:rsidRPr="006325C2">
        <w:t>baseline characteristics</w:t>
      </w:r>
      <w:r w:rsidR="000D71F9" w:rsidRPr="006325C2">
        <w:t xml:space="preserve"> and tumor</w:t>
      </w:r>
      <w:r w:rsidR="001824F9" w:rsidRPr="006325C2">
        <w:t xml:space="preserve"> features</w:t>
      </w:r>
      <w:r w:rsidR="005A4667" w:rsidRPr="006325C2">
        <w:t xml:space="preserve"> using</w:t>
      </w:r>
      <w:r w:rsidR="005C0F89" w:rsidRPr="006325C2">
        <w:t xml:space="preserve"> </w:t>
      </w:r>
      <w:r w:rsidR="005A4667" w:rsidRPr="006325C2">
        <w:t xml:space="preserve">the </w:t>
      </w:r>
      <w:r w:rsidR="000D71F9" w:rsidRPr="006325C2">
        <w:t>general linear model (adjusted for age</w:t>
      </w:r>
      <w:r w:rsidR="005C539A" w:rsidRPr="006325C2">
        <w:t xml:space="preserve"> at baseline, sex,</w:t>
      </w:r>
      <w:r w:rsidR="000D71F9" w:rsidRPr="006325C2">
        <w:t xml:space="preserve"> and </w:t>
      </w:r>
      <w:r w:rsidR="005C0F89" w:rsidRPr="006325C2">
        <w:t xml:space="preserve">total </w:t>
      </w:r>
      <w:r w:rsidR="000D71F9" w:rsidRPr="006325C2">
        <w:t>energy intake)</w:t>
      </w:r>
      <w:r w:rsidRPr="006325C2">
        <w:t xml:space="preserve">. </w:t>
      </w:r>
      <w:r w:rsidR="005A4667" w:rsidRPr="006325C2">
        <w:t xml:space="preserve">Corresponding </w:t>
      </w:r>
      <w:r w:rsidR="000D71F9" w:rsidRPr="006325C2">
        <w:t xml:space="preserve">5-year survival rates </w:t>
      </w:r>
      <w:r w:rsidR="001824F9" w:rsidRPr="006325C2">
        <w:t xml:space="preserve">were </w:t>
      </w:r>
      <w:r w:rsidR="00C313DA" w:rsidRPr="006325C2">
        <w:t xml:space="preserve">estimated by </w:t>
      </w:r>
      <w:r w:rsidR="0093687F" w:rsidRPr="006325C2">
        <w:t xml:space="preserve">the </w:t>
      </w:r>
      <w:r w:rsidR="00F50D63" w:rsidRPr="006325C2">
        <w:t>life-table</w:t>
      </w:r>
      <w:r w:rsidR="00C313DA" w:rsidRPr="006325C2">
        <w:t xml:space="preserve"> method</w:t>
      </w:r>
      <w:r w:rsidR="005A4667" w:rsidRPr="006325C2">
        <w:t xml:space="preserve"> and</w:t>
      </w:r>
      <w:r w:rsidR="00C313DA" w:rsidRPr="006325C2">
        <w:t xml:space="preserve"> </w:t>
      </w:r>
      <w:r w:rsidR="009518D4" w:rsidRPr="006325C2">
        <w:rPr>
          <w:i/>
        </w:rPr>
        <w:t>P</w:t>
      </w:r>
      <w:r w:rsidR="009518D4" w:rsidRPr="006325C2">
        <w:t xml:space="preserve"> for differences was </w:t>
      </w:r>
      <w:r w:rsidR="00C313DA" w:rsidRPr="006325C2">
        <w:t xml:space="preserve">evaluated </w:t>
      </w:r>
      <w:r w:rsidR="005C0F89" w:rsidRPr="006325C2">
        <w:t xml:space="preserve">via </w:t>
      </w:r>
      <w:r w:rsidR="00F50D63" w:rsidRPr="006325C2">
        <w:t xml:space="preserve">the </w:t>
      </w:r>
      <w:r w:rsidR="000D71F9" w:rsidRPr="006325C2">
        <w:t>log-rank test</w:t>
      </w:r>
      <w:r w:rsidR="00F50D63" w:rsidRPr="006325C2">
        <w:t xml:space="preserve"> with Bonferroni correction</w:t>
      </w:r>
      <w:r w:rsidR="000D71F9" w:rsidRPr="006325C2">
        <w:t xml:space="preserve">. </w:t>
      </w:r>
    </w:p>
    <w:p w:rsidR="00720AE8" w:rsidRPr="006325C2" w:rsidRDefault="00621361" w:rsidP="00434502">
      <w:pPr>
        <w:spacing w:before="60" w:after="0" w:line="480" w:lineRule="auto"/>
        <w:ind w:firstLine="360"/>
      </w:pPr>
      <w:r w:rsidRPr="006325C2">
        <w:t>The</w:t>
      </w:r>
      <w:r w:rsidR="000D71F9" w:rsidRPr="006325C2">
        <w:t xml:space="preserve"> Cox proportional hazard model </w:t>
      </w:r>
      <w:r w:rsidRPr="006325C2">
        <w:t xml:space="preserve">was used </w:t>
      </w:r>
      <w:r w:rsidR="0096235E" w:rsidRPr="006325C2">
        <w:t>to estimate hazard ratio</w:t>
      </w:r>
      <w:r w:rsidR="00DC32E1" w:rsidRPr="006325C2">
        <w:t>s</w:t>
      </w:r>
      <w:r w:rsidR="000D71F9" w:rsidRPr="006325C2">
        <w:t xml:space="preserve"> (HR</w:t>
      </w:r>
      <w:r w:rsidR="00DC32E1" w:rsidRPr="006325C2">
        <w:t>s</w:t>
      </w:r>
      <w:r w:rsidR="000D71F9" w:rsidRPr="006325C2">
        <w:t>) and 95% confidence interval</w:t>
      </w:r>
      <w:r w:rsidR="00DC32E1" w:rsidRPr="006325C2">
        <w:t>s</w:t>
      </w:r>
      <w:r w:rsidR="000D71F9" w:rsidRPr="006325C2">
        <w:t xml:space="preserve"> (95% CI</w:t>
      </w:r>
      <w:r w:rsidR="00DC32E1" w:rsidRPr="006325C2">
        <w:t>s</w:t>
      </w:r>
      <w:r w:rsidR="000D71F9" w:rsidRPr="006325C2">
        <w:t xml:space="preserve">) of death among lung cancer patients with different </w:t>
      </w:r>
      <w:r w:rsidR="000416E8" w:rsidRPr="006325C2">
        <w:t xml:space="preserve">prediagnostic </w:t>
      </w:r>
      <w:r w:rsidR="000D71F9" w:rsidRPr="006325C2">
        <w:t>calcium intakes.</w:t>
      </w:r>
      <w:r w:rsidR="00EE0EB1" w:rsidRPr="006325C2">
        <w:t xml:space="preserve"> </w:t>
      </w:r>
      <w:r w:rsidR="000D71F9" w:rsidRPr="006325C2">
        <w:t>The Cox model was stratified by cohort, year of lung cancer diagnosis (5-year intervals from earlier than 1990 to later than 2010)</w:t>
      </w:r>
      <w:r w:rsidR="0073486A" w:rsidRPr="006325C2">
        <w:t xml:space="preserve">, and time </w:t>
      </w:r>
      <w:r w:rsidR="007B6AFC" w:rsidRPr="006325C2">
        <w:t>interval</w:t>
      </w:r>
      <w:r w:rsidR="0073486A" w:rsidRPr="006325C2">
        <w:t xml:space="preserve"> between dietary assessment and lung cancer diagnosis (&lt;4, 4-7, 7-10, and &gt;10 years</w:t>
      </w:r>
      <w:r w:rsidR="005D5705" w:rsidRPr="006325C2">
        <w:t xml:space="preserve">, </w:t>
      </w:r>
      <w:r w:rsidR="005C0F89" w:rsidRPr="006325C2">
        <w:t>according to</w:t>
      </w:r>
      <w:r w:rsidR="005D5705" w:rsidRPr="006325C2">
        <w:t xml:space="preserve"> </w:t>
      </w:r>
      <w:r w:rsidR="000416E8" w:rsidRPr="006325C2">
        <w:t xml:space="preserve">the </w:t>
      </w:r>
      <w:r w:rsidR="005D5705" w:rsidRPr="006325C2">
        <w:t>quartile distribution</w:t>
      </w:r>
      <w:r w:rsidR="0073486A" w:rsidRPr="006325C2">
        <w:t xml:space="preserve">). </w:t>
      </w:r>
      <w:r w:rsidR="007B6AFC" w:rsidRPr="006325C2">
        <w:t>P</w:t>
      </w:r>
      <w:r w:rsidR="0073486A" w:rsidRPr="006325C2">
        <w:t xml:space="preserve">otential confounding factors </w:t>
      </w:r>
      <w:r w:rsidR="00DC6128" w:rsidRPr="006325C2">
        <w:t>that were associated with calcium intake and</w:t>
      </w:r>
      <w:r w:rsidR="005A4667" w:rsidRPr="006325C2">
        <w:t>/or</w:t>
      </w:r>
      <w:r w:rsidR="00DC6128" w:rsidRPr="006325C2">
        <w:t xml:space="preserve"> lung cancer survival </w:t>
      </w:r>
      <w:r w:rsidR="0073486A" w:rsidRPr="006325C2">
        <w:t>w</w:t>
      </w:r>
      <w:r w:rsidR="007B6AFC" w:rsidRPr="006325C2">
        <w:t>ere</w:t>
      </w:r>
      <w:r w:rsidR="0073486A" w:rsidRPr="006325C2">
        <w:t xml:space="preserve"> adjusted</w:t>
      </w:r>
      <w:r w:rsidR="00FF7B7A" w:rsidRPr="006325C2">
        <w:t xml:space="preserve"> for</w:t>
      </w:r>
      <w:r w:rsidR="0073486A" w:rsidRPr="006325C2">
        <w:t>, including age at diagnosis, total energy intake</w:t>
      </w:r>
      <w:r w:rsidR="00DD4FF7" w:rsidRPr="006325C2">
        <w:t>, sex,</w:t>
      </w:r>
      <w:r w:rsidR="0073486A" w:rsidRPr="006325C2">
        <w:t xml:space="preserve"> race/ethnicity, education, smoking status, pack-years of cigarette smoking</w:t>
      </w:r>
      <w:r w:rsidR="0085661B" w:rsidRPr="006325C2">
        <w:t xml:space="preserve">, </w:t>
      </w:r>
      <w:r w:rsidR="0073486A" w:rsidRPr="006325C2">
        <w:t xml:space="preserve">alcohol </w:t>
      </w:r>
      <w:r w:rsidR="000C7CA0" w:rsidRPr="006325C2">
        <w:t>consumption</w:t>
      </w:r>
      <w:r w:rsidR="0073486A" w:rsidRPr="006325C2">
        <w:t xml:space="preserve">, </w:t>
      </w:r>
      <w:r w:rsidR="000C7CA0" w:rsidRPr="006325C2">
        <w:t>physical activity level</w:t>
      </w:r>
      <w:r w:rsidR="007109EA" w:rsidRPr="006325C2">
        <w:t>,</w:t>
      </w:r>
      <w:r w:rsidR="0073486A" w:rsidRPr="006325C2">
        <w:t xml:space="preserve"> </w:t>
      </w:r>
      <w:r w:rsidR="00BE50C6" w:rsidRPr="006325C2">
        <w:t xml:space="preserve">history of diabetes, </w:t>
      </w:r>
      <w:r w:rsidR="0073486A" w:rsidRPr="006325C2">
        <w:t>obes</w:t>
      </w:r>
      <w:r w:rsidR="00D33262" w:rsidRPr="006325C2">
        <w:t>ity</w:t>
      </w:r>
      <w:r w:rsidR="0073486A" w:rsidRPr="006325C2">
        <w:t xml:space="preserve"> status, </w:t>
      </w:r>
      <w:r w:rsidR="008B26E8" w:rsidRPr="006325C2">
        <w:t xml:space="preserve">use of </w:t>
      </w:r>
      <w:r w:rsidR="0073486A" w:rsidRPr="006325C2">
        <w:t xml:space="preserve">hormone therapy in women, and the </w:t>
      </w:r>
      <w:r w:rsidR="005D5705" w:rsidRPr="006325C2">
        <w:t xml:space="preserve">stage, </w:t>
      </w:r>
      <w:r w:rsidR="0073486A" w:rsidRPr="006325C2">
        <w:t>histo</w:t>
      </w:r>
      <w:r w:rsidR="005D5705" w:rsidRPr="006325C2">
        <w:t>logic type,</w:t>
      </w:r>
      <w:r w:rsidR="0073486A" w:rsidRPr="006325C2">
        <w:t xml:space="preserve"> and grade</w:t>
      </w:r>
      <w:r w:rsidR="008B26E8" w:rsidRPr="006325C2">
        <w:t xml:space="preserve"> </w:t>
      </w:r>
      <w:r w:rsidR="0073486A" w:rsidRPr="006325C2">
        <w:t>of lung cancer</w:t>
      </w:r>
      <w:r w:rsidR="008B26E8" w:rsidRPr="006325C2">
        <w:t xml:space="preserve">. </w:t>
      </w:r>
      <w:r w:rsidR="00720AE8" w:rsidRPr="006325C2">
        <w:t>Considering the interplay of calcium, magnesium, vitamin D, and phosphorus, we further adjusted for</w:t>
      </w:r>
      <w:r w:rsidR="00855E2E" w:rsidRPr="006325C2">
        <w:t xml:space="preserve">, when </w:t>
      </w:r>
      <w:r w:rsidR="002072BF" w:rsidRPr="006325C2">
        <w:t xml:space="preserve">data </w:t>
      </w:r>
      <w:r w:rsidR="0093687F" w:rsidRPr="006325C2">
        <w:t>were</w:t>
      </w:r>
      <w:r w:rsidR="002072BF" w:rsidRPr="006325C2">
        <w:t xml:space="preserve"> available</w:t>
      </w:r>
      <w:r w:rsidR="00855E2E" w:rsidRPr="006325C2">
        <w:t>,</w:t>
      </w:r>
      <w:r w:rsidR="00720AE8" w:rsidRPr="006325C2">
        <w:t xml:space="preserve"> dietary intakes of magnesium</w:t>
      </w:r>
      <w:r w:rsidR="00681871" w:rsidRPr="006325C2">
        <w:t xml:space="preserve"> (in all cohorts)</w:t>
      </w:r>
      <w:r w:rsidR="00720AE8" w:rsidRPr="006325C2">
        <w:t>, vitamin D</w:t>
      </w:r>
      <w:r w:rsidR="00681871" w:rsidRPr="006325C2">
        <w:t xml:space="preserve"> (</w:t>
      </w:r>
      <w:r w:rsidR="00FF136A" w:rsidRPr="006325C2">
        <w:t xml:space="preserve">in </w:t>
      </w:r>
      <w:r w:rsidR="00681871" w:rsidRPr="006325C2">
        <w:t>9 cohorts)</w:t>
      </w:r>
      <w:r w:rsidR="00720AE8" w:rsidRPr="006325C2">
        <w:t xml:space="preserve">, and phosphorus </w:t>
      </w:r>
      <w:r w:rsidR="00681871" w:rsidRPr="006325C2">
        <w:t>(</w:t>
      </w:r>
      <w:r w:rsidR="00FF136A" w:rsidRPr="006325C2">
        <w:t xml:space="preserve">in </w:t>
      </w:r>
      <w:r w:rsidR="00681871" w:rsidRPr="006325C2">
        <w:t>all cohorts)</w:t>
      </w:r>
      <w:r w:rsidR="00720AE8" w:rsidRPr="006325C2">
        <w:t xml:space="preserve">, individually or together, with or without interaction terms with calcium. </w:t>
      </w:r>
      <w:r w:rsidR="00FF7B7A" w:rsidRPr="006325C2">
        <w:t>However, t</w:t>
      </w:r>
      <w:r w:rsidR="00720AE8" w:rsidRPr="006325C2">
        <w:t xml:space="preserve">he </w:t>
      </w:r>
      <w:r w:rsidR="00FF7B7A" w:rsidRPr="006325C2">
        <w:t>associations</w:t>
      </w:r>
      <w:r w:rsidR="00720AE8" w:rsidRPr="006325C2">
        <w:t xml:space="preserve"> </w:t>
      </w:r>
      <w:r w:rsidR="00FF7B7A" w:rsidRPr="006325C2">
        <w:t>of</w:t>
      </w:r>
      <w:r w:rsidR="00720AE8" w:rsidRPr="006325C2">
        <w:t xml:space="preserve"> dietary calcium </w:t>
      </w:r>
      <w:r w:rsidR="00FF7B7A" w:rsidRPr="006325C2">
        <w:t>with</w:t>
      </w:r>
      <w:r w:rsidR="00720AE8" w:rsidRPr="006325C2">
        <w:t xml:space="preserve"> lung cancer survival were basically unchanged, so these nutrients were not included in the final model. </w:t>
      </w:r>
    </w:p>
    <w:p w:rsidR="00C17CF7" w:rsidRPr="006325C2" w:rsidRDefault="00DD4FF7" w:rsidP="003A14A8">
      <w:pPr>
        <w:spacing w:before="60" w:after="0" w:line="480" w:lineRule="auto"/>
        <w:ind w:firstLine="360"/>
      </w:pPr>
      <w:r w:rsidRPr="006325C2">
        <w:t xml:space="preserve">Calcium intakes were analyzed as categorical variables and as continuous variables. </w:t>
      </w:r>
      <w:r w:rsidR="00616B4D" w:rsidRPr="006325C2">
        <w:t>We used</w:t>
      </w:r>
      <w:r w:rsidR="009A60AA" w:rsidRPr="006325C2">
        <w:t xml:space="preserve"> </w:t>
      </w:r>
      <w:r w:rsidR="00AA3075" w:rsidRPr="006325C2">
        <w:t xml:space="preserve">the </w:t>
      </w:r>
      <w:r w:rsidR="00481480" w:rsidRPr="006325C2">
        <w:rPr>
          <w:i/>
        </w:rPr>
        <w:t>Dietary Reference Intakes</w:t>
      </w:r>
      <w:r w:rsidR="00481480" w:rsidRPr="006325C2">
        <w:t xml:space="preserve"> recommended by the </w:t>
      </w:r>
      <w:r w:rsidR="009F3FDA" w:rsidRPr="006325C2">
        <w:t xml:space="preserve">US </w:t>
      </w:r>
      <w:r w:rsidR="00481480" w:rsidRPr="006325C2">
        <w:t>Institute of Medicine as project-wide cut</w:t>
      </w:r>
      <w:r w:rsidR="002153BF" w:rsidRPr="006325C2">
        <w:t xml:space="preserve"> points</w:t>
      </w:r>
      <w:r w:rsidR="00481480" w:rsidRPr="006325C2">
        <w:t xml:space="preserve"> for dietary and total calcium</w:t>
      </w:r>
      <w:r w:rsidR="00176218" w:rsidRPr="006325C2">
        <w:t xml:space="preserve"> intakes</w:t>
      </w:r>
      <w:r w:rsidR="009F3FDA" w:rsidRPr="006325C2">
        <w:t>.</w:t>
      </w:r>
      <w:r w:rsidR="005C0F89" w:rsidRPr="006325C2">
        <w:fldChar w:fldCharType="begin"/>
      </w:r>
      <w:r w:rsidR="005C0F89" w:rsidRPr="006325C2">
        <w:instrText xml:space="preserve"> ADDIN ZOTERO_ITEM CSL_CITATION {"citationID":"htDV9ECm","properties":{"formattedCitation":"{\\rtf \\super 11\\nosupersub{}}","plainCitation":"11"},"citationItems":[{"id":789,"uris":["http://zotero.org/users/2024628/items/47DWW6EM"],"uri":["http://zotero.org/users/2024628/items/47DWW6EM"],"itemData":{"id":789,"type":"book","title":"Dietary Reference Intakes for Calcium and Vitamin D","collection-title":"The National Academies Collection: Reports funded by National Institutes of Health","publisher":"National Academies Press (US)","publisher-place":"Washington (DC)","source":"PubMed","event-place":"Washington (DC)","abstract":"The charge to the committee (Institute of Medicine Committee to Review Dietary Reference Intakes for Vitamin D and Calcium) was to assess current relevant data and update, as appropriate, the DRIs (Dietary Reference Intakes) for vitamin D and calcium. The review was to include consideration of chronic disease indicators (e.g., reduction in risk of cancer) and other (non-chronic disease) indicators and health outcomes. The definitions of these terms are discussed below. Consistent with the framework for DRI development, the indicators to assess adequacy and excess intake were to be selected based on the strength and quality of the evidence and their demonstrated public health significance, taking into consideration sources of uncertainty in the evidence. Further, the committee deliberations were to incorporate, as appropriate, systematic evidence-based reviews of the literature. Specifically, in carrying out its work, the committee was to: Review evidence on indicators to assess adequacy and indicators to assess excess intake relevant to the general North American population, including groups whose needs for or sensitivity to the nutrient may be affected by particular conditions that are widespread in the population such as obesity or age-related chronic diseases. Special groups under medical care whose needs or sensitivities are affected by rare genetic disorders or diseases and their treatments were to be excluded; Consider systematic evidence-based reviews, including those made available by the sponsors as well as others, and carefully document the approach used by the committee to carry out any of its own literature reviews; Regarding selection of indicators upon which to base DRI values for adequate intake, give priority to selecting indicators relevant to the various age, gender, and life stage groups that will allow for the determination of an Estimated Average Requirement (EAR); Regarding selection of indicators upon which to base DRI values for upper levels of intake, give priority to examining whether a critical adverse effect can be selected that will allow for the determination of a so-called benchmark intake; Update DRI values, as appropriate, using a risk assessment approach that includes (1) identification of potential indicators to assess adequacy and excess intake, (2) selection of the indicators of adequacy and excess intake, (3) intake-response assessment, (4) dietary intake assessment, and (5) risk characterization. Identify research gaps to address the uncertainties identified in the process of deriving the reference values and evaluating their public health implications.","URL":"http://www.ncbi.nlm.nih.gov/books/NBK56070/","call-number":"NBK56070","note":"00000 \nPMID: 21796828","language":"eng","author":[{"literal":"Institute of Medicine (US) Committee to Review Dietary Reference Intakes for Vitamin D and Calcium"}],"editor":[{"family":"Ross","given":"A. Catharine"},{"family":"Taylor","given":"Christine L."},{"family":"Yaktine","given":"Ann L."},{"family":"Del Valle","given":"Heather B."}],"issued":{"date-parts":[["2011"]]},"accessed":{"date-parts":[["2015",11,24]]},"PMID":"21796828"}}],"schema":"https://github.com/citation-style-language/schema/raw/master/csl-citation.json"} </w:instrText>
      </w:r>
      <w:r w:rsidR="005C0F89" w:rsidRPr="006325C2">
        <w:fldChar w:fldCharType="separate"/>
      </w:r>
      <w:r w:rsidR="00AB395C" w:rsidRPr="00AB395C">
        <w:rPr>
          <w:vertAlign w:val="superscript"/>
        </w:rPr>
        <w:t>11</w:t>
      </w:r>
      <w:r w:rsidR="005C0F89" w:rsidRPr="006325C2">
        <w:fldChar w:fldCharType="end"/>
      </w:r>
      <w:r w:rsidR="00FF7B7A" w:rsidRPr="006325C2">
        <w:t xml:space="preserve"> </w:t>
      </w:r>
      <w:r w:rsidR="005C0F89" w:rsidRPr="006325C2">
        <w:t>Briefly, f</w:t>
      </w:r>
      <w:r w:rsidR="00481480" w:rsidRPr="006325C2">
        <w:t>or</w:t>
      </w:r>
      <w:r w:rsidR="00F14711" w:rsidRPr="006325C2">
        <w:t xml:space="preserve"> </w:t>
      </w:r>
      <w:r w:rsidR="00CB630B" w:rsidRPr="006325C2">
        <w:t>men age 19-70 years and women</w:t>
      </w:r>
      <w:r w:rsidR="00481480" w:rsidRPr="006325C2">
        <w:t xml:space="preserve"> age </w:t>
      </w:r>
      <w:r w:rsidR="00B169F4" w:rsidRPr="006325C2">
        <w:t>19</w:t>
      </w:r>
      <w:r w:rsidR="00481480" w:rsidRPr="006325C2">
        <w:t>-</w:t>
      </w:r>
      <w:r w:rsidR="00B169F4" w:rsidRPr="006325C2">
        <w:t xml:space="preserve">50 years, the </w:t>
      </w:r>
      <w:r w:rsidR="00176218" w:rsidRPr="006325C2">
        <w:t>e</w:t>
      </w:r>
      <w:r w:rsidR="00B169F4" w:rsidRPr="006325C2">
        <w:t xml:space="preserve">stimated </w:t>
      </w:r>
      <w:r w:rsidR="00176218" w:rsidRPr="006325C2">
        <w:t>a</w:t>
      </w:r>
      <w:r w:rsidR="00B169F4" w:rsidRPr="006325C2">
        <w:t xml:space="preserve">verage </w:t>
      </w:r>
      <w:r w:rsidR="00176218" w:rsidRPr="006325C2">
        <w:t>r</w:t>
      </w:r>
      <w:r w:rsidR="00B169F4" w:rsidRPr="006325C2">
        <w:t xml:space="preserve">equirement (EAR) of calcium is 800 </w:t>
      </w:r>
      <w:r w:rsidR="00B11DEB" w:rsidRPr="006325C2">
        <w:t>mg/d</w:t>
      </w:r>
      <w:r w:rsidR="00B169F4" w:rsidRPr="006325C2">
        <w:t xml:space="preserve"> and the </w:t>
      </w:r>
      <w:r w:rsidR="00176218" w:rsidRPr="006325C2">
        <w:t>r</w:t>
      </w:r>
      <w:r w:rsidR="00B169F4" w:rsidRPr="006325C2">
        <w:t xml:space="preserve">ecommended </w:t>
      </w:r>
      <w:r w:rsidR="00176218" w:rsidRPr="006325C2">
        <w:t>d</w:t>
      </w:r>
      <w:r w:rsidR="00B169F4" w:rsidRPr="006325C2">
        <w:t xml:space="preserve">ietary </w:t>
      </w:r>
      <w:r w:rsidR="00176218" w:rsidRPr="006325C2">
        <w:t>a</w:t>
      </w:r>
      <w:r w:rsidR="00BE50C6" w:rsidRPr="006325C2">
        <w:t>llowance</w:t>
      </w:r>
      <w:r w:rsidR="00B169F4" w:rsidRPr="006325C2">
        <w:t xml:space="preserve"> (RDA) is 1000 </w:t>
      </w:r>
      <w:r w:rsidR="00B11DEB" w:rsidRPr="006325C2">
        <w:t>mg/d</w:t>
      </w:r>
      <w:r w:rsidR="00B169F4" w:rsidRPr="006325C2">
        <w:t xml:space="preserve">; </w:t>
      </w:r>
      <w:r w:rsidR="005A4667" w:rsidRPr="006325C2">
        <w:t>and</w:t>
      </w:r>
      <w:r w:rsidR="00616B4D" w:rsidRPr="006325C2">
        <w:t xml:space="preserve"> </w:t>
      </w:r>
      <w:r w:rsidR="00B169F4" w:rsidRPr="006325C2">
        <w:t xml:space="preserve">for </w:t>
      </w:r>
      <w:r w:rsidR="00CB630B" w:rsidRPr="006325C2">
        <w:t xml:space="preserve">men </w:t>
      </w:r>
      <w:r w:rsidR="0002604E" w:rsidRPr="006325C2">
        <w:t xml:space="preserve">above </w:t>
      </w:r>
      <w:r w:rsidR="00CB630B" w:rsidRPr="006325C2">
        <w:t xml:space="preserve">age 70 years and </w:t>
      </w:r>
      <w:r w:rsidR="00B169F4" w:rsidRPr="006325C2">
        <w:t xml:space="preserve">women </w:t>
      </w:r>
      <w:r w:rsidR="0002604E" w:rsidRPr="006325C2">
        <w:t xml:space="preserve">above </w:t>
      </w:r>
      <w:r w:rsidR="00481480" w:rsidRPr="006325C2">
        <w:t xml:space="preserve">age </w:t>
      </w:r>
      <w:r w:rsidR="00B169F4" w:rsidRPr="006325C2">
        <w:t xml:space="preserve">50 years, the EAR is 1000 </w:t>
      </w:r>
      <w:r w:rsidR="00B11DEB" w:rsidRPr="006325C2">
        <w:t>mg/d</w:t>
      </w:r>
      <w:r w:rsidR="00B169F4" w:rsidRPr="006325C2">
        <w:t xml:space="preserve"> and the RDA is 1200 </w:t>
      </w:r>
      <w:r w:rsidR="00B11DEB" w:rsidRPr="006325C2">
        <w:t>mg/d</w:t>
      </w:r>
      <w:r w:rsidR="00B169F4" w:rsidRPr="006325C2">
        <w:t xml:space="preserve">. </w:t>
      </w:r>
      <w:r w:rsidR="00481480" w:rsidRPr="006325C2">
        <w:t>Participants were</w:t>
      </w:r>
      <w:r w:rsidR="00F14711" w:rsidRPr="006325C2">
        <w:t xml:space="preserve"> </w:t>
      </w:r>
      <w:r w:rsidR="00F27968" w:rsidRPr="006325C2">
        <w:t>classified</w:t>
      </w:r>
      <w:r w:rsidR="00481480" w:rsidRPr="006325C2">
        <w:t xml:space="preserve"> into </w:t>
      </w:r>
      <w:r w:rsidR="00CA49E8" w:rsidRPr="006325C2">
        <w:t>five</w:t>
      </w:r>
      <w:r w:rsidR="00481480" w:rsidRPr="006325C2">
        <w:t xml:space="preserve"> groups</w:t>
      </w:r>
      <w:r w:rsidR="005A4667" w:rsidRPr="006325C2">
        <w:t xml:space="preserve"> </w:t>
      </w:r>
      <w:r w:rsidR="0002604E" w:rsidRPr="006325C2">
        <w:t>based on</w:t>
      </w:r>
      <w:r w:rsidR="005A4667" w:rsidRPr="006325C2">
        <w:t xml:space="preserve"> </w:t>
      </w:r>
      <w:r w:rsidR="00AA3075" w:rsidRPr="006325C2">
        <w:t xml:space="preserve">their </w:t>
      </w:r>
      <w:r w:rsidR="005A4667" w:rsidRPr="006325C2">
        <w:t>calcium intakes</w:t>
      </w:r>
      <w:r w:rsidRPr="006325C2">
        <w:t xml:space="preserve">: less than 0.5 RDA, 0.5 RDA to EAR, EAR to RDA, RDA to 1.5 RDA, </w:t>
      </w:r>
      <w:r w:rsidR="005A4667" w:rsidRPr="006325C2">
        <w:t>or</w:t>
      </w:r>
      <w:r w:rsidRPr="006325C2">
        <w:t xml:space="preserve"> higher than 1.5 RDA</w:t>
      </w:r>
      <w:r w:rsidR="00DC780D" w:rsidRPr="006325C2">
        <w:t xml:space="preserve">. </w:t>
      </w:r>
      <w:r w:rsidR="00485BF2" w:rsidRPr="006325C2">
        <w:t xml:space="preserve">The </w:t>
      </w:r>
      <w:r w:rsidR="002153BF" w:rsidRPr="006325C2">
        <w:t>cut points</w:t>
      </w:r>
      <w:r w:rsidR="00485BF2" w:rsidRPr="006325C2">
        <w:t xml:space="preserve"> for s</w:t>
      </w:r>
      <w:r w:rsidR="00F14711" w:rsidRPr="006325C2">
        <w:t>upplemental</w:t>
      </w:r>
      <w:r w:rsidR="00485BF2" w:rsidRPr="006325C2">
        <w:t xml:space="preserve"> calcium intake were 0, 200, 500, and 1000 </w:t>
      </w:r>
      <w:r w:rsidR="00B11DEB" w:rsidRPr="006325C2">
        <w:t>mg/d</w:t>
      </w:r>
      <w:r w:rsidR="00485BF2" w:rsidRPr="006325C2">
        <w:t>.</w:t>
      </w:r>
      <w:r w:rsidR="00E577C8" w:rsidRPr="006325C2">
        <w:t xml:space="preserve"> </w:t>
      </w:r>
      <w:r w:rsidR="00D95D5C" w:rsidRPr="006325C2">
        <w:t>A joint analysis was conducted</w:t>
      </w:r>
      <w:r w:rsidR="00683DC7" w:rsidRPr="006325C2">
        <w:t xml:space="preserve"> by dietary and supplemental calcium intakes to examine specifically the association for supplemental calcium among those who had low dietary calcium intake and the association for dietary calcium among those who had no or little supplemental calcium intake. </w:t>
      </w:r>
      <w:r w:rsidR="00C17CF7" w:rsidRPr="006325C2">
        <w:t>Calcium intakes were</w:t>
      </w:r>
      <w:r w:rsidR="00771DE9" w:rsidRPr="006325C2">
        <w:t xml:space="preserve"> also</w:t>
      </w:r>
      <w:r w:rsidR="00C17CF7" w:rsidRPr="006325C2">
        <w:t xml:space="preserve"> modeled continuously in </w:t>
      </w:r>
      <w:r w:rsidR="009F3FDA" w:rsidRPr="006325C2">
        <w:t xml:space="preserve">restricted </w:t>
      </w:r>
      <w:r w:rsidR="00C17CF7" w:rsidRPr="006325C2">
        <w:t>cubic spline analys</w:t>
      </w:r>
      <w:r w:rsidR="009F3FDA" w:rsidRPr="006325C2">
        <w:t>e</w:t>
      </w:r>
      <w:r w:rsidR="00C17CF7" w:rsidRPr="006325C2">
        <w:t xml:space="preserve">s to examine </w:t>
      </w:r>
      <w:r w:rsidR="00CA49E8" w:rsidRPr="006325C2">
        <w:t>dose-response</w:t>
      </w:r>
      <w:r w:rsidR="00C17CF7" w:rsidRPr="006325C2">
        <w:t xml:space="preserve"> association</w:t>
      </w:r>
      <w:r w:rsidR="005A4667" w:rsidRPr="006325C2">
        <w:t>s</w:t>
      </w:r>
      <w:r w:rsidR="00C17CF7" w:rsidRPr="006325C2">
        <w:t xml:space="preserve">. </w:t>
      </w:r>
      <w:r w:rsidR="00CB630B" w:rsidRPr="006325C2">
        <w:t>Men and women in the sex-specific top and bottom 1% of calcium intakes</w:t>
      </w:r>
      <w:r w:rsidR="006747D0" w:rsidRPr="006325C2">
        <w:t xml:space="preserve"> were excluded from the spline analyses.</w:t>
      </w:r>
      <w:r w:rsidR="00CB630B" w:rsidRPr="006325C2">
        <w:t xml:space="preserve"> </w:t>
      </w:r>
      <w:r w:rsidR="0045147D" w:rsidRPr="006325C2">
        <w:t>Three knots</w:t>
      </w:r>
      <w:r w:rsidR="002153BF" w:rsidRPr="006325C2">
        <w:t xml:space="preserve"> </w:t>
      </w:r>
      <w:r w:rsidR="00DB3BF4" w:rsidRPr="006325C2">
        <w:t xml:space="preserve">were chosen based on model fitness, </w:t>
      </w:r>
      <w:r w:rsidR="002153BF" w:rsidRPr="006325C2">
        <w:t xml:space="preserve">at </w:t>
      </w:r>
      <w:r w:rsidR="00DB3BF4" w:rsidRPr="006325C2">
        <w:t xml:space="preserve">the </w:t>
      </w:r>
      <w:r w:rsidR="0045147D" w:rsidRPr="006325C2">
        <w:t>5</w:t>
      </w:r>
      <w:r w:rsidR="002153BF" w:rsidRPr="006325C2">
        <w:rPr>
          <w:vertAlign w:val="superscript"/>
        </w:rPr>
        <w:t>th</w:t>
      </w:r>
      <w:r w:rsidR="00DB3BF4" w:rsidRPr="006325C2">
        <w:t xml:space="preserve">, </w:t>
      </w:r>
      <w:r w:rsidR="0045147D" w:rsidRPr="006325C2">
        <w:t>50</w:t>
      </w:r>
      <w:r w:rsidR="0045147D" w:rsidRPr="006325C2">
        <w:rPr>
          <w:vertAlign w:val="superscript"/>
        </w:rPr>
        <w:t>th</w:t>
      </w:r>
      <w:r w:rsidR="00DB3BF4" w:rsidRPr="006325C2">
        <w:t xml:space="preserve">, </w:t>
      </w:r>
      <w:r w:rsidR="0096235E" w:rsidRPr="006325C2">
        <w:t xml:space="preserve">and </w:t>
      </w:r>
      <w:r w:rsidR="0045147D" w:rsidRPr="006325C2">
        <w:t>95</w:t>
      </w:r>
      <w:r w:rsidR="0045147D" w:rsidRPr="006325C2">
        <w:rPr>
          <w:vertAlign w:val="superscript"/>
        </w:rPr>
        <w:t>th</w:t>
      </w:r>
      <w:r w:rsidR="0045147D" w:rsidRPr="006325C2">
        <w:t xml:space="preserve"> </w:t>
      </w:r>
      <w:r w:rsidR="002153BF" w:rsidRPr="006325C2">
        <w:t>percentiles (</w:t>
      </w:r>
      <w:r w:rsidR="00DB3BF4" w:rsidRPr="006325C2">
        <w:t xml:space="preserve">correspondingly </w:t>
      </w:r>
      <w:r w:rsidR="005A4667" w:rsidRPr="006325C2">
        <w:t>425</w:t>
      </w:r>
      <w:r w:rsidR="00DB3BF4" w:rsidRPr="006325C2">
        <w:t xml:space="preserve">, </w:t>
      </w:r>
      <w:r w:rsidR="005A4667" w:rsidRPr="006325C2">
        <w:t>910</w:t>
      </w:r>
      <w:r w:rsidR="00DB3BF4" w:rsidRPr="006325C2">
        <w:t>, and 1</w:t>
      </w:r>
      <w:r w:rsidR="005A4667" w:rsidRPr="006325C2">
        <w:t>625</w:t>
      </w:r>
      <w:r w:rsidR="00DB3BF4" w:rsidRPr="006325C2">
        <w:t xml:space="preserve"> </w:t>
      </w:r>
      <w:r w:rsidR="00B11DEB" w:rsidRPr="006325C2">
        <w:t>mg/d</w:t>
      </w:r>
      <w:r w:rsidR="002153BF" w:rsidRPr="006325C2">
        <w:t>)</w:t>
      </w:r>
      <w:r w:rsidR="0045147D" w:rsidRPr="006325C2">
        <w:t>. The referen</w:t>
      </w:r>
      <w:r w:rsidR="005A4667" w:rsidRPr="006325C2">
        <w:t>t</w:t>
      </w:r>
      <w:r w:rsidR="0045147D" w:rsidRPr="006325C2">
        <w:t xml:space="preserve"> intake was </w:t>
      </w:r>
      <w:r w:rsidR="006747D0" w:rsidRPr="006325C2">
        <w:t xml:space="preserve">900 </w:t>
      </w:r>
      <w:r w:rsidR="00B11DEB" w:rsidRPr="006325C2">
        <w:t>mg/d</w:t>
      </w:r>
      <w:r w:rsidR="005C3CAB" w:rsidRPr="006325C2">
        <w:t xml:space="preserve"> and all </w:t>
      </w:r>
      <w:r w:rsidR="00112F24" w:rsidRPr="006325C2">
        <w:t>potential</w:t>
      </w:r>
      <w:r w:rsidR="005C3CAB" w:rsidRPr="006325C2">
        <w:t xml:space="preserve"> confounders listed above </w:t>
      </w:r>
      <w:r w:rsidR="0045147D" w:rsidRPr="006325C2">
        <w:t xml:space="preserve">were included </w:t>
      </w:r>
      <w:r w:rsidR="005C3CAB" w:rsidRPr="006325C2">
        <w:t xml:space="preserve">in </w:t>
      </w:r>
      <w:r w:rsidR="0045147D" w:rsidRPr="006325C2">
        <w:t>the</w:t>
      </w:r>
      <w:r w:rsidR="005C3CAB" w:rsidRPr="006325C2">
        <w:t xml:space="preserve"> </w:t>
      </w:r>
      <w:r w:rsidR="005D5705" w:rsidRPr="006325C2">
        <w:t xml:space="preserve">spline </w:t>
      </w:r>
      <w:r w:rsidR="0045147D" w:rsidRPr="006325C2">
        <w:t>regression</w:t>
      </w:r>
      <w:r w:rsidR="005C3CAB" w:rsidRPr="006325C2">
        <w:t xml:space="preserve">. </w:t>
      </w:r>
      <w:r w:rsidR="00C17CF7" w:rsidRPr="006325C2">
        <w:t xml:space="preserve">  </w:t>
      </w:r>
    </w:p>
    <w:p w:rsidR="006F58A0" w:rsidRPr="006325C2" w:rsidRDefault="00814404" w:rsidP="00434502">
      <w:pPr>
        <w:spacing w:before="60" w:after="0" w:line="480" w:lineRule="auto"/>
        <w:ind w:firstLine="360"/>
      </w:pPr>
      <w:r w:rsidRPr="006325C2">
        <w:t>S</w:t>
      </w:r>
      <w:r w:rsidR="00112F24" w:rsidRPr="006325C2">
        <w:t xml:space="preserve">tratified analyses </w:t>
      </w:r>
      <w:r w:rsidRPr="006325C2">
        <w:t xml:space="preserve">were performed </w:t>
      </w:r>
      <w:r w:rsidR="00112F24" w:rsidRPr="006325C2">
        <w:t>by</w:t>
      </w:r>
      <w:r w:rsidR="002F4EB8" w:rsidRPr="006325C2">
        <w:t xml:space="preserve"> potential </w:t>
      </w:r>
      <w:r w:rsidR="004618B2" w:rsidRPr="006325C2">
        <w:t>effect modifiers</w:t>
      </w:r>
      <w:r w:rsidR="002F4EB8" w:rsidRPr="006325C2">
        <w:t>, including</w:t>
      </w:r>
      <w:r w:rsidR="00112F24" w:rsidRPr="006325C2">
        <w:t xml:space="preserve"> age at diagnosis, </w:t>
      </w:r>
      <w:r w:rsidR="00B84FC7" w:rsidRPr="006325C2">
        <w:t>sex</w:t>
      </w:r>
      <w:r w:rsidR="00112F24" w:rsidRPr="006325C2">
        <w:t>, race</w:t>
      </w:r>
      <w:r w:rsidR="00AA3075" w:rsidRPr="006325C2">
        <w:t>/ethnicity</w:t>
      </w:r>
      <w:r w:rsidR="00112F24" w:rsidRPr="006325C2">
        <w:t xml:space="preserve">, </w:t>
      </w:r>
      <w:r w:rsidR="004618B2" w:rsidRPr="006325C2">
        <w:t xml:space="preserve">education, </w:t>
      </w:r>
      <w:r w:rsidR="00112F24" w:rsidRPr="006325C2">
        <w:t xml:space="preserve">smoking, </w:t>
      </w:r>
      <w:r w:rsidR="004618B2" w:rsidRPr="006325C2">
        <w:t xml:space="preserve">other lifestyle factors, </w:t>
      </w:r>
      <w:r w:rsidR="00605B99" w:rsidRPr="006325C2">
        <w:t>stage, histologic</w:t>
      </w:r>
      <w:r w:rsidR="00112F24" w:rsidRPr="006325C2">
        <w:t xml:space="preserve"> type, grade, and time interval between dietary assessment and cancer diagnosis. </w:t>
      </w:r>
      <w:r w:rsidR="00112F24" w:rsidRPr="006325C2">
        <w:rPr>
          <w:i/>
        </w:rPr>
        <w:t>P</w:t>
      </w:r>
      <w:r w:rsidR="00112F24" w:rsidRPr="006325C2">
        <w:t xml:space="preserve"> for interaction was evaluated </w:t>
      </w:r>
      <w:r w:rsidR="00D72F18" w:rsidRPr="006325C2">
        <w:t>via</w:t>
      </w:r>
      <w:r w:rsidR="00112F24" w:rsidRPr="006325C2">
        <w:t xml:space="preserve"> likelihood ratio test </w:t>
      </w:r>
      <w:r w:rsidR="002F62D2" w:rsidRPr="006325C2">
        <w:t xml:space="preserve">comparing models </w:t>
      </w:r>
      <w:r w:rsidR="00112F24" w:rsidRPr="006325C2">
        <w:t>with and without the interaction term (calcium intake category</w:t>
      </w:r>
      <w:r w:rsidR="00D87D7B" w:rsidRPr="006325C2">
        <w:t xml:space="preserve"> × stratifi</w:t>
      </w:r>
      <w:r w:rsidR="002A4257" w:rsidRPr="006325C2">
        <w:t>cation</w:t>
      </w:r>
      <w:r w:rsidR="002A538C" w:rsidRPr="006325C2">
        <w:t xml:space="preserve"> variable</w:t>
      </w:r>
      <w:r w:rsidR="00112F24" w:rsidRPr="006325C2">
        <w:t>)</w:t>
      </w:r>
      <w:r w:rsidR="00D87D7B" w:rsidRPr="006325C2">
        <w:t xml:space="preserve">. </w:t>
      </w:r>
      <w:r w:rsidR="002F62D2" w:rsidRPr="006325C2">
        <w:t>A series of s</w:t>
      </w:r>
      <w:r w:rsidR="002A4257" w:rsidRPr="006325C2">
        <w:t>ensitivity</w:t>
      </w:r>
      <w:r w:rsidR="00325B19" w:rsidRPr="006325C2">
        <w:t xml:space="preserve"> analyses were</w:t>
      </w:r>
      <w:r w:rsidR="002A4257" w:rsidRPr="006325C2">
        <w:t xml:space="preserve"> </w:t>
      </w:r>
      <w:r w:rsidRPr="006325C2">
        <w:t>conducted</w:t>
      </w:r>
      <w:r w:rsidR="00FF7B7A" w:rsidRPr="006325C2">
        <w:t xml:space="preserve"> by</w:t>
      </w:r>
      <w:r w:rsidR="002A4257" w:rsidRPr="006325C2">
        <w:t xml:space="preserve"> excluding </w:t>
      </w:r>
      <w:r w:rsidR="00AA3075" w:rsidRPr="006325C2">
        <w:t>those</w:t>
      </w:r>
      <w:r w:rsidR="00D72F18" w:rsidRPr="006325C2">
        <w:t xml:space="preserve"> </w:t>
      </w:r>
      <w:r w:rsidR="002F62D2" w:rsidRPr="006325C2">
        <w:t xml:space="preserve">diagnosed with lung cancer within </w:t>
      </w:r>
      <w:r w:rsidR="00D72F18" w:rsidRPr="006325C2">
        <w:t>two</w:t>
      </w:r>
      <w:r w:rsidR="002F62D2" w:rsidRPr="006325C2">
        <w:t xml:space="preserve"> years after </w:t>
      </w:r>
      <w:r w:rsidR="00325B19" w:rsidRPr="006325C2">
        <w:t xml:space="preserve">the </w:t>
      </w:r>
      <w:r w:rsidR="002F62D2" w:rsidRPr="006325C2">
        <w:t>baseline</w:t>
      </w:r>
      <w:r w:rsidR="00AA3075" w:rsidRPr="006325C2">
        <w:t>, by excluding those</w:t>
      </w:r>
      <w:r w:rsidR="002F62D2" w:rsidRPr="006325C2">
        <w:t xml:space="preserve"> </w:t>
      </w:r>
      <w:r w:rsidR="00971323" w:rsidRPr="006325C2">
        <w:t xml:space="preserve">who </w:t>
      </w:r>
      <w:r w:rsidR="002F62D2" w:rsidRPr="006325C2">
        <w:t xml:space="preserve">died or </w:t>
      </w:r>
      <w:r w:rsidR="00971323" w:rsidRPr="006325C2">
        <w:t xml:space="preserve">were </w:t>
      </w:r>
      <w:r w:rsidR="002F62D2" w:rsidRPr="006325C2">
        <w:t xml:space="preserve">lost to follow-up within </w:t>
      </w:r>
      <w:r w:rsidR="00D72F18" w:rsidRPr="006325C2">
        <w:t>three</w:t>
      </w:r>
      <w:r w:rsidR="002F62D2" w:rsidRPr="006325C2">
        <w:t xml:space="preserve"> months </w:t>
      </w:r>
      <w:r w:rsidR="00AA3075" w:rsidRPr="006325C2">
        <w:t>after</w:t>
      </w:r>
      <w:r w:rsidR="002F62D2" w:rsidRPr="006325C2">
        <w:t xml:space="preserve"> </w:t>
      </w:r>
      <w:r w:rsidR="00431BD7" w:rsidRPr="006325C2">
        <w:t xml:space="preserve">lung </w:t>
      </w:r>
      <w:r w:rsidR="002F62D2" w:rsidRPr="006325C2">
        <w:t>cancer diagnos</w:t>
      </w:r>
      <w:r w:rsidR="00AA3075" w:rsidRPr="006325C2">
        <w:t>e</w:t>
      </w:r>
      <w:r w:rsidR="002F62D2" w:rsidRPr="006325C2">
        <w:t>s</w:t>
      </w:r>
      <w:r w:rsidR="00431BD7" w:rsidRPr="006325C2">
        <w:t>, or</w:t>
      </w:r>
      <w:r w:rsidR="00EE6DCF" w:rsidRPr="006325C2">
        <w:t xml:space="preserve"> by examining lung cancer</w:t>
      </w:r>
      <w:r w:rsidR="00325B19" w:rsidRPr="006325C2">
        <w:t>-</w:t>
      </w:r>
      <w:r w:rsidR="00EE6DCF" w:rsidRPr="006325C2">
        <w:t>specific mortality</w:t>
      </w:r>
      <w:r w:rsidR="00431BD7" w:rsidRPr="006325C2">
        <w:t>.</w:t>
      </w:r>
      <w:r w:rsidR="004F5031" w:rsidRPr="006325C2">
        <w:t xml:space="preserve"> </w:t>
      </w:r>
      <w:r w:rsidR="00C57CB7" w:rsidRPr="006325C2">
        <w:t xml:space="preserve">Meta-analysis was </w:t>
      </w:r>
      <w:r w:rsidR="001769CE" w:rsidRPr="006325C2">
        <w:t>applied</w:t>
      </w:r>
      <w:r w:rsidR="00C57CB7" w:rsidRPr="006325C2">
        <w:t xml:space="preserve"> as an alternative approach to pool</w:t>
      </w:r>
      <w:r w:rsidR="00A0172B" w:rsidRPr="006325C2">
        <w:t>ed</w:t>
      </w:r>
      <w:r w:rsidR="00C57CB7" w:rsidRPr="006325C2">
        <w:t xml:space="preserve"> analysis. Cohort-specific HRs</w:t>
      </w:r>
      <w:r w:rsidR="00BE50C6" w:rsidRPr="006325C2">
        <w:t xml:space="preserve"> and 95% CI</w:t>
      </w:r>
      <w:r w:rsidR="00C57CB7" w:rsidRPr="006325C2">
        <w:t xml:space="preserve"> were calculated and then combined using </w:t>
      </w:r>
      <w:r w:rsidRPr="006325C2">
        <w:t xml:space="preserve">a </w:t>
      </w:r>
      <w:r w:rsidR="00834E96" w:rsidRPr="006325C2">
        <w:t>fixed-</w:t>
      </w:r>
      <w:r w:rsidRPr="006325C2">
        <w:t>effect model</w:t>
      </w:r>
      <w:r w:rsidR="00C57CB7" w:rsidRPr="006325C2">
        <w:t xml:space="preserve"> </w:t>
      </w:r>
      <w:r w:rsidR="00834E96" w:rsidRPr="006325C2">
        <w:t xml:space="preserve">because </w:t>
      </w:r>
      <w:r w:rsidR="00AA3075" w:rsidRPr="006325C2">
        <w:t>no</w:t>
      </w:r>
      <w:r w:rsidR="00834E96" w:rsidRPr="006325C2">
        <w:t xml:space="preserve"> significant</w:t>
      </w:r>
      <w:r w:rsidR="00A0172B" w:rsidRPr="006325C2">
        <w:t xml:space="preserve"> </w:t>
      </w:r>
      <w:r w:rsidR="00C57CB7" w:rsidRPr="006325C2">
        <w:t>between-study heterogeneity</w:t>
      </w:r>
      <w:r w:rsidR="00AA3075" w:rsidRPr="006325C2">
        <w:t xml:space="preserve"> was detected</w:t>
      </w:r>
      <w:r w:rsidR="00C57CB7" w:rsidRPr="006325C2">
        <w:t>.</w:t>
      </w:r>
      <w:r w:rsidR="001C7A68" w:rsidRPr="006325C2">
        <w:t xml:space="preserve"> Finally, we explored the associations of lung cancer survival with three major calcium food</w:t>
      </w:r>
      <w:r w:rsidR="0060600E" w:rsidRPr="006325C2">
        <w:t xml:space="preserve"> sources</w:t>
      </w:r>
      <w:r w:rsidR="001C7A68" w:rsidRPr="006325C2">
        <w:t xml:space="preserve">: dairy products, green leafy vegetables, and soy foods. </w:t>
      </w:r>
      <w:r w:rsidR="00523A52" w:rsidRPr="006325C2">
        <w:t>Two</w:t>
      </w:r>
      <w:r w:rsidR="001769CE" w:rsidRPr="006325C2">
        <w:t xml:space="preserve">-sided </w:t>
      </w:r>
      <w:r w:rsidR="001769CE" w:rsidRPr="006325C2">
        <w:rPr>
          <w:i/>
        </w:rPr>
        <w:t>P</w:t>
      </w:r>
      <w:r w:rsidR="00523A52" w:rsidRPr="006325C2">
        <w:rPr>
          <w:i/>
        </w:rPr>
        <w:t xml:space="preserve"> </w:t>
      </w:r>
      <w:r w:rsidR="00523A52" w:rsidRPr="006325C2">
        <w:t>values of</w:t>
      </w:r>
      <w:r w:rsidR="00523A52" w:rsidRPr="006325C2">
        <w:rPr>
          <w:i/>
        </w:rPr>
        <w:t xml:space="preserve"> </w:t>
      </w:r>
      <w:r w:rsidR="001769CE" w:rsidRPr="006325C2">
        <w:t>&lt;0.05 w</w:t>
      </w:r>
      <w:r w:rsidR="00523A52" w:rsidRPr="006325C2">
        <w:t>ere</w:t>
      </w:r>
      <w:r w:rsidR="001769CE" w:rsidRPr="006325C2">
        <w:t xml:space="preserve"> considered statistically significant</w:t>
      </w:r>
      <w:r w:rsidR="0026743F" w:rsidRPr="006325C2">
        <w:t xml:space="preserve">. </w:t>
      </w:r>
      <w:r w:rsidR="00AA5AD0" w:rsidRPr="006325C2">
        <w:t xml:space="preserve">All analyses were </w:t>
      </w:r>
      <w:r w:rsidR="007C593D" w:rsidRPr="006325C2">
        <w:t>conducted</w:t>
      </w:r>
      <w:r w:rsidR="00AA5AD0" w:rsidRPr="006325C2">
        <w:t xml:space="preserve"> using </w:t>
      </w:r>
      <w:r w:rsidR="0026743F" w:rsidRPr="006325C2">
        <w:t>SAS software</w:t>
      </w:r>
      <w:r w:rsidR="00A0172B" w:rsidRPr="006325C2">
        <w:t>,</w:t>
      </w:r>
      <w:r w:rsidR="0026743F" w:rsidRPr="006325C2">
        <w:t xml:space="preserve"> version 9.4</w:t>
      </w:r>
      <w:r w:rsidR="001D25C5" w:rsidRPr="006325C2">
        <w:t xml:space="preserve"> (SAS Institute, Inc.)</w:t>
      </w:r>
      <w:r w:rsidR="0026743F" w:rsidRPr="006325C2">
        <w:t xml:space="preserve">. </w:t>
      </w:r>
    </w:p>
    <w:p w:rsidR="00A16BE7" w:rsidRPr="006325C2" w:rsidRDefault="00A16BE7" w:rsidP="00434502">
      <w:pPr>
        <w:spacing w:before="60" w:after="0" w:line="480" w:lineRule="auto"/>
      </w:pPr>
    </w:p>
    <w:p w:rsidR="00A16BE7" w:rsidRPr="006325C2" w:rsidRDefault="00A16BE7" w:rsidP="00434502">
      <w:pPr>
        <w:spacing w:before="60" w:after="0" w:line="480" w:lineRule="auto"/>
        <w:rPr>
          <w:b/>
        </w:rPr>
      </w:pPr>
      <w:r w:rsidRPr="006325C2">
        <w:rPr>
          <w:b/>
        </w:rPr>
        <w:t>Results</w:t>
      </w:r>
    </w:p>
    <w:p w:rsidR="00066296" w:rsidRPr="006325C2" w:rsidRDefault="007830BA" w:rsidP="009B263A">
      <w:pPr>
        <w:spacing w:before="60" w:after="0" w:line="480" w:lineRule="auto"/>
      </w:pPr>
      <w:r w:rsidRPr="006325C2">
        <w:t xml:space="preserve">Among ~1.7 million men and women from 12 </w:t>
      </w:r>
      <w:r w:rsidR="008A40F1" w:rsidRPr="006325C2">
        <w:t xml:space="preserve">cohort studies, 23,882 </w:t>
      </w:r>
      <w:r w:rsidR="00BA3A19" w:rsidRPr="006325C2">
        <w:t xml:space="preserve">incident </w:t>
      </w:r>
      <w:r w:rsidR="008A40F1" w:rsidRPr="006325C2">
        <w:t xml:space="preserve">primary lung cancer cases </w:t>
      </w:r>
      <w:r w:rsidR="002E74B5" w:rsidRPr="006325C2">
        <w:t xml:space="preserve">were identified </w:t>
      </w:r>
      <w:r w:rsidR="008A40F1" w:rsidRPr="006325C2">
        <w:t>during a median follow-up of 7 years (interquartile range: 4-10 years).</w:t>
      </w:r>
      <w:r w:rsidRPr="006325C2">
        <w:t xml:space="preserve"> </w:t>
      </w:r>
      <w:r w:rsidR="008A40F1" w:rsidRPr="006325C2">
        <w:t xml:space="preserve">Among </w:t>
      </w:r>
      <w:r w:rsidR="00223E47" w:rsidRPr="006325C2">
        <w:t xml:space="preserve">lung cancer </w:t>
      </w:r>
      <w:r w:rsidR="00240DF5" w:rsidRPr="006325C2">
        <w:t>patients</w:t>
      </w:r>
      <w:r w:rsidR="008A40F1" w:rsidRPr="006325C2">
        <w:t xml:space="preserve">, </w:t>
      </w:r>
      <w:r w:rsidR="002E74B5" w:rsidRPr="006325C2">
        <w:t xml:space="preserve">19,538 died </w:t>
      </w:r>
      <w:r w:rsidR="00FF136A" w:rsidRPr="006325C2">
        <w:t xml:space="preserve">(16,279 due to lung cancer) </w:t>
      </w:r>
      <w:r w:rsidR="002E74B5" w:rsidRPr="006325C2">
        <w:t>with a</w:t>
      </w:r>
      <w:r w:rsidR="008A40F1" w:rsidRPr="006325C2">
        <w:t xml:space="preserve"> median survival time </w:t>
      </w:r>
      <w:r w:rsidR="002E74B5" w:rsidRPr="006325C2">
        <w:t xml:space="preserve">of </w:t>
      </w:r>
      <w:r w:rsidR="008A40F1" w:rsidRPr="006325C2">
        <w:t xml:space="preserve">11 months (interquartile range: 4-34 months). The overall 5-year survival rate was </w:t>
      </w:r>
      <w:r w:rsidR="002E74B5" w:rsidRPr="006325C2">
        <w:t>21.3</w:t>
      </w:r>
      <w:r w:rsidR="008A40F1" w:rsidRPr="006325C2">
        <w:t>%</w:t>
      </w:r>
      <w:r w:rsidR="008D6FC2" w:rsidRPr="006325C2">
        <w:t xml:space="preserve">. </w:t>
      </w:r>
      <w:r w:rsidR="002E74B5" w:rsidRPr="006325C2">
        <w:t xml:space="preserve">Higher </w:t>
      </w:r>
      <w:r w:rsidR="008D6FC2" w:rsidRPr="006325C2">
        <w:t>survival rate</w:t>
      </w:r>
      <w:r w:rsidR="002E74B5" w:rsidRPr="006325C2">
        <w:t>s</w:t>
      </w:r>
      <w:r w:rsidR="008D6FC2" w:rsidRPr="006325C2">
        <w:t xml:space="preserve"> </w:t>
      </w:r>
      <w:r w:rsidR="002E74B5" w:rsidRPr="006325C2">
        <w:t xml:space="preserve">were </w:t>
      </w:r>
      <w:r w:rsidR="008D6FC2" w:rsidRPr="006325C2">
        <w:t xml:space="preserve">associated with </w:t>
      </w:r>
      <w:r w:rsidR="008A40F1" w:rsidRPr="006325C2">
        <w:t>younger age</w:t>
      </w:r>
      <w:r w:rsidR="00EF5CD2" w:rsidRPr="006325C2">
        <w:t xml:space="preserve"> at diagnosis</w:t>
      </w:r>
      <w:r w:rsidR="008D6FC2" w:rsidRPr="006325C2">
        <w:t>,</w:t>
      </w:r>
      <w:r w:rsidR="00B84FC7" w:rsidRPr="006325C2">
        <w:t xml:space="preserve"> </w:t>
      </w:r>
      <w:r w:rsidR="008D6FC2" w:rsidRPr="006325C2">
        <w:t>female</w:t>
      </w:r>
      <w:r w:rsidR="00BA3A19" w:rsidRPr="006325C2">
        <w:t xml:space="preserve"> gender</w:t>
      </w:r>
      <w:r w:rsidR="008A40F1" w:rsidRPr="006325C2">
        <w:t xml:space="preserve">, </w:t>
      </w:r>
      <w:r w:rsidR="00EF5CD2" w:rsidRPr="006325C2">
        <w:t xml:space="preserve">never </w:t>
      </w:r>
      <w:r w:rsidR="008A40F1" w:rsidRPr="006325C2">
        <w:t>smok</w:t>
      </w:r>
      <w:r w:rsidR="008D6FC2" w:rsidRPr="006325C2">
        <w:t>ing</w:t>
      </w:r>
      <w:r w:rsidR="008A40F1" w:rsidRPr="006325C2">
        <w:t xml:space="preserve">, </w:t>
      </w:r>
      <w:r w:rsidR="002E74B5" w:rsidRPr="006325C2">
        <w:t xml:space="preserve">fewer </w:t>
      </w:r>
      <w:r w:rsidR="008D6FC2" w:rsidRPr="006325C2">
        <w:t>pack-years</w:t>
      </w:r>
      <w:r w:rsidR="00ED413B" w:rsidRPr="006325C2">
        <w:t xml:space="preserve"> </w:t>
      </w:r>
      <w:r w:rsidR="00BA3A19" w:rsidRPr="006325C2">
        <w:t>if ever smoked</w:t>
      </w:r>
      <w:r w:rsidR="008D6FC2" w:rsidRPr="006325C2">
        <w:t xml:space="preserve">, no history of diabetes, and </w:t>
      </w:r>
      <w:r w:rsidR="009B263A" w:rsidRPr="006325C2">
        <w:t xml:space="preserve">a </w:t>
      </w:r>
      <w:r w:rsidR="002F313C" w:rsidRPr="006325C2">
        <w:t>higher level</w:t>
      </w:r>
      <w:r w:rsidR="009B263A" w:rsidRPr="006325C2">
        <w:t xml:space="preserve"> </w:t>
      </w:r>
      <w:r w:rsidR="002F313C" w:rsidRPr="006325C2">
        <w:t>of physical activity</w:t>
      </w:r>
      <w:r w:rsidR="008D6FC2" w:rsidRPr="006325C2">
        <w:t xml:space="preserve"> </w:t>
      </w:r>
      <w:r w:rsidR="008D6FC2" w:rsidRPr="006325C2">
        <w:rPr>
          <w:b/>
        </w:rPr>
        <w:t>(Table 1)</w:t>
      </w:r>
      <w:r w:rsidR="008D6FC2" w:rsidRPr="006325C2">
        <w:t xml:space="preserve">. </w:t>
      </w:r>
      <w:r w:rsidR="002E74B5" w:rsidRPr="006325C2">
        <w:t xml:space="preserve">Particularly </w:t>
      </w:r>
      <w:r w:rsidR="008D6FC2" w:rsidRPr="006325C2">
        <w:t>low 5-year survival rate</w:t>
      </w:r>
      <w:r w:rsidR="002E74B5" w:rsidRPr="006325C2">
        <w:t>s</w:t>
      </w:r>
      <w:r w:rsidR="008D6FC2" w:rsidRPr="006325C2">
        <w:t xml:space="preserve"> </w:t>
      </w:r>
      <w:r w:rsidR="002E74B5" w:rsidRPr="006325C2">
        <w:t xml:space="preserve">were </w:t>
      </w:r>
      <w:r w:rsidR="008D6FC2" w:rsidRPr="006325C2">
        <w:t xml:space="preserve">found for small cell </w:t>
      </w:r>
      <w:r w:rsidR="00484AEE" w:rsidRPr="006325C2">
        <w:t>lung cancer</w:t>
      </w:r>
      <w:r w:rsidR="008D6FC2" w:rsidRPr="006325C2">
        <w:t xml:space="preserve"> (</w:t>
      </w:r>
      <w:r w:rsidR="002E74B5" w:rsidRPr="006325C2">
        <w:t>9.7</w:t>
      </w:r>
      <w:r w:rsidR="008D6FC2" w:rsidRPr="006325C2">
        <w:t>%) vs. adenocarcinoma (27.</w:t>
      </w:r>
      <w:r w:rsidR="002E74B5" w:rsidRPr="006325C2">
        <w:t>7</w:t>
      </w:r>
      <w:r w:rsidR="008D6FC2" w:rsidRPr="006325C2">
        <w:t xml:space="preserve">%), </w:t>
      </w:r>
      <w:r w:rsidR="00484AEE" w:rsidRPr="006325C2">
        <w:t>distant</w:t>
      </w:r>
      <w:r w:rsidR="008D6FC2" w:rsidRPr="006325C2">
        <w:t xml:space="preserve"> stage (</w:t>
      </w:r>
      <w:r w:rsidR="002E74B5" w:rsidRPr="006325C2">
        <w:t>5</w:t>
      </w:r>
      <w:r w:rsidR="008D6FC2" w:rsidRPr="006325C2">
        <w:t xml:space="preserve">.7%) vs. </w:t>
      </w:r>
      <w:r w:rsidR="00484AEE" w:rsidRPr="006325C2">
        <w:t>local</w:t>
      </w:r>
      <w:r w:rsidR="00F40C86" w:rsidRPr="006325C2">
        <w:t>ized</w:t>
      </w:r>
      <w:r w:rsidR="00484AEE" w:rsidRPr="006325C2">
        <w:t xml:space="preserve"> or regional</w:t>
      </w:r>
      <w:r w:rsidR="008D6FC2" w:rsidRPr="006325C2">
        <w:t xml:space="preserve"> stage (</w:t>
      </w:r>
      <w:r w:rsidR="002E74B5" w:rsidRPr="006325C2">
        <w:t>56.4</w:t>
      </w:r>
      <w:r w:rsidR="008D6FC2" w:rsidRPr="006325C2">
        <w:t>%</w:t>
      </w:r>
      <w:r w:rsidR="002E74B5" w:rsidRPr="006325C2">
        <w:t xml:space="preserve"> or 21.1%, respectively</w:t>
      </w:r>
      <w:r w:rsidR="008D6FC2" w:rsidRPr="006325C2">
        <w:t xml:space="preserve">), </w:t>
      </w:r>
      <w:r w:rsidR="002D0C6D" w:rsidRPr="006325C2">
        <w:t>and undifferentiated (10.</w:t>
      </w:r>
      <w:r w:rsidR="002E74B5" w:rsidRPr="006325C2">
        <w:t>4</w:t>
      </w:r>
      <w:r w:rsidR="002D0C6D" w:rsidRPr="006325C2">
        <w:t>%) vs. well</w:t>
      </w:r>
      <w:r w:rsidR="00996C81" w:rsidRPr="006325C2">
        <w:t>-</w:t>
      </w:r>
      <w:r w:rsidR="002D0C6D" w:rsidRPr="006325C2">
        <w:t xml:space="preserve"> or moderately</w:t>
      </w:r>
      <w:r w:rsidR="00996C81" w:rsidRPr="006325C2">
        <w:t>-</w:t>
      </w:r>
      <w:r w:rsidR="002D0C6D" w:rsidRPr="006325C2">
        <w:t xml:space="preserve">differentiated </w:t>
      </w:r>
      <w:r w:rsidR="00336813" w:rsidRPr="006325C2">
        <w:t>tumor</w:t>
      </w:r>
      <w:r w:rsidR="00ED413B" w:rsidRPr="006325C2">
        <w:t xml:space="preserve"> </w:t>
      </w:r>
      <w:r w:rsidR="00304D96" w:rsidRPr="006325C2">
        <w:t>cell</w:t>
      </w:r>
      <w:r w:rsidR="00325B19" w:rsidRPr="006325C2">
        <w:t>s</w:t>
      </w:r>
      <w:r w:rsidR="00304D96" w:rsidRPr="006325C2">
        <w:t xml:space="preserve"> </w:t>
      </w:r>
      <w:r w:rsidR="002D0C6D" w:rsidRPr="006325C2">
        <w:t>(</w:t>
      </w:r>
      <w:r w:rsidR="00573CD3" w:rsidRPr="006325C2">
        <w:t>57.9</w:t>
      </w:r>
      <w:r w:rsidR="002D0C6D" w:rsidRPr="006325C2">
        <w:t>%</w:t>
      </w:r>
      <w:r w:rsidR="00573CD3" w:rsidRPr="006325C2">
        <w:t xml:space="preserve"> or 37.3</w:t>
      </w:r>
      <w:r w:rsidR="00790AED" w:rsidRPr="006325C2">
        <w:t>%</w:t>
      </w:r>
      <w:r w:rsidR="00573CD3" w:rsidRPr="006325C2">
        <w:t>, respectively</w:t>
      </w:r>
      <w:r w:rsidR="002D0C6D" w:rsidRPr="006325C2">
        <w:t xml:space="preserve">). </w:t>
      </w:r>
      <w:r w:rsidR="00573CD3" w:rsidRPr="006325C2">
        <w:t xml:space="preserve">Usual dietary </w:t>
      </w:r>
      <w:r w:rsidR="002F313C" w:rsidRPr="006325C2">
        <w:t xml:space="preserve">calcium </w:t>
      </w:r>
      <w:r w:rsidR="00240DF5" w:rsidRPr="006325C2">
        <w:t xml:space="preserve">intakes </w:t>
      </w:r>
      <w:r w:rsidR="002F313C" w:rsidRPr="006325C2">
        <w:t>w</w:t>
      </w:r>
      <w:r w:rsidR="00304D96" w:rsidRPr="006325C2">
        <w:t>ere</w:t>
      </w:r>
      <w:r w:rsidR="002F313C" w:rsidRPr="006325C2">
        <w:t xml:space="preserve"> higher among </w:t>
      </w:r>
      <w:r w:rsidR="0046328A" w:rsidRPr="006325C2">
        <w:t xml:space="preserve">study </w:t>
      </w:r>
      <w:r w:rsidR="0004720A" w:rsidRPr="006325C2">
        <w:t>patients</w:t>
      </w:r>
      <w:r w:rsidR="0046328A" w:rsidRPr="006325C2">
        <w:t xml:space="preserve"> in the </w:t>
      </w:r>
      <w:r w:rsidR="00573CD3" w:rsidRPr="006325C2">
        <w:t>US and Europ</w:t>
      </w:r>
      <w:r w:rsidR="0046328A" w:rsidRPr="006325C2">
        <w:t>e</w:t>
      </w:r>
      <w:r w:rsidR="00B2003C" w:rsidRPr="006325C2">
        <w:t>an cohorts</w:t>
      </w:r>
      <w:r w:rsidR="00573CD3" w:rsidRPr="006325C2">
        <w:t xml:space="preserve"> than </w:t>
      </w:r>
      <w:r w:rsidR="0046328A" w:rsidRPr="006325C2">
        <w:t xml:space="preserve">in </w:t>
      </w:r>
      <w:r w:rsidR="00573CD3" w:rsidRPr="006325C2">
        <w:t>Asia</w:t>
      </w:r>
      <w:r w:rsidR="00B2003C" w:rsidRPr="006325C2">
        <w:t>n cohorts</w:t>
      </w:r>
      <w:r w:rsidR="00573CD3" w:rsidRPr="006325C2">
        <w:t xml:space="preserve"> </w:t>
      </w:r>
      <w:r w:rsidR="00573CD3" w:rsidRPr="006325C2">
        <w:rPr>
          <w:b/>
        </w:rPr>
        <w:t>(Supplemental Table 1)</w:t>
      </w:r>
      <w:r w:rsidR="00573CD3" w:rsidRPr="006325C2">
        <w:t xml:space="preserve">, </w:t>
      </w:r>
      <w:r w:rsidR="00B84FC7" w:rsidRPr="006325C2">
        <w:t xml:space="preserve">and </w:t>
      </w:r>
      <w:r w:rsidR="00325B19" w:rsidRPr="006325C2">
        <w:t xml:space="preserve">were </w:t>
      </w:r>
      <w:r w:rsidR="00790AED" w:rsidRPr="006325C2">
        <w:t xml:space="preserve">positively </w:t>
      </w:r>
      <w:r w:rsidR="009B263A" w:rsidRPr="006325C2">
        <w:t xml:space="preserve">associated with </w:t>
      </w:r>
      <w:r w:rsidR="001A3AD9" w:rsidRPr="006325C2">
        <w:t>past smoking,</w:t>
      </w:r>
      <w:r w:rsidR="0046328A" w:rsidRPr="006325C2">
        <w:t xml:space="preserve"> </w:t>
      </w:r>
      <w:r w:rsidR="009B263A" w:rsidRPr="006325C2">
        <w:t xml:space="preserve">physical activity, </w:t>
      </w:r>
      <w:r w:rsidR="006E7C4C" w:rsidRPr="006325C2">
        <w:t xml:space="preserve">moderate </w:t>
      </w:r>
      <w:r w:rsidR="007877D4" w:rsidRPr="006325C2">
        <w:t xml:space="preserve">alcohol </w:t>
      </w:r>
      <w:r w:rsidR="00BA3A19" w:rsidRPr="006325C2">
        <w:t>consumption</w:t>
      </w:r>
      <w:r w:rsidR="006E7C4C" w:rsidRPr="006325C2">
        <w:t xml:space="preserve">, </w:t>
      </w:r>
      <w:r w:rsidR="00B84FC7" w:rsidRPr="006325C2">
        <w:t>BMI</w:t>
      </w:r>
      <w:r w:rsidR="0046328A" w:rsidRPr="006325C2">
        <w:t>, history of diabetes, and use of hormone therapy in women</w:t>
      </w:r>
      <w:r w:rsidR="00B84FC7" w:rsidRPr="006325C2">
        <w:t>.</w:t>
      </w:r>
      <w:r w:rsidR="002F313C" w:rsidRPr="006325C2">
        <w:t xml:space="preserve"> </w:t>
      </w:r>
      <w:r w:rsidR="009F352A" w:rsidRPr="006325C2">
        <w:t>Prediagnostic</w:t>
      </w:r>
      <w:r w:rsidR="00B84FC7" w:rsidRPr="006325C2">
        <w:t xml:space="preserve"> </w:t>
      </w:r>
      <w:r w:rsidR="000A10AC" w:rsidRPr="006325C2">
        <w:t xml:space="preserve">dietary </w:t>
      </w:r>
      <w:r w:rsidR="00B84FC7" w:rsidRPr="006325C2">
        <w:t>calcium intake</w:t>
      </w:r>
      <w:r w:rsidR="00F40C86" w:rsidRPr="006325C2">
        <w:t>s</w:t>
      </w:r>
      <w:r w:rsidR="00B84FC7" w:rsidRPr="006325C2">
        <w:t xml:space="preserve"> w</w:t>
      </w:r>
      <w:r w:rsidR="00F40C86" w:rsidRPr="006325C2">
        <w:t>ere</w:t>
      </w:r>
      <w:r w:rsidR="00B84FC7" w:rsidRPr="006325C2">
        <w:t xml:space="preserve"> </w:t>
      </w:r>
      <w:r w:rsidR="0046328A" w:rsidRPr="006325C2">
        <w:t xml:space="preserve">similar </w:t>
      </w:r>
      <w:r w:rsidR="00B84FC7" w:rsidRPr="006325C2">
        <w:t>among patients with diffe</w:t>
      </w:r>
      <w:r w:rsidR="00500706" w:rsidRPr="006325C2">
        <w:t xml:space="preserve">rent </w:t>
      </w:r>
      <w:r w:rsidR="00BA3A19" w:rsidRPr="006325C2">
        <w:t xml:space="preserve">tumor </w:t>
      </w:r>
      <w:r w:rsidR="00500706" w:rsidRPr="006325C2">
        <w:t xml:space="preserve">characteristics. The mean dietary calcium </w:t>
      </w:r>
      <w:r w:rsidR="00BA3A19" w:rsidRPr="006325C2">
        <w:t xml:space="preserve">intake </w:t>
      </w:r>
      <w:r w:rsidR="00500706" w:rsidRPr="006325C2">
        <w:t xml:space="preserve">was </w:t>
      </w:r>
      <w:r w:rsidR="0046328A" w:rsidRPr="006325C2">
        <w:t xml:space="preserve">927 </w:t>
      </w:r>
      <w:r w:rsidR="00500706" w:rsidRPr="006325C2">
        <w:t xml:space="preserve">and </w:t>
      </w:r>
      <w:r w:rsidR="0046328A" w:rsidRPr="006325C2">
        <w:t xml:space="preserve">945 </w:t>
      </w:r>
      <w:r w:rsidR="00B11DEB" w:rsidRPr="006325C2">
        <w:t>mg/d</w:t>
      </w:r>
      <w:r w:rsidR="00104744" w:rsidRPr="006325C2">
        <w:t xml:space="preserve"> in non-small cell and small cell </w:t>
      </w:r>
      <w:r w:rsidR="000A10AC" w:rsidRPr="006325C2">
        <w:t>cases</w:t>
      </w:r>
      <w:r w:rsidR="00104744" w:rsidRPr="006325C2">
        <w:t xml:space="preserve">, </w:t>
      </w:r>
      <w:r w:rsidR="00BC48A2" w:rsidRPr="006325C2">
        <w:t xml:space="preserve">and </w:t>
      </w:r>
      <w:r w:rsidR="0046328A" w:rsidRPr="006325C2">
        <w:t xml:space="preserve">912 </w:t>
      </w:r>
      <w:r w:rsidR="00500706" w:rsidRPr="006325C2">
        <w:t xml:space="preserve">and </w:t>
      </w:r>
      <w:r w:rsidR="0046328A" w:rsidRPr="006325C2">
        <w:t xml:space="preserve">904 </w:t>
      </w:r>
      <w:r w:rsidR="00B11DEB" w:rsidRPr="006325C2">
        <w:t>mg/d</w:t>
      </w:r>
      <w:r w:rsidR="00104744" w:rsidRPr="006325C2">
        <w:t xml:space="preserve"> in early</w:t>
      </w:r>
      <w:r w:rsidR="00671BEA" w:rsidRPr="006325C2">
        <w:t>-</w:t>
      </w:r>
      <w:r w:rsidR="00500706" w:rsidRPr="006325C2">
        <w:t xml:space="preserve">stage </w:t>
      </w:r>
      <w:r w:rsidR="00104744" w:rsidRPr="006325C2">
        <w:t>and advanced</w:t>
      </w:r>
      <w:r w:rsidR="00671BEA" w:rsidRPr="006325C2">
        <w:t>-</w:t>
      </w:r>
      <w:r w:rsidR="00104744" w:rsidRPr="006325C2">
        <w:t>stage</w:t>
      </w:r>
      <w:r w:rsidR="00500706" w:rsidRPr="006325C2">
        <w:t xml:space="preserve"> </w:t>
      </w:r>
      <w:r w:rsidR="000A10AC" w:rsidRPr="006325C2">
        <w:t>cases</w:t>
      </w:r>
      <w:r w:rsidR="00104744" w:rsidRPr="006325C2">
        <w:t xml:space="preserve">, </w:t>
      </w:r>
      <w:r w:rsidR="00096874" w:rsidRPr="006325C2">
        <w:t>respectively</w:t>
      </w:r>
      <w:r w:rsidR="00B84FC7" w:rsidRPr="006325C2">
        <w:t>.</w:t>
      </w:r>
    </w:p>
    <w:p w:rsidR="00E93B7E" w:rsidRPr="006325C2" w:rsidRDefault="00600CFE" w:rsidP="0031730B">
      <w:pPr>
        <w:spacing w:before="60" w:after="0" w:line="480" w:lineRule="auto"/>
        <w:ind w:firstLine="360"/>
      </w:pPr>
      <w:r w:rsidRPr="006325C2">
        <w:t xml:space="preserve">A </w:t>
      </w:r>
      <w:r w:rsidR="00BC48A2" w:rsidRPr="006325C2">
        <w:t xml:space="preserve">majority </w:t>
      </w:r>
      <w:r w:rsidRPr="006325C2">
        <w:t xml:space="preserve">of </w:t>
      </w:r>
      <w:r w:rsidR="00F016A4" w:rsidRPr="006325C2">
        <w:t xml:space="preserve">lung cancer </w:t>
      </w:r>
      <w:r w:rsidR="000A10AC" w:rsidRPr="006325C2">
        <w:t>patients</w:t>
      </w:r>
      <w:r w:rsidRPr="006325C2">
        <w:t xml:space="preserve"> </w:t>
      </w:r>
      <w:r w:rsidR="00F016A4" w:rsidRPr="006325C2">
        <w:t>(</w:t>
      </w:r>
      <w:r w:rsidR="00BC48A2" w:rsidRPr="006325C2">
        <w:t>78.1</w:t>
      </w:r>
      <w:r w:rsidR="00F016A4" w:rsidRPr="006325C2">
        <w:t>%)</w:t>
      </w:r>
      <w:r w:rsidR="00F76143" w:rsidRPr="006325C2">
        <w:t xml:space="preserve"> </w:t>
      </w:r>
      <w:r w:rsidR="00304D96" w:rsidRPr="006325C2">
        <w:t>reported</w:t>
      </w:r>
      <w:r w:rsidR="00F76143" w:rsidRPr="006325C2">
        <w:t xml:space="preserve"> dietary</w:t>
      </w:r>
      <w:r w:rsidRPr="006325C2">
        <w:t xml:space="preserve"> calcium </w:t>
      </w:r>
      <w:r w:rsidR="00F76143" w:rsidRPr="006325C2">
        <w:t>intake</w:t>
      </w:r>
      <w:r w:rsidR="00304D96" w:rsidRPr="006325C2">
        <w:t>s</w:t>
      </w:r>
      <w:r w:rsidR="00F76143" w:rsidRPr="006325C2">
        <w:t xml:space="preserve"> </w:t>
      </w:r>
      <w:r w:rsidR="0004720A" w:rsidRPr="006325C2">
        <w:t xml:space="preserve">at baseline </w:t>
      </w:r>
      <w:r w:rsidR="00BC48A2" w:rsidRPr="006325C2">
        <w:t>from half to 1.5-fold of the RDA</w:t>
      </w:r>
      <w:r w:rsidR="00790AED" w:rsidRPr="006325C2">
        <w:t xml:space="preserve"> (1000 or 1200 mg/d, based on age and sex)</w:t>
      </w:r>
      <w:r w:rsidR="00DD4FF7" w:rsidRPr="006325C2">
        <w:t>;</w:t>
      </w:r>
      <w:r w:rsidR="00F76143" w:rsidRPr="006325C2">
        <w:t xml:space="preserve"> </w:t>
      </w:r>
      <w:r w:rsidR="00DD4FF7" w:rsidRPr="006325C2">
        <w:t xml:space="preserve">however, </w:t>
      </w:r>
      <w:r w:rsidR="00BC48A2" w:rsidRPr="006325C2">
        <w:t>15.5</w:t>
      </w:r>
      <w:r w:rsidR="00F76143" w:rsidRPr="006325C2">
        <w:t xml:space="preserve">% </w:t>
      </w:r>
      <w:r w:rsidR="000A10AC" w:rsidRPr="006325C2">
        <w:t>of patients</w:t>
      </w:r>
      <w:r w:rsidR="00F76143" w:rsidRPr="006325C2">
        <w:t xml:space="preserve"> consumed less than </w:t>
      </w:r>
      <w:r w:rsidR="00F422BC" w:rsidRPr="006325C2">
        <w:t>0.5</w:t>
      </w:r>
      <w:r w:rsidR="00F76143" w:rsidRPr="006325C2">
        <w:t xml:space="preserve"> </w:t>
      </w:r>
      <w:r w:rsidR="00413464" w:rsidRPr="006325C2">
        <w:t>RDA</w:t>
      </w:r>
      <w:r w:rsidR="00F76143" w:rsidRPr="006325C2">
        <w:t xml:space="preserve"> and</w:t>
      </w:r>
      <w:r w:rsidR="00F016A4" w:rsidRPr="006325C2">
        <w:t xml:space="preserve"> </w:t>
      </w:r>
      <w:r w:rsidR="00BC48A2" w:rsidRPr="006325C2">
        <w:t>6</w:t>
      </w:r>
      <w:r w:rsidR="00F016A4" w:rsidRPr="006325C2">
        <w:t xml:space="preserve">.4% consumed </w:t>
      </w:r>
      <w:r w:rsidR="00E93B7E" w:rsidRPr="006325C2">
        <w:t>more</w:t>
      </w:r>
      <w:r w:rsidR="00F016A4" w:rsidRPr="006325C2">
        <w:t xml:space="preserve"> than 1.5 RDA. </w:t>
      </w:r>
      <w:r w:rsidR="00B160F6" w:rsidRPr="006325C2">
        <w:t>A low</w:t>
      </w:r>
      <w:r w:rsidR="000B24EC" w:rsidRPr="006325C2">
        <w:t xml:space="preserve"> </w:t>
      </w:r>
      <w:r w:rsidR="009B263A" w:rsidRPr="006325C2">
        <w:t xml:space="preserve">dietary </w:t>
      </w:r>
      <w:r w:rsidR="000B24EC" w:rsidRPr="006325C2">
        <w:t>calcium intake (</w:t>
      </w:r>
      <w:r w:rsidR="00E93B7E" w:rsidRPr="006325C2">
        <w:t>&lt;</w:t>
      </w:r>
      <w:r w:rsidR="00BC48A2" w:rsidRPr="006325C2">
        <w:t>0.5 RDA</w:t>
      </w:r>
      <w:r w:rsidR="000B24EC" w:rsidRPr="006325C2">
        <w:t>) was associated with a</w:t>
      </w:r>
      <w:r w:rsidR="00BC48A2" w:rsidRPr="006325C2">
        <w:t xml:space="preserve"> small but</w:t>
      </w:r>
      <w:r w:rsidR="000B24EC" w:rsidRPr="006325C2">
        <w:t xml:space="preserve"> significantly </w:t>
      </w:r>
      <w:r w:rsidR="000A2A4C" w:rsidRPr="006325C2">
        <w:t>increased</w:t>
      </w:r>
      <w:r w:rsidR="000B24EC" w:rsidRPr="006325C2">
        <w:t xml:space="preserve"> risk of death compared with </w:t>
      </w:r>
      <w:r w:rsidR="00E93B7E" w:rsidRPr="006325C2">
        <w:t xml:space="preserve">the recommended </w:t>
      </w:r>
      <w:r w:rsidR="00F90809" w:rsidRPr="006325C2">
        <w:t xml:space="preserve">calcium intake </w:t>
      </w:r>
      <w:r w:rsidR="00E93B7E" w:rsidRPr="006325C2">
        <w:t>(</w:t>
      </w:r>
      <w:r w:rsidR="00BC48A2" w:rsidRPr="006325C2">
        <w:t>800-1200</w:t>
      </w:r>
      <w:r w:rsidR="00F90809" w:rsidRPr="006325C2">
        <w:t xml:space="preserve"> mg/d</w:t>
      </w:r>
      <w:r w:rsidR="00E93B7E" w:rsidRPr="006325C2">
        <w:t>)</w:t>
      </w:r>
      <w:r w:rsidR="000B24EC" w:rsidRPr="006325C2">
        <w:t xml:space="preserve"> </w:t>
      </w:r>
      <w:r w:rsidR="000B24EC" w:rsidRPr="006325C2">
        <w:rPr>
          <w:b/>
        </w:rPr>
        <w:t>(Table 2</w:t>
      </w:r>
      <w:r w:rsidR="00BC48A2" w:rsidRPr="006325C2">
        <w:rPr>
          <w:b/>
        </w:rPr>
        <w:t>)</w:t>
      </w:r>
      <w:r w:rsidR="00790AED" w:rsidRPr="006325C2">
        <w:t>;</w:t>
      </w:r>
      <w:r w:rsidR="00BC48A2" w:rsidRPr="006325C2">
        <w:t xml:space="preserve"> the corresponding </w:t>
      </w:r>
      <w:r w:rsidR="000B24EC" w:rsidRPr="006325C2">
        <w:t>HR</w:t>
      </w:r>
      <w:r w:rsidR="009B263A" w:rsidRPr="006325C2">
        <w:t>s</w:t>
      </w:r>
      <w:r w:rsidR="000B24EC" w:rsidRPr="006325C2">
        <w:t xml:space="preserve"> (95% CI</w:t>
      </w:r>
      <w:r w:rsidR="009B263A" w:rsidRPr="006325C2">
        <w:t>s</w:t>
      </w:r>
      <w:r w:rsidR="000B24EC" w:rsidRPr="006325C2">
        <w:t xml:space="preserve">) </w:t>
      </w:r>
      <w:r w:rsidR="00F40C86" w:rsidRPr="006325C2">
        <w:t>were</w:t>
      </w:r>
      <w:r w:rsidR="00BC48A2" w:rsidRPr="006325C2">
        <w:t xml:space="preserve"> </w:t>
      </w:r>
      <w:r w:rsidR="000B24EC" w:rsidRPr="006325C2">
        <w:t>1.</w:t>
      </w:r>
      <w:r w:rsidR="00F22672" w:rsidRPr="006325C2">
        <w:t xml:space="preserve">14 </w:t>
      </w:r>
      <w:r w:rsidR="000B24EC" w:rsidRPr="006325C2">
        <w:t>(1.</w:t>
      </w:r>
      <w:r w:rsidR="00BC48A2" w:rsidRPr="006325C2">
        <w:t>0</w:t>
      </w:r>
      <w:r w:rsidR="00F22672" w:rsidRPr="006325C2">
        <w:t>8</w:t>
      </w:r>
      <w:r w:rsidR="000B24EC" w:rsidRPr="006325C2">
        <w:t>, 1.</w:t>
      </w:r>
      <w:r w:rsidR="00F22672" w:rsidRPr="006325C2">
        <w:t>20</w:t>
      </w:r>
      <w:r w:rsidR="000B24EC" w:rsidRPr="006325C2">
        <w:t>) i</w:t>
      </w:r>
      <w:r w:rsidR="00095EE2" w:rsidRPr="006325C2">
        <w:t xml:space="preserve">n </w:t>
      </w:r>
      <w:r w:rsidR="00FF5740" w:rsidRPr="006325C2">
        <w:t xml:space="preserve">the </w:t>
      </w:r>
      <w:r w:rsidR="00E93B7E" w:rsidRPr="006325C2">
        <w:t>model adjusted for age, sex</w:t>
      </w:r>
      <w:r w:rsidR="00F22672" w:rsidRPr="006325C2">
        <w:t>,</w:t>
      </w:r>
      <w:r w:rsidR="00E93B7E" w:rsidRPr="006325C2">
        <w:t xml:space="preserve"> and total energy</w:t>
      </w:r>
      <w:r w:rsidR="00F40C86" w:rsidRPr="006325C2">
        <w:t>;</w:t>
      </w:r>
      <w:r w:rsidR="000B24EC" w:rsidRPr="006325C2">
        <w:t xml:space="preserve"> and 1.</w:t>
      </w:r>
      <w:r w:rsidR="00BC48A2" w:rsidRPr="006325C2">
        <w:t>0</w:t>
      </w:r>
      <w:r w:rsidR="00F22672" w:rsidRPr="006325C2">
        <w:t>7</w:t>
      </w:r>
      <w:r w:rsidR="00BC48A2" w:rsidRPr="006325C2">
        <w:t xml:space="preserve"> </w:t>
      </w:r>
      <w:r w:rsidR="000B24EC" w:rsidRPr="006325C2">
        <w:t>(1.</w:t>
      </w:r>
      <w:r w:rsidR="00BC48A2" w:rsidRPr="006325C2">
        <w:t>0</w:t>
      </w:r>
      <w:r w:rsidR="00F22672" w:rsidRPr="006325C2">
        <w:t>1</w:t>
      </w:r>
      <w:r w:rsidR="000B24EC" w:rsidRPr="006325C2">
        <w:t>,</w:t>
      </w:r>
      <w:r w:rsidRPr="006325C2">
        <w:t xml:space="preserve"> </w:t>
      </w:r>
      <w:r w:rsidR="000B24EC" w:rsidRPr="006325C2">
        <w:t>1.</w:t>
      </w:r>
      <w:r w:rsidR="00BC48A2" w:rsidRPr="006325C2">
        <w:t>13</w:t>
      </w:r>
      <w:r w:rsidR="000B24EC" w:rsidRPr="006325C2">
        <w:t xml:space="preserve">) in </w:t>
      </w:r>
      <w:r w:rsidR="00FF5740" w:rsidRPr="006325C2">
        <w:t xml:space="preserve">the </w:t>
      </w:r>
      <w:r w:rsidR="000B24EC" w:rsidRPr="006325C2">
        <w:t xml:space="preserve">model </w:t>
      </w:r>
      <w:r w:rsidR="00790AED" w:rsidRPr="006325C2">
        <w:t xml:space="preserve">further </w:t>
      </w:r>
      <w:r w:rsidR="000B24EC" w:rsidRPr="006325C2">
        <w:t xml:space="preserve">adjusted for multiple risk factors, including </w:t>
      </w:r>
      <w:r w:rsidR="00F77536" w:rsidRPr="006325C2">
        <w:t>stage, histologic type, grade</w:t>
      </w:r>
      <w:r w:rsidR="00BC48A2" w:rsidRPr="006325C2">
        <w:t>, and all other characteristics listed in Table 1</w:t>
      </w:r>
      <w:r w:rsidR="00F77536" w:rsidRPr="006325C2">
        <w:t>.</w:t>
      </w:r>
      <w:r w:rsidR="005678A9" w:rsidRPr="006325C2">
        <w:t xml:space="preserve"> </w:t>
      </w:r>
      <w:r w:rsidR="00C94943" w:rsidRPr="006325C2">
        <w:t>S</w:t>
      </w:r>
      <w:r w:rsidR="005678A9" w:rsidRPr="006325C2">
        <w:t>upplemental calcium intake</w:t>
      </w:r>
      <w:r w:rsidR="00C94943" w:rsidRPr="006325C2">
        <w:t xml:space="preserve"> </w:t>
      </w:r>
      <w:r w:rsidR="00F40C86" w:rsidRPr="006325C2">
        <w:t xml:space="preserve">was </w:t>
      </w:r>
      <w:r w:rsidR="00C94943" w:rsidRPr="006325C2">
        <w:t xml:space="preserve">not </w:t>
      </w:r>
      <w:r w:rsidR="00F40C86" w:rsidRPr="006325C2">
        <w:t>associated</w:t>
      </w:r>
      <w:r w:rsidR="00F22672" w:rsidRPr="006325C2">
        <w:t xml:space="preserve"> with lung cancer survival, although</w:t>
      </w:r>
      <w:r w:rsidR="007D0A4B" w:rsidRPr="006325C2">
        <w:t xml:space="preserve"> </w:t>
      </w:r>
      <w:r w:rsidR="00C94943" w:rsidRPr="006325C2">
        <w:t xml:space="preserve">in the age/sex/energy-adjusted model, </w:t>
      </w:r>
      <w:r w:rsidR="007D0A4B" w:rsidRPr="006325C2">
        <w:t>200-</w:t>
      </w:r>
      <w:r w:rsidR="00AA30CD" w:rsidRPr="006325C2">
        <w:t>10</w:t>
      </w:r>
      <w:r w:rsidR="007D0A4B" w:rsidRPr="006325C2">
        <w:t>00 mg/d</w:t>
      </w:r>
      <w:r w:rsidR="00E93B7E" w:rsidRPr="006325C2">
        <w:t xml:space="preserve"> calcium supplementation</w:t>
      </w:r>
      <w:r w:rsidR="007D0A4B" w:rsidRPr="006325C2">
        <w:t xml:space="preserve"> </w:t>
      </w:r>
      <w:r w:rsidR="0031730B" w:rsidRPr="006325C2">
        <w:t xml:space="preserve">appeared </w:t>
      </w:r>
      <w:r w:rsidR="00790AED" w:rsidRPr="006325C2">
        <w:t xml:space="preserve">to be </w:t>
      </w:r>
      <w:r w:rsidR="005678A9" w:rsidRPr="006325C2">
        <w:t xml:space="preserve">associated with a </w:t>
      </w:r>
      <w:r w:rsidR="00E93B7E" w:rsidRPr="006325C2">
        <w:t>reduced risk of death</w:t>
      </w:r>
      <w:r w:rsidR="00C94943" w:rsidRPr="006325C2">
        <w:t xml:space="preserve"> (Table 2)</w:t>
      </w:r>
      <w:r w:rsidR="005678A9" w:rsidRPr="006325C2">
        <w:t>.</w:t>
      </w:r>
    </w:p>
    <w:p w:rsidR="000B626D" w:rsidRPr="006325C2" w:rsidRDefault="00E93B7E" w:rsidP="00E93B7E">
      <w:pPr>
        <w:spacing w:before="60" w:after="0" w:line="480" w:lineRule="auto"/>
        <w:ind w:firstLine="360"/>
      </w:pPr>
      <w:r w:rsidRPr="006325C2">
        <w:t>Stratified analy</w:t>
      </w:r>
      <w:r w:rsidR="0004720A" w:rsidRPr="006325C2">
        <w:t>sis showed that the association</w:t>
      </w:r>
      <w:r w:rsidRPr="006325C2">
        <w:t xml:space="preserve"> of </w:t>
      </w:r>
      <w:r w:rsidR="0004720A" w:rsidRPr="006325C2">
        <w:t xml:space="preserve">a </w:t>
      </w:r>
      <w:r w:rsidRPr="006325C2">
        <w:t xml:space="preserve">low </w:t>
      </w:r>
      <w:r w:rsidR="0004720A" w:rsidRPr="006325C2">
        <w:t xml:space="preserve">prediagnostic </w:t>
      </w:r>
      <w:r w:rsidRPr="006325C2">
        <w:t xml:space="preserve">calcium intake with </w:t>
      </w:r>
      <w:r w:rsidR="0004720A" w:rsidRPr="006325C2">
        <w:t xml:space="preserve">poor </w:t>
      </w:r>
      <w:r w:rsidRPr="006325C2">
        <w:t xml:space="preserve">lung cancer </w:t>
      </w:r>
      <w:r w:rsidR="0004720A" w:rsidRPr="006325C2">
        <w:t>survival</w:t>
      </w:r>
      <w:r w:rsidRPr="006325C2">
        <w:t xml:space="preserve"> w</w:t>
      </w:r>
      <w:r w:rsidR="0004720A" w:rsidRPr="006325C2">
        <w:t>as</w:t>
      </w:r>
      <w:r w:rsidRPr="006325C2">
        <w:t xml:space="preserve"> more evident in men than in women</w:t>
      </w:r>
      <w:r w:rsidR="001B1C0D" w:rsidRPr="006325C2">
        <w:t xml:space="preserve"> (</w:t>
      </w:r>
      <w:r w:rsidR="001B1C0D" w:rsidRPr="006325C2">
        <w:rPr>
          <w:i/>
        </w:rPr>
        <w:t>P</w:t>
      </w:r>
      <w:r w:rsidR="001B1C0D" w:rsidRPr="006325C2">
        <w:t xml:space="preserve"> for interaction = 0.01)</w:t>
      </w:r>
      <w:r w:rsidRPr="006325C2">
        <w:t>, and in early-stage cases than in distant-stage cases (</w:t>
      </w:r>
      <w:r w:rsidRPr="006325C2">
        <w:rPr>
          <w:i/>
        </w:rPr>
        <w:t>P</w:t>
      </w:r>
      <w:r w:rsidRPr="006325C2">
        <w:t xml:space="preserve"> for interaction = 0.0</w:t>
      </w:r>
      <w:r w:rsidR="001B1C0D" w:rsidRPr="006325C2">
        <w:t>06</w:t>
      </w:r>
      <w:r w:rsidRPr="006325C2">
        <w:t xml:space="preserve">) </w:t>
      </w:r>
      <w:r w:rsidRPr="006325C2">
        <w:rPr>
          <w:b/>
        </w:rPr>
        <w:t xml:space="preserve">(Figure </w:t>
      </w:r>
      <w:r w:rsidR="005F3A51" w:rsidRPr="006325C2">
        <w:rPr>
          <w:b/>
        </w:rPr>
        <w:t>1</w:t>
      </w:r>
      <w:r w:rsidRPr="006325C2">
        <w:rPr>
          <w:b/>
        </w:rPr>
        <w:t>)</w:t>
      </w:r>
      <w:r w:rsidRPr="006325C2">
        <w:t xml:space="preserve">. In particular, </w:t>
      </w:r>
      <w:r w:rsidR="0004720A" w:rsidRPr="006325C2">
        <w:t xml:space="preserve">a </w:t>
      </w:r>
      <w:r w:rsidRPr="006325C2">
        <w:t>low calcium intake</w:t>
      </w:r>
      <w:r w:rsidR="00CF46EB" w:rsidRPr="006325C2">
        <w:t xml:space="preserve"> (&lt;0.5 RDA)</w:t>
      </w:r>
      <w:r w:rsidRPr="006325C2">
        <w:t xml:space="preserve"> was associated with a 15% increased </w:t>
      </w:r>
      <w:r w:rsidR="00E45CC8" w:rsidRPr="006325C2">
        <w:t>mortality</w:t>
      </w:r>
      <w:r w:rsidRPr="006325C2">
        <w:t xml:space="preserve"> in male patients (95% CI: 6-25%)</w:t>
      </w:r>
      <w:r w:rsidR="0004720A" w:rsidRPr="006325C2">
        <w:t>,</w:t>
      </w:r>
      <w:r w:rsidRPr="006325C2">
        <w:t xml:space="preserve"> and a 15% increase in </w:t>
      </w:r>
      <w:r w:rsidR="000B626D" w:rsidRPr="006325C2">
        <w:t>localized or regional stage</w:t>
      </w:r>
      <w:r w:rsidR="00E45CC8" w:rsidRPr="006325C2">
        <w:t xml:space="preserve"> patients</w:t>
      </w:r>
      <w:r w:rsidRPr="006325C2">
        <w:t xml:space="preserve"> (95% CI: 4-27%)</w:t>
      </w:r>
      <w:r w:rsidR="00BF0EB0" w:rsidRPr="006325C2">
        <w:t xml:space="preserve"> compared with the recommended </w:t>
      </w:r>
      <w:r w:rsidR="009B4749" w:rsidRPr="006325C2">
        <w:t xml:space="preserve">level of </w:t>
      </w:r>
      <w:r w:rsidR="00BF0EB0" w:rsidRPr="006325C2">
        <w:t>calcium intake</w:t>
      </w:r>
      <w:r w:rsidRPr="006325C2">
        <w:t>.</w:t>
      </w:r>
      <w:r w:rsidR="000B626D" w:rsidRPr="006325C2">
        <w:t xml:space="preserve"> </w:t>
      </w:r>
      <w:r w:rsidR="00B13CDF" w:rsidRPr="006325C2">
        <w:t>T</w:t>
      </w:r>
      <w:r w:rsidR="00EC4861" w:rsidRPr="006325C2">
        <w:t>he association</w:t>
      </w:r>
      <w:r w:rsidR="00AC1297" w:rsidRPr="006325C2">
        <w:t xml:space="preserve"> </w:t>
      </w:r>
      <w:r w:rsidR="00B13CDF" w:rsidRPr="006325C2">
        <w:t xml:space="preserve">appeared slightly </w:t>
      </w:r>
      <w:r w:rsidR="000B626D" w:rsidRPr="006325C2">
        <w:t xml:space="preserve">stronger </w:t>
      </w:r>
      <w:r w:rsidR="00AC1297" w:rsidRPr="006325C2">
        <w:t>in White</w:t>
      </w:r>
      <w:r w:rsidR="000B626D" w:rsidRPr="006325C2">
        <w:t xml:space="preserve"> and Asian patients than in Black</w:t>
      </w:r>
      <w:r w:rsidR="00AC1297" w:rsidRPr="006325C2">
        <w:t xml:space="preserve"> </w:t>
      </w:r>
      <w:r w:rsidR="00A2277B" w:rsidRPr="006325C2">
        <w:t>patients</w:t>
      </w:r>
      <w:r w:rsidR="000B626D" w:rsidRPr="006325C2">
        <w:t xml:space="preserve"> and in never smokers than in ever smokers</w:t>
      </w:r>
      <w:r w:rsidR="00971323" w:rsidRPr="006325C2">
        <w:t>;</w:t>
      </w:r>
      <w:r w:rsidR="000B626D" w:rsidRPr="006325C2">
        <w:t xml:space="preserve"> however,</w:t>
      </w:r>
      <w:r w:rsidR="000B626D" w:rsidRPr="006325C2">
        <w:rPr>
          <w:i/>
        </w:rPr>
        <w:t xml:space="preserve"> </w:t>
      </w:r>
      <w:r w:rsidR="000B626D" w:rsidRPr="006325C2">
        <w:t xml:space="preserve">neither </w:t>
      </w:r>
      <w:r w:rsidR="000B626D" w:rsidRPr="006325C2">
        <w:rPr>
          <w:i/>
        </w:rPr>
        <w:t>P</w:t>
      </w:r>
      <w:r w:rsidR="000B626D" w:rsidRPr="006325C2">
        <w:t xml:space="preserve"> for interaction was significant.</w:t>
      </w:r>
      <w:r w:rsidR="002F4EB8" w:rsidRPr="006325C2">
        <w:t xml:space="preserve"> </w:t>
      </w:r>
      <w:r w:rsidR="004618B2" w:rsidRPr="006325C2">
        <w:t xml:space="preserve">We did not observe significant interactions by </w:t>
      </w:r>
      <w:r w:rsidR="00BF0EB0" w:rsidRPr="006325C2">
        <w:t>other potential effect modifiers</w:t>
      </w:r>
      <w:r w:rsidR="00F26724" w:rsidRPr="006325C2">
        <w:t xml:space="preserve"> (Figure 1)</w:t>
      </w:r>
      <w:r w:rsidR="004618B2" w:rsidRPr="006325C2">
        <w:t xml:space="preserve">.  </w:t>
      </w:r>
      <w:r w:rsidR="002F4EB8" w:rsidRPr="006325C2">
        <w:t xml:space="preserve"> </w:t>
      </w:r>
    </w:p>
    <w:p w:rsidR="00E93B7E" w:rsidRPr="006325C2" w:rsidRDefault="00E93B7E" w:rsidP="00C42A8F">
      <w:pPr>
        <w:spacing w:before="60" w:after="0" w:line="480" w:lineRule="auto"/>
        <w:ind w:firstLine="360"/>
      </w:pPr>
      <w:r w:rsidRPr="006325C2">
        <w:t xml:space="preserve">We thereafter focused our analyses among early-stage lung cancer cases (n=8,103). The risks of death by different levels of prediagnostic calcium intake are shown in </w:t>
      </w:r>
      <w:r w:rsidRPr="006325C2">
        <w:rPr>
          <w:b/>
        </w:rPr>
        <w:t>Table 3</w:t>
      </w:r>
      <w:r w:rsidRPr="006325C2">
        <w:t xml:space="preserve">. A low dietary calcium intake (&lt;0.5 RDA vs. RDA) was significantly associated with increased lung cancer mortality </w:t>
      </w:r>
      <w:r w:rsidR="00191699" w:rsidRPr="006325C2">
        <w:t>in</w:t>
      </w:r>
      <w:r w:rsidRPr="006325C2">
        <w:t xml:space="preserve"> early-stage patients, especially </w:t>
      </w:r>
      <w:r w:rsidR="00191699" w:rsidRPr="006325C2">
        <w:t>for</w:t>
      </w:r>
      <w:r w:rsidRPr="006325C2">
        <w:t xml:space="preserve"> m</w:t>
      </w:r>
      <w:r w:rsidR="00EC4861" w:rsidRPr="006325C2">
        <w:t>en</w:t>
      </w:r>
      <w:r w:rsidRPr="006325C2">
        <w:t xml:space="preserve"> (HR [95% CI] = 1.25 [1.08, 1.45]) and never smokers (HR [95% CI] = 1.45 [1.01, 2.08]).</w:t>
      </w:r>
      <w:r w:rsidR="00C42A8F" w:rsidRPr="006325C2">
        <w:t xml:space="preserve"> </w:t>
      </w:r>
      <w:r w:rsidRPr="006325C2">
        <w:t xml:space="preserve">Notably, </w:t>
      </w:r>
      <w:r w:rsidR="000B626D" w:rsidRPr="006325C2">
        <w:t xml:space="preserve">we also observed that </w:t>
      </w:r>
      <w:r w:rsidRPr="006325C2">
        <w:t xml:space="preserve">a </w:t>
      </w:r>
      <w:r w:rsidR="00191699" w:rsidRPr="006325C2">
        <w:t xml:space="preserve">very </w:t>
      </w:r>
      <w:r w:rsidRPr="006325C2">
        <w:t xml:space="preserve">high calcium intake (&gt;1.5 RDA vs. RDA) was associated with </w:t>
      </w:r>
      <w:r w:rsidR="00191699" w:rsidRPr="006325C2">
        <w:t>increased mortality</w:t>
      </w:r>
      <w:r w:rsidRPr="006325C2">
        <w:t xml:space="preserve"> in early</w:t>
      </w:r>
      <w:r w:rsidR="005F3A51" w:rsidRPr="006325C2">
        <w:t>-</w:t>
      </w:r>
      <w:r w:rsidRPr="006325C2">
        <w:t>stage female patients</w:t>
      </w:r>
      <w:r w:rsidR="001845E7" w:rsidRPr="006325C2">
        <w:t xml:space="preserve"> </w:t>
      </w:r>
      <w:r w:rsidR="00C42A8F" w:rsidRPr="006325C2">
        <w:t>with</w:t>
      </w:r>
      <w:r w:rsidR="00EC4861" w:rsidRPr="006325C2">
        <w:t xml:space="preserve"> </w:t>
      </w:r>
      <w:r w:rsidRPr="006325C2">
        <w:t xml:space="preserve">HR (95% CI) </w:t>
      </w:r>
      <w:r w:rsidR="00C42A8F" w:rsidRPr="006325C2">
        <w:t>of</w:t>
      </w:r>
      <w:r w:rsidR="005F3A51" w:rsidRPr="006325C2">
        <w:t xml:space="preserve"> 1.33 (1.05, 1.70)</w:t>
      </w:r>
      <w:r w:rsidR="00971323" w:rsidRPr="006325C2">
        <w:t>,</w:t>
      </w:r>
      <w:r w:rsidR="001845E7" w:rsidRPr="006325C2">
        <w:t xml:space="preserve"> although there were only 89 deaths and 134 female patients with </w:t>
      </w:r>
      <w:r w:rsidR="00971323" w:rsidRPr="006325C2">
        <w:t xml:space="preserve">a </w:t>
      </w:r>
      <w:r w:rsidR="001845E7" w:rsidRPr="006325C2">
        <w:t>calcium intake</w:t>
      </w:r>
      <w:r w:rsidR="00971323" w:rsidRPr="006325C2">
        <w:t xml:space="preserve"> this high</w:t>
      </w:r>
      <w:r w:rsidR="001845E7" w:rsidRPr="006325C2">
        <w:t>.</w:t>
      </w:r>
      <w:r w:rsidRPr="006325C2">
        <w:t xml:space="preserve"> </w:t>
      </w:r>
      <w:r w:rsidR="001845E7" w:rsidRPr="006325C2">
        <w:t>W</w:t>
      </w:r>
      <w:r w:rsidR="005F3A51" w:rsidRPr="006325C2">
        <w:t>e did not observe a similar</w:t>
      </w:r>
      <w:r w:rsidR="00191699" w:rsidRPr="006325C2">
        <w:t>ly</w:t>
      </w:r>
      <w:r w:rsidR="005F3A51" w:rsidRPr="006325C2">
        <w:t xml:space="preserve"> increased risk </w:t>
      </w:r>
      <w:r w:rsidRPr="006325C2">
        <w:t xml:space="preserve">in </w:t>
      </w:r>
      <w:r w:rsidR="001845E7" w:rsidRPr="006325C2">
        <w:t>early-stage male patients</w:t>
      </w:r>
      <w:r w:rsidRPr="006325C2">
        <w:t xml:space="preserve">. </w:t>
      </w:r>
      <w:r w:rsidR="00B764E2" w:rsidRPr="006325C2">
        <w:t xml:space="preserve">Among early-stage patients who had a low dietary calcium intake, supplemental calcium intake showed a </w:t>
      </w:r>
      <w:r w:rsidR="002A1D7E" w:rsidRPr="006325C2">
        <w:t xml:space="preserve">possible </w:t>
      </w:r>
      <w:r w:rsidR="00B764E2" w:rsidRPr="006325C2">
        <w:t xml:space="preserve">trend of inverse association with death risk; compared with no or </w:t>
      </w:r>
      <w:r w:rsidR="003A14A8" w:rsidRPr="006325C2">
        <w:t>little</w:t>
      </w:r>
      <w:r w:rsidR="009879DB" w:rsidRPr="006325C2">
        <w:t xml:space="preserve"> supplemental calcium (</w:t>
      </w:r>
      <w:r w:rsidR="00683DC7" w:rsidRPr="006325C2">
        <w:t>&lt;</w:t>
      </w:r>
      <w:r w:rsidR="009879DB" w:rsidRPr="006325C2">
        <w:t>200 mg/d), HRs (95% CIs) were 0.90 (0.71, 1.13) and 0.68 (0.44, 1.07) for supplemental calcium of 200-1000 and &gt;1000 mg/d, respectively.</w:t>
      </w:r>
      <w:r w:rsidR="003A14A8" w:rsidRPr="006325C2">
        <w:t xml:space="preserve"> Meanwhile, among patients who had </w:t>
      </w:r>
      <w:r w:rsidR="00971323" w:rsidRPr="006325C2">
        <w:t xml:space="preserve">no </w:t>
      </w:r>
      <w:r w:rsidR="003A14A8" w:rsidRPr="006325C2">
        <w:t xml:space="preserve">or little supplemental calcium intake, </w:t>
      </w:r>
      <w:r w:rsidR="00971323" w:rsidRPr="006325C2">
        <w:t xml:space="preserve">the </w:t>
      </w:r>
      <w:r w:rsidR="003A14A8" w:rsidRPr="006325C2">
        <w:t xml:space="preserve">HR (95% CI) for a low dietary calcium intake (&lt;0.5 RDA vs. RDA) was 1.17 (1.02, 1.35).  </w:t>
      </w:r>
      <w:r w:rsidR="00B764E2" w:rsidRPr="006325C2">
        <w:t xml:space="preserve">   </w:t>
      </w:r>
    </w:p>
    <w:p w:rsidR="005F3A51" w:rsidRPr="006325C2" w:rsidRDefault="005F3A51" w:rsidP="00DD5BF7">
      <w:pPr>
        <w:spacing w:before="60" w:after="0" w:line="480" w:lineRule="auto"/>
        <w:ind w:firstLine="360"/>
      </w:pPr>
      <w:r w:rsidRPr="006325C2">
        <w:t xml:space="preserve">In cubic spline modeling, the lowest </w:t>
      </w:r>
      <w:r w:rsidR="00191699" w:rsidRPr="006325C2">
        <w:t xml:space="preserve">mortality among </w:t>
      </w:r>
      <w:r w:rsidR="00232C3C" w:rsidRPr="006325C2">
        <w:t xml:space="preserve">early-stage </w:t>
      </w:r>
      <w:r w:rsidR="00191699" w:rsidRPr="006325C2">
        <w:t>lung cancer patients</w:t>
      </w:r>
      <w:r w:rsidRPr="006325C2">
        <w:t xml:space="preserve"> was observed for </w:t>
      </w:r>
      <w:r w:rsidR="00191699" w:rsidRPr="006325C2">
        <w:t>dietary calcium intake</w:t>
      </w:r>
      <w:r w:rsidR="00EC4861" w:rsidRPr="006325C2">
        <w:t>s</w:t>
      </w:r>
      <w:r w:rsidR="00191699" w:rsidRPr="006325C2">
        <w:t xml:space="preserve"> of </w:t>
      </w:r>
      <w:r w:rsidR="00DD5BF7" w:rsidRPr="006325C2">
        <w:t>8</w:t>
      </w:r>
      <w:r w:rsidRPr="006325C2">
        <w:t>00-1200 mg/d (</w:t>
      </w:r>
      <w:r w:rsidRPr="006325C2">
        <w:rPr>
          <w:b/>
        </w:rPr>
        <w:t>Figure 2</w:t>
      </w:r>
      <w:r w:rsidR="00232C3C" w:rsidRPr="006325C2">
        <w:rPr>
          <w:b/>
        </w:rPr>
        <w:t xml:space="preserve">a, </w:t>
      </w:r>
      <w:r w:rsidR="00232C3C" w:rsidRPr="006325C2">
        <w:rPr>
          <w:i/>
        </w:rPr>
        <w:t>P</w:t>
      </w:r>
      <w:r w:rsidR="00232C3C" w:rsidRPr="006325C2">
        <w:t xml:space="preserve"> = 0.03</w:t>
      </w:r>
      <w:r w:rsidRPr="006325C2">
        <w:t xml:space="preserve">). </w:t>
      </w:r>
      <w:r w:rsidR="00971323" w:rsidRPr="006325C2">
        <w:t>C</w:t>
      </w:r>
      <w:r w:rsidRPr="006325C2">
        <w:t xml:space="preserve">onsistent with </w:t>
      </w:r>
      <w:r w:rsidR="00EC4861" w:rsidRPr="006325C2">
        <w:t xml:space="preserve">the </w:t>
      </w:r>
      <w:r w:rsidRPr="006325C2">
        <w:t xml:space="preserve">above findings, low dietary calcium intake </w:t>
      </w:r>
      <w:r w:rsidR="00DD5BF7" w:rsidRPr="006325C2">
        <w:t>w</w:t>
      </w:r>
      <w:r w:rsidR="00EC4861" w:rsidRPr="006325C2">
        <w:t>as</w:t>
      </w:r>
      <w:r w:rsidR="00DD5BF7" w:rsidRPr="006325C2">
        <w:t xml:space="preserve"> associated with increased mortality, especially among </w:t>
      </w:r>
      <w:r w:rsidR="00232C3C" w:rsidRPr="006325C2">
        <w:t>early-stage</w:t>
      </w:r>
      <w:r w:rsidR="00191699" w:rsidRPr="006325C2">
        <w:t xml:space="preserve"> </w:t>
      </w:r>
      <w:r w:rsidR="00232C3C" w:rsidRPr="006325C2">
        <w:t>male patients (Figure 2b</w:t>
      </w:r>
      <w:r w:rsidR="00DD5BF7" w:rsidRPr="006325C2">
        <w:t xml:space="preserve">). Meanwhile, </w:t>
      </w:r>
      <w:r w:rsidRPr="006325C2">
        <w:t xml:space="preserve">very high calcium intake </w:t>
      </w:r>
      <w:r w:rsidR="00DD5BF7" w:rsidRPr="006325C2">
        <w:t xml:space="preserve">might </w:t>
      </w:r>
      <w:r w:rsidR="00EC4861" w:rsidRPr="006325C2">
        <w:t xml:space="preserve">also </w:t>
      </w:r>
      <w:r w:rsidR="00DD5BF7" w:rsidRPr="006325C2">
        <w:t xml:space="preserve">be </w:t>
      </w:r>
      <w:r w:rsidRPr="006325C2">
        <w:t xml:space="preserve">associated with </w:t>
      </w:r>
      <w:r w:rsidR="00DD5BF7" w:rsidRPr="006325C2">
        <w:t xml:space="preserve">increased </w:t>
      </w:r>
      <w:r w:rsidR="00191699" w:rsidRPr="006325C2">
        <w:t>mortality</w:t>
      </w:r>
      <w:r w:rsidR="00DD5BF7" w:rsidRPr="006325C2">
        <w:t xml:space="preserve"> among early-stage female patients (Figure 2c), although the confidence interval was</w:t>
      </w:r>
      <w:r w:rsidRPr="006325C2">
        <w:t xml:space="preserve"> </w:t>
      </w:r>
      <w:r w:rsidR="00191699" w:rsidRPr="006325C2">
        <w:t xml:space="preserve">very </w:t>
      </w:r>
      <w:r w:rsidRPr="006325C2">
        <w:t>wide</w:t>
      </w:r>
      <w:r w:rsidR="00DD5BF7" w:rsidRPr="006325C2">
        <w:t xml:space="preserve">. </w:t>
      </w:r>
    </w:p>
    <w:p w:rsidR="0002395C" w:rsidRPr="006325C2" w:rsidRDefault="00285C47" w:rsidP="00434502">
      <w:pPr>
        <w:spacing w:before="60" w:after="0" w:line="480" w:lineRule="auto"/>
        <w:ind w:firstLine="360"/>
      </w:pPr>
      <w:r w:rsidRPr="006325C2">
        <w:t>R</w:t>
      </w:r>
      <w:r w:rsidR="0002395C" w:rsidRPr="006325C2">
        <w:t xml:space="preserve">esults </w:t>
      </w:r>
      <w:r w:rsidR="00DD5BF7" w:rsidRPr="006325C2">
        <w:t>were robust</w:t>
      </w:r>
      <w:r w:rsidRPr="006325C2">
        <w:t xml:space="preserve"> in sensitivity analyses and </w:t>
      </w:r>
      <w:r w:rsidR="001F3A69" w:rsidRPr="006325C2">
        <w:t xml:space="preserve">in </w:t>
      </w:r>
      <w:r w:rsidRPr="006325C2">
        <w:t>meta-analysis</w:t>
      </w:r>
      <w:r w:rsidR="0002395C" w:rsidRPr="006325C2">
        <w:t>. The HR</w:t>
      </w:r>
      <w:r w:rsidR="00F422BC" w:rsidRPr="006325C2">
        <w:t>s</w:t>
      </w:r>
      <w:r w:rsidR="0002395C" w:rsidRPr="006325C2">
        <w:t xml:space="preserve"> (95% CI) </w:t>
      </w:r>
      <w:r w:rsidR="00EC4861" w:rsidRPr="006325C2">
        <w:t>in</w:t>
      </w:r>
      <w:r w:rsidR="00022577" w:rsidRPr="006325C2">
        <w:t xml:space="preserve"> early-stage cases </w:t>
      </w:r>
      <w:r w:rsidR="0002395C" w:rsidRPr="006325C2">
        <w:t xml:space="preserve">for </w:t>
      </w:r>
      <w:r w:rsidR="0027217C" w:rsidRPr="006325C2">
        <w:t xml:space="preserve">low dietary </w:t>
      </w:r>
      <w:r w:rsidR="0002395C" w:rsidRPr="006325C2">
        <w:t>calcium intake</w:t>
      </w:r>
      <w:r w:rsidR="00996C81" w:rsidRPr="006325C2">
        <w:t xml:space="preserve"> </w:t>
      </w:r>
      <w:r w:rsidR="0002395C" w:rsidRPr="006325C2">
        <w:t>w</w:t>
      </w:r>
      <w:r w:rsidR="00F422BC" w:rsidRPr="006325C2">
        <w:t>ere</w:t>
      </w:r>
      <w:r w:rsidR="0002395C" w:rsidRPr="006325C2">
        <w:t xml:space="preserve"> 1.</w:t>
      </w:r>
      <w:r w:rsidR="0027217C" w:rsidRPr="006325C2">
        <w:t xml:space="preserve">14 </w:t>
      </w:r>
      <w:r w:rsidR="0002395C" w:rsidRPr="006325C2">
        <w:t>(1.</w:t>
      </w:r>
      <w:r w:rsidR="0027217C" w:rsidRPr="006325C2">
        <w:t>02</w:t>
      </w:r>
      <w:r w:rsidR="0002395C" w:rsidRPr="006325C2">
        <w:t>, 1.</w:t>
      </w:r>
      <w:r w:rsidR="005F00A7" w:rsidRPr="006325C2">
        <w:t>28</w:t>
      </w:r>
      <w:r w:rsidR="0002395C" w:rsidRPr="006325C2">
        <w:t xml:space="preserve">) after excluding those diagnosed with lung cancer within </w:t>
      </w:r>
      <w:r w:rsidR="00D46282" w:rsidRPr="006325C2">
        <w:t>two</w:t>
      </w:r>
      <w:r w:rsidR="0002395C" w:rsidRPr="006325C2">
        <w:t xml:space="preserve"> years after baseline </w:t>
      </w:r>
      <w:r w:rsidR="005F00A7" w:rsidRPr="006325C2">
        <w:t>(n=6,362)</w:t>
      </w:r>
      <w:r w:rsidR="0002395C" w:rsidRPr="006325C2">
        <w:t>, 1.</w:t>
      </w:r>
      <w:r w:rsidR="005F00A7" w:rsidRPr="006325C2">
        <w:t xml:space="preserve">17 </w:t>
      </w:r>
      <w:r w:rsidR="0002395C" w:rsidRPr="006325C2">
        <w:t>(</w:t>
      </w:r>
      <w:r w:rsidR="00022577" w:rsidRPr="006325C2">
        <w:t>1.</w:t>
      </w:r>
      <w:r w:rsidR="005F00A7" w:rsidRPr="006325C2">
        <w:t>05</w:t>
      </w:r>
      <w:r w:rsidR="0002395C" w:rsidRPr="006325C2">
        <w:t>, 1.</w:t>
      </w:r>
      <w:r w:rsidR="005F00A7" w:rsidRPr="006325C2">
        <w:t>30</w:t>
      </w:r>
      <w:r w:rsidR="0002395C" w:rsidRPr="006325C2">
        <w:t>)</w:t>
      </w:r>
      <w:r w:rsidR="00AA2B35" w:rsidRPr="006325C2">
        <w:t>,</w:t>
      </w:r>
      <w:r w:rsidR="0002395C" w:rsidRPr="006325C2">
        <w:t xml:space="preserve"> after excluding those </w:t>
      </w:r>
      <w:r w:rsidR="00F422BC" w:rsidRPr="006325C2">
        <w:t xml:space="preserve">who </w:t>
      </w:r>
      <w:r w:rsidR="0002395C" w:rsidRPr="006325C2">
        <w:t xml:space="preserve">died within </w:t>
      </w:r>
      <w:r w:rsidR="00D46282" w:rsidRPr="006325C2">
        <w:t>three</w:t>
      </w:r>
      <w:r w:rsidR="0002395C" w:rsidRPr="006325C2">
        <w:t xml:space="preserve"> months </w:t>
      </w:r>
      <w:r w:rsidR="00F422BC" w:rsidRPr="006325C2">
        <w:t>after</w:t>
      </w:r>
      <w:r w:rsidR="0002395C" w:rsidRPr="006325C2">
        <w:t xml:space="preserve"> lung cancer diagnosis</w:t>
      </w:r>
      <w:r w:rsidR="005F00A7" w:rsidRPr="006325C2">
        <w:t xml:space="preserve"> (n=7,246)</w:t>
      </w:r>
      <w:r w:rsidR="00F422BC" w:rsidRPr="006325C2">
        <w:t>, 1.</w:t>
      </w:r>
      <w:r w:rsidR="005F00A7" w:rsidRPr="006325C2">
        <w:t xml:space="preserve">15 </w:t>
      </w:r>
      <w:r w:rsidR="00F422BC" w:rsidRPr="006325C2">
        <w:t>(</w:t>
      </w:r>
      <w:r w:rsidR="005F00A7" w:rsidRPr="006325C2">
        <w:t>1.02</w:t>
      </w:r>
      <w:r w:rsidR="00F422BC" w:rsidRPr="006325C2">
        <w:t>, 1.</w:t>
      </w:r>
      <w:r w:rsidR="005F00A7" w:rsidRPr="006325C2">
        <w:t>28</w:t>
      </w:r>
      <w:r w:rsidR="00F422BC" w:rsidRPr="006325C2">
        <w:t xml:space="preserve">) </w:t>
      </w:r>
      <w:r w:rsidR="00D425AE" w:rsidRPr="006325C2">
        <w:t>for lung cancer-specific deaths</w:t>
      </w:r>
      <w:r w:rsidRPr="006325C2">
        <w:t>, and 1.</w:t>
      </w:r>
      <w:r w:rsidR="005F00A7" w:rsidRPr="006325C2">
        <w:t xml:space="preserve">14 </w:t>
      </w:r>
      <w:r w:rsidRPr="006325C2">
        <w:t>(1.</w:t>
      </w:r>
      <w:r w:rsidR="005F00A7" w:rsidRPr="006325C2">
        <w:t>02</w:t>
      </w:r>
      <w:r w:rsidRPr="006325C2">
        <w:t>, 1.</w:t>
      </w:r>
      <w:r w:rsidR="005F00A7" w:rsidRPr="006325C2">
        <w:t>28</w:t>
      </w:r>
      <w:r w:rsidRPr="006325C2">
        <w:t xml:space="preserve">) in a </w:t>
      </w:r>
      <w:r w:rsidR="00834E96" w:rsidRPr="006325C2">
        <w:t>fixed-</w:t>
      </w:r>
      <w:r w:rsidRPr="006325C2">
        <w:t>effect meta-analysis</w:t>
      </w:r>
      <w:r w:rsidR="00834E96" w:rsidRPr="006325C2">
        <w:t xml:space="preserve"> (</w:t>
      </w:r>
      <w:r w:rsidR="00834E96" w:rsidRPr="006325C2">
        <w:rPr>
          <w:i/>
        </w:rPr>
        <w:t>P</w:t>
      </w:r>
      <w:r w:rsidR="00834E96" w:rsidRPr="006325C2">
        <w:t xml:space="preserve"> for </w:t>
      </w:r>
      <w:r w:rsidR="00DD5BF7" w:rsidRPr="006325C2">
        <w:t>heterogeneity</w:t>
      </w:r>
      <w:r w:rsidR="00834E96" w:rsidRPr="006325C2">
        <w:t xml:space="preserve"> = 0.</w:t>
      </w:r>
      <w:r w:rsidR="005F00A7" w:rsidRPr="006325C2">
        <w:t>39</w:t>
      </w:r>
      <w:r w:rsidR="00834E96" w:rsidRPr="006325C2">
        <w:t>)</w:t>
      </w:r>
      <w:r w:rsidR="005F00A7" w:rsidRPr="006325C2">
        <w:t xml:space="preserve"> </w:t>
      </w:r>
      <w:r w:rsidR="005F00A7" w:rsidRPr="006325C2">
        <w:rPr>
          <w:b/>
        </w:rPr>
        <w:t>(Supplemental Figure 1)</w:t>
      </w:r>
      <w:r w:rsidR="00F422BC" w:rsidRPr="006325C2">
        <w:t xml:space="preserve">. </w:t>
      </w:r>
      <w:r w:rsidR="000251EB" w:rsidRPr="006325C2">
        <w:t xml:space="preserve">Among major calcium-contributing foods, a higher </w:t>
      </w:r>
      <w:r w:rsidR="00D040F2" w:rsidRPr="006325C2">
        <w:t xml:space="preserve">intake of </w:t>
      </w:r>
      <w:r w:rsidR="000251EB" w:rsidRPr="006325C2">
        <w:t xml:space="preserve">green leafy vegetables was associated with </w:t>
      </w:r>
      <w:r w:rsidR="003A14A8" w:rsidRPr="006325C2">
        <w:t xml:space="preserve">a </w:t>
      </w:r>
      <w:r w:rsidR="000251EB" w:rsidRPr="006325C2">
        <w:t>better lung cancer survival; the HR</w:t>
      </w:r>
      <w:r w:rsidR="003A14A8" w:rsidRPr="006325C2">
        <w:t>s</w:t>
      </w:r>
      <w:r w:rsidR="000251EB" w:rsidRPr="006325C2">
        <w:t xml:space="preserve"> (95% CI</w:t>
      </w:r>
      <w:r w:rsidR="003215EC" w:rsidRPr="006325C2">
        <w:t>s</w:t>
      </w:r>
      <w:r w:rsidR="000251EB" w:rsidRPr="006325C2">
        <w:t>) w</w:t>
      </w:r>
      <w:r w:rsidR="003A14A8" w:rsidRPr="006325C2">
        <w:t>ere</w:t>
      </w:r>
      <w:r w:rsidR="000251EB" w:rsidRPr="006325C2">
        <w:t xml:space="preserve"> 0.8</w:t>
      </w:r>
      <w:r w:rsidR="00D040F2" w:rsidRPr="006325C2">
        <w:t>8</w:t>
      </w:r>
      <w:r w:rsidR="000251EB" w:rsidRPr="006325C2">
        <w:t xml:space="preserve"> (0.8</w:t>
      </w:r>
      <w:r w:rsidR="00D040F2" w:rsidRPr="006325C2">
        <w:t>1</w:t>
      </w:r>
      <w:r w:rsidR="000251EB" w:rsidRPr="006325C2">
        <w:t>, 0.9</w:t>
      </w:r>
      <w:r w:rsidR="00D040F2" w:rsidRPr="006325C2">
        <w:t>5</w:t>
      </w:r>
      <w:r w:rsidR="000251EB" w:rsidRPr="006325C2">
        <w:t>)</w:t>
      </w:r>
      <w:r w:rsidR="00D040F2" w:rsidRPr="006325C2">
        <w:t xml:space="preserve"> for intakes &gt;40</w:t>
      </w:r>
      <w:r w:rsidR="003A14A8" w:rsidRPr="006325C2">
        <w:t xml:space="preserve"> </w:t>
      </w:r>
      <w:r w:rsidR="00D040F2" w:rsidRPr="006325C2">
        <w:t>vs. &lt;10 g/d</w:t>
      </w:r>
      <w:r w:rsidR="003215EC" w:rsidRPr="006325C2">
        <w:t xml:space="preserve"> </w:t>
      </w:r>
      <w:r w:rsidR="0056788A" w:rsidRPr="006325C2">
        <w:t xml:space="preserve">(approximately &gt;0.5 serving/d vs. &lt;1 serving/week) </w:t>
      </w:r>
      <w:r w:rsidR="003215EC" w:rsidRPr="006325C2">
        <w:t>and 0.97 (0.95, 0.99) for every 50 g/d increase</w:t>
      </w:r>
      <w:r w:rsidR="00D040F2" w:rsidRPr="006325C2">
        <w:t xml:space="preserve">. </w:t>
      </w:r>
      <w:r w:rsidR="003215EC" w:rsidRPr="006325C2">
        <w:t>No significant association</w:t>
      </w:r>
      <w:r w:rsidR="006351B2" w:rsidRPr="006325C2">
        <w:t>s</w:t>
      </w:r>
      <w:r w:rsidR="003215EC" w:rsidRPr="006325C2">
        <w:t xml:space="preserve"> w</w:t>
      </w:r>
      <w:r w:rsidR="006351B2" w:rsidRPr="006325C2">
        <w:t>ere</w:t>
      </w:r>
      <w:r w:rsidR="003215EC" w:rsidRPr="006325C2">
        <w:t xml:space="preserve"> found for dairy products and soy foods.</w:t>
      </w:r>
    </w:p>
    <w:p w:rsidR="00285C47" w:rsidRPr="006325C2" w:rsidRDefault="00285C47" w:rsidP="00434502">
      <w:pPr>
        <w:spacing w:before="60" w:after="0" w:line="480" w:lineRule="auto"/>
        <w:rPr>
          <w:b/>
        </w:rPr>
      </w:pPr>
    </w:p>
    <w:p w:rsidR="00A16BE7" w:rsidRPr="006325C2" w:rsidRDefault="00A16BE7" w:rsidP="00434502">
      <w:pPr>
        <w:spacing w:before="60" w:after="0" w:line="480" w:lineRule="auto"/>
        <w:rPr>
          <w:b/>
        </w:rPr>
      </w:pPr>
      <w:r w:rsidRPr="006325C2">
        <w:rPr>
          <w:b/>
        </w:rPr>
        <w:t>Discussion</w:t>
      </w:r>
    </w:p>
    <w:p w:rsidR="00B956A3" w:rsidRPr="006325C2" w:rsidRDefault="007379E7" w:rsidP="00434502">
      <w:pPr>
        <w:spacing w:before="60" w:after="0" w:line="480" w:lineRule="auto"/>
      </w:pPr>
      <w:r w:rsidRPr="006325C2">
        <w:t xml:space="preserve">In </w:t>
      </w:r>
      <w:r w:rsidR="00177BE7" w:rsidRPr="006325C2">
        <w:t>this</w:t>
      </w:r>
      <w:r w:rsidRPr="006325C2">
        <w:t xml:space="preserve"> large</w:t>
      </w:r>
      <w:r w:rsidR="002114CF" w:rsidRPr="006325C2">
        <w:t xml:space="preserve"> pooled analysis </w:t>
      </w:r>
      <w:r w:rsidRPr="006325C2">
        <w:t>of 12 cohort studies</w:t>
      </w:r>
      <w:r w:rsidR="00177BE7" w:rsidRPr="006325C2">
        <w:t xml:space="preserve">, </w:t>
      </w:r>
      <w:r w:rsidR="002114CF" w:rsidRPr="006325C2">
        <w:t xml:space="preserve">we observed </w:t>
      </w:r>
      <w:r w:rsidR="00036E2A" w:rsidRPr="006325C2">
        <w:t>that</w:t>
      </w:r>
      <w:r w:rsidR="002114CF" w:rsidRPr="006325C2">
        <w:t xml:space="preserve"> </w:t>
      </w:r>
      <w:r w:rsidR="0034602E" w:rsidRPr="006325C2">
        <w:t xml:space="preserve">a </w:t>
      </w:r>
      <w:r w:rsidR="00B160F6" w:rsidRPr="006325C2">
        <w:t>low</w:t>
      </w:r>
      <w:r w:rsidR="00A724A4" w:rsidRPr="006325C2">
        <w:t xml:space="preserve"> </w:t>
      </w:r>
      <w:r w:rsidR="009414C1" w:rsidRPr="006325C2">
        <w:t xml:space="preserve">prediagnostic </w:t>
      </w:r>
      <w:r w:rsidR="002114CF" w:rsidRPr="006325C2">
        <w:t>dietary calcium</w:t>
      </w:r>
      <w:r w:rsidR="00B160F6" w:rsidRPr="006325C2">
        <w:t xml:space="preserve"> intake</w:t>
      </w:r>
      <w:r w:rsidR="002114CF" w:rsidRPr="006325C2">
        <w:t xml:space="preserve"> </w:t>
      </w:r>
      <w:r w:rsidR="00D42B80" w:rsidRPr="006325C2">
        <w:t>(&lt;</w:t>
      </w:r>
      <w:r w:rsidR="00036E2A" w:rsidRPr="006325C2">
        <w:t>500</w:t>
      </w:r>
      <w:r w:rsidR="0034602E" w:rsidRPr="006325C2">
        <w:t>-</w:t>
      </w:r>
      <w:r w:rsidR="00036E2A" w:rsidRPr="006325C2">
        <w:t>600 mg/d)</w:t>
      </w:r>
      <w:r w:rsidR="0034602E" w:rsidRPr="006325C2">
        <w:t xml:space="preserve"> </w:t>
      </w:r>
      <w:r w:rsidR="00036E2A" w:rsidRPr="006325C2">
        <w:t>was associated with a</w:t>
      </w:r>
      <w:r w:rsidR="002A3240" w:rsidRPr="006325C2">
        <w:t xml:space="preserve"> slightly</w:t>
      </w:r>
      <w:r w:rsidR="00036E2A" w:rsidRPr="006325C2">
        <w:t xml:space="preserve"> </w:t>
      </w:r>
      <w:r w:rsidR="00605396" w:rsidRPr="006325C2">
        <w:t>increased</w:t>
      </w:r>
      <w:r w:rsidR="00B13729" w:rsidRPr="006325C2">
        <w:t xml:space="preserve"> risk of death</w:t>
      </w:r>
      <w:r w:rsidR="00036E2A" w:rsidRPr="006325C2">
        <w:t xml:space="preserve"> </w:t>
      </w:r>
      <w:r w:rsidR="002A3240" w:rsidRPr="006325C2">
        <w:t>among</w:t>
      </w:r>
      <w:r w:rsidR="00036E2A" w:rsidRPr="006325C2">
        <w:t xml:space="preserve"> lung cancer patients</w:t>
      </w:r>
      <w:r w:rsidR="002A1D7E" w:rsidRPr="006325C2">
        <w:t xml:space="preserve">, </w:t>
      </w:r>
      <w:r w:rsidR="007F7FF9" w:rsidRPr="006325C2">
        <w:t>after taking other prognostic factors into account</w:t>
      </w:r>
      <w:r w:rsidR="005147DF" w:rsidRPr="006325C2">
        <w:t xml:space="preserve">. </w:t>
      </w:r>
      <w:r w:rsidR="00B13729" w:rsidRPr="006325C2">
        <w:t xml:space="preserve">The </w:t>
      </w:r>
      <w:r w:rsidR="00D44BB6" w:rsidRPr="006325C2">
        <w:t xml:space="preserve">lowest </w:t>
      </w:r>
      <w:r w:rsidR="007F7FF9" w:rsidRPr="006325C2">
        <w:t xml:space="preserve">case mortality </w:t>
      </w:r>
      <w:r w:rsidR="00B13729" w:rsidRPr="006325C2">
        <w:t>was observed for</w:t>
      </w:r>
      <w:r w:rsidR="00996C81" w:rsidRPr="006325C2">
        <w:t xml:space="preserve"> </w:t>
      </w:r>
      <w:r w:rsidR="00B13729" w:rsidRPr="006325C2">
        <w:t>dietary calcium intake</w:t>
      </w:r>
      <w:r w:rsidR="00EC4C17" w:rsidRPr="006325C2">
        <w:t>s</w:t>
      </w:r>
      <w:r w:rsidR="00B13729" w:rsidRPr="006325C2">
        <w:t xml:space="preserve"> </w:t>
      </w:r>
      <w:r w:rsidR="00605396" w:rsidRPr="006325C2">
        <w:t>of</w:t>
      </w:r>
      <w:r w:rsidR="00B13729" w:rsidRPr="006325C2">
        <w:t xml:space="preserve"> 800-1200 mg/d</w:t>
      </w:r>
      <w:r w:rsidR="007F7FF9" w:rsidRPr="006325C2">
        <w:t xml:space="preserve">; </w:t>
      </w:r>
      <w:r w:rsidR="00971323" w:rsidRPr="006325C2">
        <w:t>any</w:t>
      </w:r>
      <w:r w:rsidR="007F7FF9" w:rsidRPr="006325C2">
        <w:t xml:space="preserve"> further increase in calcium intake did not offer additional benefit</w:t>
      </w:r>
      <w:r w:rsidR="00B13729" w:rsidRPr="006325C2">
        <w:t xml:space="preserve">. </w:t>
      </w:r>
      <w:r w:rsidR="007F7FF9" w:rsidRPr="006325C2">
        <w:t xml:space="preserve">The association between low prediagnostic calcium intake and lung cancer survival was primarily confined to patients diagnosed at early stages. </w:t>
      </w:r>
      <w:r w:rsidR="00D44BB6" w:rsidRPr="006325C2">
        <w:t xml:space="preserve">No </w:t>
      </w:r>
      <w:r w:rsidR="00E32166" w:rsidRPr="006325C2">
        <w:t xml:space="preserve">significant </w:t>
      </w:r>
      <w:r w:rsidR="00D44BB6" w:rsidRPr="006325C2">
        <w:t xml:space="preserve">association was found </w:t>
      </w:r>
      <w:r w:rsidR="00E32166" w:rsidRPr="006325C2">
        <w:t>for</w:t>
      </w:r>
      <w:r w:rsidR="00D44BB6" w:rsidRPr="006325C2">
        <w:t xml:space="preserve"> prediagnostic supplemental calcium intake</w:t>
      </w:r>
      <w:r w:rsidR="007F7FF9" w:rsidRPr="006325C2">
        <w:t xml:space="preserve"> </w:t>
      </w:r>
      <w:r w:rsidR="00E32166" w:rsidRPr="006325C2">
        <w:t>with</w:t>
      </w:r>
      <w:r w:rsidR="00D44BB6" w:rsidRPr="006325C2">
        <w:t xml:space="preserve"> </w:t>
      </w:r>
      <w:r w:rsidR="0034602E" w:rsidRPr="006325C2">
        <w:t>lung cancer survival</w:t>
      </w:r>
      <w:r w:rsidR="008A4DCA" w:rsidRPr="006325C2">
        <w:t xml:space="preserve">. </w:t>
      </w:r>
      <w:r w:rsidR="00637AF5" w:rsidRPr="006325C2">
        <w:t xml:space="preserve"> </w:t>
      </w:r>
    </w:p>
    <w:p w:rsidR="00447679" w:rsidRPr="006325C2" w:rsidRDefault="00D42B80" w:rsidP="008A0FA3">
      <w:pPr>
        <w:spacing w:before="60" w:after="0" w:line="480" w:lineRule="auto"/>
        <w:ind w:firstLine="360"/>
      </w:pPr>
      <w:r w:rsidRPr="006325C2">
        <w:t>For the first time, our study provide</w:t>
      </w:r>
      <w:r w:rsidR="00664BF7" w:rsidRPr="006325C2">
        <w:t>s</w:t>
      </w:r>
      <w:r w:rsidRPr="006325C2">
        <w:t xml:space="preserve"> epidemiological evidence that </w:t>
      </w:r>
      <w:r w:rsidR="00671BEA" w:rsidRPr="006325C2">
        <w:t>a long-term</w:t>
      </w:r>
      <w:r w:rsidR="008668C6" w:rsidRPr="006325C2">
        <w:t xml:space="preserve"> insufficient calcium intake may </w:t>
      </w:r>
      <w:r w:rsidR="00876739" w:rsidRPr="006325C2">
        <w:t>influence</w:t>
      </w:r>
      <w:r w:rsidR="008668C6" w:rsidRPr="006325C2">
        <w:t xml:space="preserve"> lung cancer</w:t>
      </w:r>
      <w:r w:rsidR="00EC4C17" w:rsidRPr="006325C2">
        <w:t xml:space="preserve"> prognosis</w:t>
      </w:r>
      <w:r w:rsidR="008668C6" w:rsidRPr="006325C2">
        <w:t xml:space="preserve">, especially </w:t>
      </w:r>
      <w:r w:rsidR="00C76380" w:rsidRPr="006325C2">
        <w:t>for early</w:t>
      </w:r>
      <w:r w:rsidR="00671BEA" w:rsidRPr="006325C2">
        <w:t>-</w:t>
      </w:r>
      <w:r w:rsidR="00C76380" w:rsidRPr="006325C2">
        <w:t>stage patients</w:t>
      </w:r>
      <w:r w:rsidR="008668C6" w:rsidRPr="006325C2">
        <w:t>.</w:t>
      </w:r>
      <w:r w:rsidR="00B160F6" w:rsidRPr="006325C2">
        <w:t xml:space="preserve"> </w:t>
      </w:r>
      <w:r w:rsidR="00ED46C5" w:rsidRPr="006325C2">
        <w:t>Metastatic spread is the major reason for cancer</w:t>
      </w:r>
      <w:r w:rsidR="00E70BED" w:rsidRPr="006325C2">
        <w:t>-related</w:t>
      </w:r>
      <w:r w:rsidR="001303CD" w:rsidRPr="006325C2">
        <w:t xml:space="preserve"> deaths</w:t>
      </w:r>
      <w:r w:rsidR="00ED46C5" w:rsidRPr="006325C2">
        <w:t>.</w:t>
      </w:r>
      <w:r w:rsidR="001303CD" w:rsidRPr="006325C2">
        <w:fldChar w:fldCharType="begin"/>
      </w:r>
      <w:r w:rsidR="00DB50DA" w:rsidRPr="006325C2">
        <w:instrText xml:space="preserve"> ADDIN ZOTERO_ITEM CSL_CITATION {"citationID":"6XusriRr","properties":{"formattedCitation":"{\\rtf \\super 50\\nosupersub{}}","plainCitation":"50"},"citationItems":[{"id":861,"uris":["http://zotero.org/users/2024628/items/T3FCEQSJ"],"uri":["http://zotero.org/users/2024628/items/T3FCEQSJ"],"itemData":{"id":861,"type":"article-journal","title":"Metastasis: a question of life or death","container-title":"Nature Reviews. Cancer","page":"449-458","volume":"6","issue":"6","source":"PubMed","abstract":"The metastatic process is highly inefficient--very few of the many cells that migrate from the primary tumour successfully colonize distant sites. One proposed mechanism to explain this inefficiency is provided by the cancer stem cell model, which hypothesizes that micrometastases can only be established by tumour stem cells, which are few in number. However, recent in vitro and in vivo observations indicate that apoptosis is an important process regulating metastasis. Here we stress that the inhibition of cell death, apart from its extensively described function in primary tumour development, is a crucial characteristic of metastatic cancer cells.","DOI":"10.1038/nrc1886","ISSN":"1474-175X","note":"00760 \nPMID: 16723991","shortTitle":"Metastasis","journalAbbreviation":"Nat. Rev. Cancer","language":"eng","author":[{"family":"Mehlen","given":"Patrick"},{"family":"Puisieux","given":"Alain"}],"issued":{"date-parts":[["2006",6]]},"PMID":"16723991"}}],"schema":"https://github.com/citation-style-language/schema/raw/master/csl-citation.json"} </w:instrText>
      </w:r>
      <w:r w:rsidR="001303CD" w:rsidRPr="006325C2">
        <w:fldChar w:fldCharType="separate"/>
      </w:r>
      <w:r w:rsidR="00AB395C" w:rsidRPr="00AB395C">
        <w:rPr>
          <w:vertAlign w:val="superscript"/>
        </w:rPr>
        <w:t>50</w:t>
      </w:r>
      <w:r w:rsidR="001303CD" w:rsidRPr="006325C2">
        <w:fldChar w:fldCharType="end"/>
      </w:r>
      <w:r w:rsidR="00ED46C5" w:rsidRPr="006325C2">
        <w:t xml:space="preserve"> For lung cancer, one of the most frequent sites of metastasis is </w:t>
      </w:r>
      <w:r w:rsidR="008D2EDB" w:rsidRPr="006325C2">
        <w:t xml:space="preserve">the </w:t>
      </w:r>
      <w:r w:rsidR="00ED46C5" w:rsidRPr="006325C2">
        <w:t xml:space="preserve">bone, occurring in </w:t>
      </w:r>
      <w:r w:rsidR="002A3240" w:rsidRPr="006325C2">
        <w:t>nearly</w:t>
      </w:r>
      <w:r w:rsidR="001303CD" w:rsidRPr="006325C2">
        <w:t xml:space="preserve"> 40% of patients</w:t>
      </w:r>
      <w:r w:rsidR="00ED46C5" w:rsidRPr="006325C2">
        <w:t>.</w:t>
      </w:r>
      <w:r w:rsidR="001303CD" w:rsidRPr="006325C2">
        <w:fldChar w:fldCharType="begin"/>
      </w:r>
      <w:r w:rsidR="00DB50DA" w:rsidRPr="006325C2">
        <w:instrText xml:space="preserve"> ADDIN ZOTERO_ITEM CSL_CITATION {"citationID":"qHGX3qpe","properties":{"formattedCitation":"{\\rtf \\super 51\\uc0\\u8211{}53\\nosupersub{}}","plainCitation":"51–53"},"citationItems":[{"id":863,"uris":["http://zotero.org/users/2024628/items/53ZKPUGN"],"uri":["http://zotero.org/users/2024628/items/53ZKPUGN"],"itemData":{"id":863,"type":"article-journal","title":"Clinical features of metastatic bone disease and risk of skeletal morbidity","container-title":"Clinical Cancer Research: An Official Journal of the American Association for Cancer Research","page":"6243s-6249s","volume":"12","issue":"20 Pt 2","source":"PubMed","abstract":"The skeleton is the most common organ to be affected by metastatic cancer and the site of disease that produces the greatest morbidity. Skeletal morbidity includes pain that requires radiotherapy, hypercalcemia, pathologic fracture, and spinal cord or nerve root compression. From randomized trials in advanced cancer, it can be seen that one of these major skeletal events occurs on average every 3 to 6 months. Additionally, metastatic disease may remain confined to the skeleton with the decline in quality of life and eventual death almost entirely due to skeletal complications and their treatment. The prognosis of metastatic bone disease is dependent on the primary site, with breast and prostate cancers associated with a survival measured in years compared with lung cancer, where the average survival is only a matter of months. Additionally, the presence of extraosseous disease and the extent and tempo of the bone disease are powerful predictors of outcome. The latter is best estimated by measurement of bone-specific markers, and recent studies have shown a strong correlation between the rate of bone resorption and clinical outcome, both in terms of skeletal morbidity and progression of the underlying disease or death. Our improved understanding of prognostic and predictive factors may enable delivery of a more personalized treatment for the individual patient and a more cost-effective use of health care resources.","DOI":"10.1158/1078-0432.CCR-06-0931","ISSN":"1078-0432","note":"00881 \nPMID: 17062708","journalAbbreviation":"Clin. Cancer Res.","language":"eng","author":[{"family":"Coleman","given":"Robert E."}],"issued":{"date-parts":[["2006",10,15]]},"PMID":"17062708"},"label":"page"},{"id":865,"uris":["http://zotero.org/users/2024628/items/ZBH3EWRG"],"uri":["http://zotero.org/users/2024628/items/ZBH3EWRG"],"itemData":{"id":865,"type":"article-journal","title":"Bone matters in lung cancer","container-title":"Annals of oncology: official journal of the European Society for Medical Oncology / ESMO","page":"2215-2222","volume":"23","issue":"9","source":"PubMed","abstract":"BACKGROUND: Bone metastases are a significant and undertreated clinical problem in patients with advanced lung cancer.\nDESIGN: We reviewed the incidence of bone metastases and skeletal-related events (SREs) in patients with lung cancer and examined the burden on patients' lives and on health care systems. Available therapies to improve survival and lessen the impact of SREs on quality of life (QoL) were also investigated.\nRESULTS: Bone metastases are common in lung cancer; however, owing to short survival times, data on the incidences of SREs are limited. As with other cancers, the costs associated with treating SREs in lung cancer are substantial. Bisphosphonates reduce the frequency of SREs and improve measures of pain and QoL in patients with lung cancer; however, nephrotoxicity is a common complication of therapy. Denosumab, a recently approved bone-targeted therapy, is superior to zoledronic acid in increasing the time to first on-study SRE in patients with solid tumours, including lung cancer. Additional roles of bone-targeted therapies beyond the prevention of SREs are under investigation.\nCONCLUSIONS: With increasing awareness of the consequences of SREs, bone-targeted therapies may play a greater role in the management of patients with lung cancer, with the aim of delaying disease progression and preserving QoL.","DOI":"10.1093/annonc/mds009","ISSN":"1569-8041","note":"00021 \nPMID: 22357445\nPMCID: PMC3425370","journalAbbreviation":"Ann. Oncol.","language":"eng","author":[{"family":"Brodowicz","given":"T."},{"family":"O'Byrne","given":"K."},{"family":"Manegold","given":"C."}],"issued":{"date-parts":[["2012",9]]},"PMID":"22357445","PMCID":"PMC3425370"},"label":"page"},{"id":867,"uris":["http://zotero.org/users/2024628/items/UG6JKUJZ"],"uri":["http://zotero.org/users/2024628/items/UG6JKUJZ"],"itemData":{"id":867,"type":"article-journal","title":"Metastatic sites and survival in lung cancer","container-title":"Lung Cancer (Amsterdam, Netherlands)","page":"78-84","volume":"86","issue":"1","source":"PubMed","abstract":"OBJECTIVES: Population-based data on metastatic sites and survival in site-specific metastases are lacking for lung cancer and for any cancer because most cancer registries do not record metastases. This study uses a novel population-based approach to identify metastases from both death certificates and national inpatient data to describe metastatic pathways in lung cancer patients.\nMATERIALS AND METHODS: 17,431 deceased lung cancer patients diagnosed 2002-2010 were identified from the nationwide Swedish Cancer Registry, which is based on compulsory reports. The influence of age at diagnosis, sex, and histological subtype on metastatic spread was investigated. Survival in metastatic lung cancer was assessed by histology and metastatic site.\nRESULTS: The most frequent metastatic sites were the nervous system, bone, liver, respiratory system, and adrenal gland. Liver (35%) and nervous system (47%) metastases were common in patients with metastases from small cell lung cancer, and bone (39%) and respiratory system (22%) metastases in adenocarcinoma. Women (43% vs. 35%) and younger patients had more metastases to the nervous system. Median survival after diagnosis was 13 months for non-metastatic and five months for metastatic lung cancer. In this novel data, liver metastases conferred the worst prognosis (three months), especially for large cell histology. Bone metastases also featured poor survival, whereas survival in respiratory and nervous system metastases was better.\nCONCLUSION: Metastatic sites and survival in metastatic lung cancer is influenced by sex, histological subtype, and age at diagnosis. Liver and bone metastases signal poor survival, compared with nervous system metastases.","DOI":"10.1016/j.lungcan.2014.07.020","ISSN":"1872-8332","note":"00016 \nPMID: 25130083","journalAbbreviation":"Lung Cancer","language":"eng","author":[{"family":"Riihimäki","given":"M."},{"family":"Hemminki","given":"A."},{"family":"Fallah","given":"M."},{"family":"Thomsen","given":"H."},{"family":"Sundquist","given":"K."},{"family":"Sundquist","given":"J."},{"family":"Hemminki","given":"K."}],"issued":{"date-parts":[["2014",10]]},"PMID":"25130083"},"label":"page"}],"schema":"https://github.com/citation-style-language/schema/raw/master/csl-citation.json"} </w:instrText>
      </w:r>
      <w:r w:rsidR="001303CD" w:rsidRPr="006325C2">
        <w:fldChar w:fldCharType="separate"/>
      </w:r>
      <w:r w:rsidR="00AB395C" w:rsidRPr="00AB395C">
        <w:rPr>
          <w:vertAlign w:val="superscript"/>
        </w:rPr>
        <w:t>51–53</w:t>
      </w:r>
      <w:r w:rsidR="001303CD" w:rsidRPr="006325C2">
        <w:fldChar w:fldCharType="end"/>
      </w:r>
      <w:r w:rsidR="00ED46C5" w:rsidRPr="006325C2">
        <w:t xml:space="preserve"> It is possible that impaired </w:t>
      </w:r>
      <w:r w:rsidR="002A3240" w:rsidRPr="006325C2">
        <w:t xml:space="preserve">bone metabolism and </w:t>
      </w:r>
      <w:r w:rsidR="00111D44" w:rsidRPr="006325C2">
        <w:t xml:space="preserve">calcium homeostasis </w:t>
      </w:r>
      <w:r w:rsidR="00ED46C5" w:rsidRPr="006325C2">
        <w:t xml:space="preserve">due to </w:t>
      </w:r>
      <w:r w:rsidR="000B0E9C" w:rsidRPr="006325C2">
        <w:t>a</w:t>
      </w:r>
      <w:r w:rsidR="00ED46C5" w:rsidRPr="006325C2">
        <w:t xml:space="preserve"> </w:t>
      </w:r>
      <w:r w:rsidR="000B0E9C" w:rsidRPr="006325C2">
        <w:t xml:space="preserve">longstanding </w:t>
      </w:r>
      <w:r w:rsidR="00ED46C5" w:rsidRPr="006325C2">
        <w:t xml:space="preserve">calcium insufficiency </w:t>
      </w:r>
      <w:r w:rsidR="007426AB" w:rsidRPr="006325C2">
        <w:t xml:space="preserve">may </w:t>
      </w:r>
      <w:r w:rsidR="00AF3825" w:rsidRPr="006325C2">
        <w:t xml:space="preserve">facilitate </w:t>
      </w:r>
      <w:r w:rsidR="00ED46C5" w:rsidRPr="006325C2">
        <w:t xml:space="preserve">bone metastasis </w:t>
      </w:r>
      <w:r w:rsidR="00D353DA" w:rsidRPr="006325C2">
        <w:t xml:space="preserve">and promote tumor growth </w:t>
      </w:r>
      <w:r w:rsidR="00ED46C5" w:rsidRPr="006325C2">
        <w:t xml:space="preserve">in lung cancer. </w:t>
      </w:r>
      <w:r w:rsidR="000B0E9C" w:rsidRPr="006325C2">
        <w:t xml:space="preserve">Bone is a metabolically active tissue that </w:t>
      </w:r>
      <w:r w:rsidR="00664BF7" w:rsidRPr="006325C2">
        <w:t>undergoes</w:t>
      </w:r>
      <w:r w:rsidR="000B0E9C" w:rsidRPr="006325C2">
        <w:t xml:space="preserve"> a </w:t>
      </w:r>
      <w:r w:rsidR="0096178E" w:rsidRPr="006325C2">
        <w:t xml:space="preserve">constant </w:t>
      </w:r>
      <w:r w:rsidR="00ED46C5" w:rsidRPr="006325C2">
        <w:t xml:space="preserve">remodeling </w:t>
      </w:r>
      <w:r w:rsidR="000B0E9C" w:rsidRPr="006325C2">
        <w:t>process via</w:t>
      </w:r>
      <w:r w:rsidR="00ED46C5" w:rsidRPr="006325C2">
        <w:t xml:space="preserve"> breaking down </w:t>
      </w:r>
      <w:r w:rsidR="00AF3825" w:rsidRPr="006325C2">
        <w:t>old and building up new skeletal tissues (bone resorption and formation</w:t>
      </w:r>
      <w:r w:rsidR="001303CD" w:rsidRPr="006325C2">
        <w:t>)</w:t>
      </w:r>
      <w:r w:rsidR="00ED46C5" w:rsidRPr="006325C2">
        <w:t xml:space="preserve">. Calcium is an essential nutrient for this process. </w:t>
      </w:r>
      <w:r w:rsidR="000E0AB5" w:rsidRPr="006325C2">
        <w:t>A</w:t>
      </w:r>
      <w:r w:rsidR="000B0E9C" w:rsidRPr="006325C2">
        <w:t xml:space="preserve"> </w:t>
      </w:r>
      <w:r w:rsidR="002A3240" w:rsidRPr="006325C2">
        <w:t>prolonged</w:t>
      </w:r>
      <w:r w:rsidR="00ED46C5" w:rsidRPr="006325C2">
        <w:t xml:space="preserve"> calcium </w:t>
      </w:r>
      <w:r w:rsidR="002A3240" w:rsidRPr="006325C2">
        <w:t>deficiency</w:t>
      </w:r>
      <w:r w:rsidR="00ED46C5" w:rsidRPr="006325C2">
        <w:t xml:space="preserve"> leads to increased bone resorption and compromised </w:t>
      </w:r>
      <w:r w:rsidR="007426AB" w:rsidRPr="006325C2">
        <w:t>bone health</w:t>
      </w:r>
      <w:r w:rsidR="00ED46C5" w:rsidRPr="006325C2">
        <w:t>.</w:t>
      </w:r>
      <w:r w:rsidR="008D2EDB" w:rsidRPr="006325C2">
        <w:fldChar w:fldCharType="begin"/>
      </w:r>
      <w:r w:rsidR="008D2EDB" w:rsidRPr="006325C2">
        <w:instrText xml:space="preserve"> ADDIN ZOTERO_ITEM CSL_CITATION {"citationID":"YZ7u6rl2","properties":{"formattedCitation":"{\\rtf \\super 11\\nosupersub{}}","plainCitation":"11"},"citationItems":[{"id":789,"uris":["http://zotero.org/users/2024628/items/47DWW6EM"],"uri":["http://zotero.org/users/2024628/items/47DWW6EM"],"itemData":{"id":789,"type":"book","title":"Dietary Reference Intakes for Calcium and Vitamin D","collection-title":"The National Academies Collection: Reports funded by National Institutes of Health","publisher":"National Academies Press (US)","publisher-place":"Washington (DC)","source":"PubMed","event-place":"Washington (DC)","abstract":"The charge to the committee (Institute of Medicine Committee to Review Dietary Reference Intakes for Vitamin D and Calcium) was to assess current relevant data and update, as appropriate, the DRIs (Dietary Reference Intakes) for vitamin D and calcium. The review was to include consideration of chronic disease indicators (e.g., reduction in risk of cancer) and other (non-chronic disease) indicators and health outcomes. The definitions of these terms are discussed below. Consistent with the framework for DRI development, the indicators to assess adequacy and excess intake were to be selected based on the strength and quality of the evidence and their demonstrated public health significance, taking into consideration sources of uncertainty in the evidence. Further, the committee deliberations were to incorporate, as appropriate, systematic evidence-based reviews of the literature. Specifically, in carrying out its work, the committee was to: Review evidence on indicators to assess adequacy and indicators to assess excess intake relevant to the general North American population, including groups whose needs for or sensitivity to the nutrient may be affected by particular conditions that are widespread in the population such as obesity or age-related chronic diseases. Special groups under medical care whose needs or sensitivities are affected by rare genetic disorders or diseases and their treatments were to be excluded; Consider systematic evidence-based reviews, including those made available by the sponsors as well as others, and carefully document the approach used by the committee to carry out any of its own literature reviews; Regarding selection of indicators upon which to base DRI values for adequate intake, give priority to selecting indicators relevant to the various age, gender, and life stage groups that will allow for the determination of an Estimated Average Requirement (EAR); Regarding selection of indicators upon which to base DRI values for upper levels of intake, give priority to examining whether a critical adverse effect can be selected that will allow for the determination of a so-called benchmark intake; Update DRI values, as appropriate, using a risk assessment approach that includes (1) identification of potential indicators to assess adequacy and excess intake, (2) selection of the indicators of adequacy and excess intake, (3) intake-response assessment, (4) dietary intake assessment, and (5) risk characterization. Identify research gaps to address the uncertainties identified in the process of deriving the reference values and evaluating their public health implications.","URL":"http://www.ncbi.nlm.nih.gov/books/NBK56070/","call-number":"NBK56070","note":"00000 \nPMID: 21796828","language":"eng","author":[{"literal":"Institute of Medicine (US) Committee to Review Dietary Reference Intakes for Vitamin D and Calcium"}],"editor":[{"family":"Ross","given":"A. Catharine"},{"family":"Taylor","given":"Christine L."},{"family":"Yaktine","given":"Ann L."},{"family":"Del Valle","given":"Heather B."}],"issued":{"date-parts":[["2011"]]},"accessed":{"date-parts":[["2015",11,24]]},"PMID":"21796828"}}],"schema":"https://github.com/citation-style-language/schema/raw/master/csl-citation.json"} </w:instrText>
      </w:r>
      <w:r w:rsidR="008D2EDB" w:rsidRPr="006325C2">
        <w:fldChar w:fldCharType="separate"/>
      </w:r>
      <w:r w:rsidR="00AB395C" w:rsidRPr="00AB395C">
        <w:rPr>
          <w:vertAlign w:val="superscript"/>
        </w:rPr>
        <w:t>11</w:t>
      </w:r>
      <w:r w:rsidR="008D2EDB" w:rsidRPr="006325C2">
        <w:fldChar w:fldCharType="end"/>
      </w:r>
      <w:r w:rsidR="00ED46C5" w:rsidRPr="006325C2">
        <w:t xml:space="preserve"> </w:t>
      </w:r>
      <w:r w:rsidR="008D2EDB" w:rsidRPr="006325C2">
        <w:t xml:space="preserve"> </w:t>
      </w:r>
      <w:r w:rsidR="00ED46C5" w:rsidRPr="006325C2">
        <w:t xml:space="preserve">Meanwhile, </w:t>
      </w:r>
      <w:r w:rsidR="003E500C" w:rsidRPr="006325C2">
        <w:t xml:space="preserve">when </w:t>
      </w:r>
      <w:r w:rsidR="00996C81" w:rsidRPr="006325C2">
        <w:t xml:space="preserve">the </w:t>
      </w:r>
      <w:r w:rsidR="00202D9B" w:rsidRPr="006325C2">
        <w:t xml:space="preserve">circulating calcium </w:t>
      </w:r>
      <w:r w:rsidR="00A621F0" w:rsidRPr="006325C2">
        <w:t xml:space="preserve">level </w:t>
      </w:r>
      <w:r w:rsidR="00202D9B" w:rsidRPr="006325C2">
        <w:t>drop</w:t>
      </w:r>
      <w:r w:rsidR="00A621F0" w:rsidRPr="006325C2">
        <w:t>s</w:t>
      </w:r>
      <w:r w:rsidR="00202D9B" w:rsidRPr="006325C2">
        <w:t xml:space="preserve"> </w:t>
      </w:r>
      <w:r w:rsidR="00A621F0" w:rsidRPr="006325C2">
        <w:t>because of</w:t>
      </w:r>
      <w:r w:rsidR="00202D9B" w:rsidRPr="006325C2">
        <w:t xml:space="preserve"> </w:t>
      </w:r>
      <w:r w:rsidR="00730ADB" w:rsidRPr="006325C2">
        <w:t xml:space="preserve">a low calcium supply, multiple signaling pathways, </w:t>
      </w:r>
      <w:r w:rsidR="009C087E" w:rsidRPr="006325C2">
        <w:t xml:space="preserve">hormones, and </w:t>
      </w:r>
      <w:r w:rsidR="00730ADB" w:rsidRPr="006325C2">
        <w:t>cytokines are affected.</w:t>
      </w:r>
      <w:r w:rsidR="00A621F0" w:rsidRPr="006325C2">
        <w:t xml:space="preserve"> Directly, calcium</w:t>
      </w:r>
      <w:r w:rsidR="001E5985" w:rsidRPr="006325C2">
        <w:t xml:space="preserve"> is</w:t>
      </w:r>
      <w:r w:rsidR="00A621F0" w:rsidRPr="006325C2">
        <w:t xml:space="preserve"> a second messenger</w:t>
      </w:r>
      <w:r w:rsidR="001E5985" w:rsidRPr="006325C2">
        <w:t xml:space="preserve"> and calcium signaling </w:t>
      </w:r>
      <w:r w:rsidR="00876739" w:rsidRPr="006325C2">
        <w:t>regulates</w:t>
      </w:r>
      <w:r w:rsidR="001E5985" w:rsidRPr="006325C2">
        <w:t xml:space="preserve"> cell differentiation, proliferation, and apoptosis</w:t>
      </w:r>
      <w:r w:rsidR="008D2EDB" w:rsidRPr="006325C2">
        <w:t>.</w:t>
      </w:r>
      <w:r w:rsidR="008D2EDB" w:rsidRPr="006325C2">
        <w:fldChar w:fldCharType="begin"/>
      </w:r>
      <w:r w:rsidR="00AB395C">
        <w:instrText xml:space="preserve"> ADDIN ZOTERO_ITEM CSL_CITATION {"citationID":"inhl8pt5u","properties":{"formattedCitation":"{\\rtf \\super 10, 54\\nosupersub{}}","plainCitation":"10, 54"},"citationItems":[{"id":787,"uris":["http://zotero.org/users/2024628/items/VEQ7NP4J"],"uri":["http://zotero.org/users/2024628/items/VEQ7NP4J"],"itemData":{"id":787,"type":"article-journal","title":"Calcium, vitamin D and cancer","container-title":"Anticancer Research","page":"3687-3698","volume":"29","issue":"9","source":"PubMed","abstract":"A low vitamin D status and inadequate calcium intake are important risk factors for various types of cancer. Ecological studies using solar UV-B exposure as an index of vitamin D3 photoproduction in the skin found a highly significant inverse association between UV-B and mortality in fifteen types of cancer. Of these, colon, rectal, breast, gastric, endometrial, renal and ovarian cancer exhibit a significant inverse relationship between incidence and oral intake of calcium. In addition, lung and endometrial cancer as well as multiple myeloma are considered calcium and vitamin D sensitive. Studies on tissue-specific expression of the CYP27B1-encoded 25-hdroxyvitamin D-1alpha-hydroxylase and of the extracellular calcium-sensing receptor (CaR) have led to an understanding how locally produced 1,25-dihydroxyvitamin D3 (1,25(OH)2D3) and extracellular Ca2+ act jointly as key regulators of cellular proliferation, differentiation and function. Thus, impairment of antimitogenic, proapoptotic and prodifferentiating signaling from the 1,25(OH)2D3-activated vitamin D receptor (VDR) and from the CaR in vitamin D and calcium insufficiency has been implicated in the pathogenesis of the aforementioned types of cancer. 1,25(OH)2D3 and calcium interact in modulating cell growth in different ways: (i) Signaling pathways from the VDR and the CaR converge on the same downstream elements, e.g. of the canonical Wnt pathway; (ii) high extracellular calcium modulates extrarenal vitamin D metabolism in favor of higher local steady-state concentrations of 1,25(OH)2D3; (iii) 1,25(OH)2D3 may up-regulate expression of the CaR and thus augment CaR-mediated antiproliferative responses to high extracellular Ca2+. This can explain why combined supplementation is required for optimal chemoprevention of cancer by calcium and vitamin D.","ISSN":"1791-7530","note":"00148 \nPMID: 19667166","journalAbbreviation":"Anticancer Res.","language":"eng","author":[{"family":"Peterlik","given":"Meinrad"},{"family":"Grant","given":"William B."},{"family":"Cross","given":"Heide S."}],"issued":{"date-parts":[["2009",9]]},"PMID":"19667166"},"label":"page"},{"id":869,"uris":["http://zotero.org/users/2024628/items/2MFKX33X"],"uri":["http://zotero.org/users/2024628/items/2MFKX33X"],"itemData":{"id":869,"type":"article-journal","title":"Regulation of calcium signaling in lung cancer","container-title":"Journal of Thoracic Disease","page":"52-56","volume":"2","issue":"1","source":"PubMed","abstract":"Lung cancer is the most common malignant tumor in the world. Calcium is a ubiquitous cellular signal, which is crucial in cancer. This review presents regulation of calcium signaling in lung cancer. Altered expression of specific Ca(2+) channels and Ca(2+)-binding proteins are characterizing features of lung cancer, which regulate cell signaling pathway leading to cell proliferation or apoptosis. Chemoresistance is frequent in lung cancer. Altered endoplasmic reticulum Ca(2+) homeostasis of lung cancer cell is correlated with drug resistance. Hypoxia has a vital role in tumor angiogenesis, metastasis, apoptosis. And Ca(2+) channels are open induced by hypoxia with the increase of Ca(2+) influx causing tumor growth.","ISSN":"2077-6624","note":"00018 \nPMID: 22263018\nPMCID: PMC3256429","journalAbbreviation":"J Thorac Dis","language":"eng","author":[{"family":"Yang","given":"Haihong"},{"family":"Zhang","given":"Qi"},{"family":"He","given":"Jianxing"},{"family":"Lu","given":"Wenju"}],"issued":{"date-parts":[["2010",3]]},"PMID":"22263018","PMCID":"PMC3256429"},"label":"page"}],"schema":"https://github.com/citation-style-language/schema/raw/master/csl-citation.json"} </w:instrText>
      </w:r>
      <w:r w:rsidR="008D2EDB" w:rsidRPr="006325C2">
        <w:fldChar w:fldCharType="separate"/>
      </w:r>
      <w:r w:rsidR="00AB395C" w:rsidRPr="00AB395C">
        <w:rPr>
          <w:vertAlign w:val="superscript"/>
        </w:rPr>
        <w:t>10, 54</w:t>
      </w:r>
      <w:r w:rsidR="008D2EDB" w:rsidRPr="006325C2">
        <w:fldChar w:fldCharType="end"/>
      </w:r>
      <w:r w:rsidR="001E5985" w:rsidRPr="006325C2">
        <w:t xml:space="preserve"> Indirectly, </w:t>
      </w:r>
      <w:r w:rsidR="009C087E" w:rsidRPr="006325C2">
        <w:t>to maintain a prope</w:t>
      </w:r>
      <w:r w:rsidR="008D2EDB" w:rsidRPr="006325C2">
        <w:t>r</w:t>
      </w:r>
      <w:r w:rsidR="009C087E" w:rsidRPr="006325C2">
        <w:t xml:space="preserve"> extracellular calcium level </w:t>
      </w:r>
      <w:r w:rsidR="008D2EDB" w:rsidRPr="006325C2">
        <w:t>under</w:t>
      </w:r>
      <w:r w:rsidR="009C087E" w:rsidRPr="006325C2">
        <w:t xml:space="preserve"> </w:t>
      </w:r>
      <w:r w:rsidR="008D2EDB" w:rsidRPr="006325C2">
        <w:t xml:space="preserve">calcium </w:t>
      </w:r>
      <w:r w:rsidR="00EC4C17" w:rsidRPr="006325C2">
        <w:t>insufficiency</w:t>
      </w:r>
      <w:r w:rsidR="009C087E" w:rsidRPr="006325C2">
        <w:t xml:space="preserve">, </w:t>
      </w:r>
      <w:r w:rsidR="00664BF7" w:rsidRPr="006325C2">
        <w:t xml:space="preserve">the </w:t>
      </w:r>
      <w:r w:rsidR="00111D44" w:rsidRPr="006325C2">
        <w:t>body up</w:t>
      </w:r>
      <w:r w:rsidR="00B4458C" w:rsidRPr="006325C2">
        <w:t>-</w:t>
      </w:r>
      <w:r w:rsidR="00111D44" w:rsidRPr="006325C2">
        <w:t>regulate</w:t>
      </w:r>
      <w:r w:rsidR="00BF382A" w:rsidRPr="006325C2">
        <w:t>s</w:t>
      </w:r>
      <w:r w:rsidR="00111D44" w:rsidRPr="006325C2">
        <w:t xml:space="preserve"> </w:t>
      </w:r>
      <w:r w:rsidR="009C087E" w:rsidRPr="006325C2">
        <w:t>secretion</w:t>
      </w:r>
      <w:r w:rsidR="00EC3AAA" w:rsidRPr="006325C2">
        <w:t>s</w:t>
      </w:r>
      <w:r w:rsidR="009C087E" w:rsidRPr="006325C2">
        <w:t xml:space="preserve"> of PTH</w:t>
      </w:r>
      <w:r w:rsidR="00EC3AAA" w:rsidRPr="006325C2">
        <w:t>,</w:t>
      </w:r>
      <w:r w:rsidR="009C087E" w:rsidRPr="006325C2">
        <w:t xml:space="preserve"> 1,25-dihydroxyvitamin D, as well as </w:t>
      </w:r>
      <w:r w:rsidR="00BC21D8" w:rsidRPr="006325C2">
        <w:t xml:space="preserve">several </w:t>
      </w:r>
      <w:r w:rsidR="009C087E" w:rsidRPr="006325C2">
        <w:t xml:space="preserve">bone- </w:t>
      </w:r>
      <w:r w:rsidR="00D10331" w:rsidRPr="006325C2">
        <w:t xml:space="preserve">or T cell-derived </w:t>
      </w:r>
      <w:r w:rsidR="00481AFC" w:rsidRPr="006325C2">
        <w:t xml:space="preserve">cytokines and growth factors, </w:t>
      </w:r>
      <w:r w:rsidR="002A2C66" w:rsidRPr="006325C2">
        <w:t>e.g.</w:t>
      </w:r>
      <w:r w:rsidR="00481AFC" w:rsidRPr="006325C2">
        <w:t xml:space="preserve"> receptor activator of nuclear factor kappa-B ligand (RANKL), macrophage colony-stimulating factor (M-CSF), vascular endothelial growth factor (VEGF), and interleukin-6 (IL-6).</w:t>
      </w:r>
      <w:r w:rsidR="008D2EDB" w:rsidRPr="006325C2">
        <w:fldChar w:fldCharType="begin"/>
      </w:r>
      <w:r w:rsidR="00DB50DA" w:rsidRPr="006325C2">
        <w:instrText xml:space="preserve"> ADDIN ZOTERO_ITEM CSL_CITATION {"citationID":"Q11c8lQB","properties":{"formattedCitation":"{\\rtf \\super 55\\nosupersub{}}","plainCitation":"55"},"citationItems":[{"id":871,"uris":["http://zotero.org/users/2024628/items/PA5F9SMK"],"uri":["http://zotero.org/users/2024628/items/PA5F9SMK"],"itemData":{"id":871,"type":"article-journal","title":"Mechanisms of bone metastasis","container-title":"The New England Journal of Medicine","page":"1655-1664","volume":"350","issue":"16","source":"PubMed","DOI":"10.1056/NEJMra030831","ISSN":"1533-4406","note":"01548 \nPMID: 15084698","journalAbbreviation":"N. Engl. J. Med.","language":"eng","author":[{"family":"Roodman","given":"G. David"}],"issued":{"date-parts":[["2004",4,15]]},"PMID":"15084698"}}],"schema":"https://github.com/citation-style-language/schema/raw/master/csl-citation.json"} </w:instrText>
      </w:r>
      <w:r w:rsidR="008D2EDB" w:rsidRPr="006325C2">
        <w:fldChar w:fldCharType="separate"/>
      </w:r>
      <w:r w:rsidR="00AB395C" w:rsidRPr="00AB395C">
        <w:rPr>
          <w:vertAlign w:val="superscript"/>
        </w:rPr>
        <w:t>55</w:t>
      </w:r>
      <w:r w:rsidR="008D2EDB" w:rsidRPr="006325C2">
        <w:fldChar w:fldCharType="end"/>
      </w:r>
      <w:r w:rsidR="00481AFC" w:rsidRPr="006325C2">
        <w:t xml:space="preserve"> </w:t>
      </w:r>
      <w:r w:rsidR="00876739" w:rsidRPr="006325C2">
        <w:t>Activation</w:t>
      </w:r>
      <w:r w:rsidR="00447679" w:rsidRPr="006325C2">
        <w:t xml:space="preserve"> of</w:t>
      </w:r>
      <w:r w:rsidR="00D10331" w:rsidRPr="006325C2">
        <w:t xml:space="preserve"> these pathways </w:t>
      </w:r>
      <w:r w:rsidR="003776A3" w:rsidRPr="006325C2">
        <w:t xml:space="preserve">has </w:t>
      </w:r>
      <w:r w:rsidR="00D10331" w:rsidRPr="006325C2">
        <w:t xml:space="preserve">been shown to </w:t>
      </w:r>
      <w:r w:rsidR="009067FD" w:rsidRPr="006325C2">
        <w:t xml:space="preserve">enhance tumor growth, block apoptosis, </w:t>
      </w:r>
      <w:r w:rsidR="000157AA" w:rsidRPr="006325C2">
        <w:t>promote angiogenesis</w:t>
      </w:r>
      <w:r w:rsidR="00505644" w:rsidRPr="006325C2">
        <w:t>,</w:t>
      </w:r>
      <w:r w:rsidR="000157AA" w:rsidRPr="006325C2">
        <w:t xml:space="preserve"> and </w:t>
      </w:r>
      <w:r w:rsidR="00505644" w:rsidRPr="006325C2">
        <w:t xml:space="preserve">accelerate </w:t>
      </w:r>
      <w:r w:rsidR="008D2EDB" w:rsidRPr="006325C2">
        <w:t>metastasis</w:t>
      </w:r>
      <w:r w:rsidR="000157AA" w:rsidRPr="006325C2">
        <w:t>.</w:t>
      </w:r>
      <w:r w:rsidR="008D2EDB" w:rsidRPr="006325C2">
        <w:fldChar w:fldCharType="begin"/>
      </w:r>
      <w:r w:rsidR="00AB395C">
        <w:instrText xml:space="preserve"> ADDIN ZOTERO_ITEM CSL_CITATION {"citationID":"1phjfs7pfv","properties":{"formattedCitation":"{\\rtf \\super 52, 55\\nosupersub{}}","plainCitation":"52, 55"},"citationItems":[{"id":865,"uris":["http://zotero.org/users/2024628/items/ZBH3EWRG"],"uri":["http://zotero.org/users/2024628/items/ZBH3EWRG"],"itemData":{"id":865,"type":"article-journal","title":"Bone matters in lung cancer","container-title":"Annals of oncology: official journal of the European Society for Medical Oncology / ESMO","page":"2215-2222","volume":"23","issue":"9","source":"PubMed","abstract":"BACKGROUND: Bone metastases are a significant and undertreated clinical problem in patients with advanced lung cancer.\nDESIGN: We reviewed the incidence of bone metastases and skeletal-related events (SREs) in patients with lung cancer and examined the burden on patients' lives and on health care systems. Available therapies to improve survival and lessen the impact of SREs on quality of life (QoL) were also investigated.\nRESULTS: Bone metastases are common in lung cancer; however, owing to short survival times, data on the incidences of SREs are limited. As with other cancers, the costs associated with treating SREs in lung cancer are substantial. Bisphosphonates reduce the frequency of SREs and improve measures of pain and QoL in patients with lung cancer; however, nephrotoxicity is a common complication of therapy. Denosumab, a recently approved bone-targeted therapy, is superior to zoledronic acid in increasing the time to first on-study SRE in patients with solid tumours, including lung cancer. Additional roles of bone-targeted therapies beyond the prevention of SREs are under investigation.\nCONCLUSIONS: With increasing awareness of the consequences of SREs, bone-targeted therapies may play a greater role in the management of patients with lung cancer, with the aim of delaying disease progression and preserving QoL.","DOI":"10.1093/annonc/mds009","ISSN":"1569-8041","note":"00021 \nPMID: 22357445\nPMCID: PMC3425370","journalAbbreviation":"Ann. Oncol.","language":"eng","author":[{"family":"Brodowicz","given":"T."},{"family":"O'Byrne","given":"K."},{"family":"Manegold","given":"C."}],"issued":{"date-parts":[["2012",9]]},"PMID":"22357445","PMCID":"PMC3425370"},"label":"page"},{"id":871,"uris":["http://zotero.org/users/2024628/items/PA5F9SMK"],"uri":["http://zotero.org/users/2024628/items/PA5F9SMK"],"itemData":{"id":871,"type":"article-journal","title":"Mechanisms of bone metastasis","container-title":"The New England Journal of Medicine","page":"1655-1664","volume":"350","issue":"16","source":"PubMed","DOI":"10.1056/NEJMra030831","ISSN":"1533-4406","note":"01548 \nPMID: 15084698","journalAbbreviation":"N. Engl. J. Med.","language":"eng","author":[{"family":"Roodman","given":"G. David"}],"issued":{"date-parts":[["2004",4,15]]},"PMID":"15084698"},"label":"page"}],"schema":"https://github.com/citation-style-language/schema/raw/master/csl-citation.json"} </w:instrText>
      </w:r>
      <w:r w:rsidR="008D2EDB" w:rsidRPr="006325C2">
        <w:fldChar w:fldCharType="separate"/>
      </w:r>
      <w:r w:rsidR="00AB395C" w:rsidRPr="00AB395C">
        <w:rPr>
          <w:vertAlign w:val="superscript"/>
        </w:rPr>
        <w:t>52, 55</w:t>
      </w:r>
      <w:r w:rsidR="008D2EDB" w:rsidRPr="006325C2">
        <w:fldChar w:fldCharType="end"/>
      </w:r>
      <w:r w:rsidR="000157AA" w:rsidRPr="006325C2">
        <w:t xml:space="preserve"> </w:t>
      </w:r>
      <w:r w:rsidR="006353C5" w:rsidRPr="006325C2">
        <w:t xml:space="preserve">During tumor progression, </w:t>
      </w:r>
      <w:r w:rsidR="00EC3AAA" w:rsidRPr="006325C2">
        <w:t xml:space="preserve">bone remodeling and </w:t>
      </w:r>
      <w:r w:rsidR="00DE7BE4" w:rsidRPr="006325C2">
        <w:t xml:space="preserve">calcium homeostasis </w:t>
      </w:r>
      <w:r w:rsidR="006353C5" w:rsidRPr="006325C2">
        <w:t xml:space="preserve">are further disturbed. </w:t>
      </w:r>
      <w:r w:rsidR="00D01C07" w:rsidRPr="006325C2">
        <w:t>Tumor cells secrete factors that increase RANKL expression and bone resorption, including PTH-related peptide, M-CSF, IL-6, and</w:t>
      </w:r>
      <w:r w:rsidR="00DE0BE9" w:rsidRPr="006325C2">
        <w:t xml:space="preserve"> tumor necrosis factor; in turn, growth factors released from the bone stimulate tumor growth</w:t>
      </w:r>
      <w:r w:rsidR="005D0E81" w:rsidRPr="006325C2">
        <w:t xml:space="preserve"> and metastasis</w:t>
      </w:r>
      <w:r w:rsidR="00DE0BE9" w:rsidRPr="006325C2">
        <w:t xml:space="preserve">. </w:t>
      </w:r>
      <w:r w:rsidR="005D0E81" w:rsidRPr="006325C2">
        <w:t>This vicious cycle of bone destruction and tumor progression</w:t>
      </w:r>
      <w:r w:rsidR="00DE0BE9" w:rsidRPr="006325C2">
        <w:t xml:space="preserve"> </w:t>
      </w:r>
      <w:r w:rsidR="00ED76CE" w:rsidRPr="006325C2">
        <w:t xml:space="preserve">has been </w:t>
      </w:r>
      <w:r w:rsidR="007B31D7" w:rsidRPr="006325C2">
        <w:t>well documented</w:t>
      </w:r>
      <w:r w:rsidR="00ED76CE" w:rsidRPr="006325C2">
        <w:t xml:space="preserve"> </w:t>
      </w:r>
      <w:r w:rsidR="007B31D7" w:rsidRPr="006325C2">
        <w:t>as</w:t>
      </w:r>
      <w:r w:rsidR="00ED76CE" w:rsidRPr="006325C2">
        <w:t xml:space="preserve"> </w:t>
      </w:r>
      <w:r w:rsidR="007B31D7" w:rsidRPr="006325C2">
        <w:t>an</w:t>
      </w:r>
      <w:r w:rsidR="00ED76CE" w:rsidRPr="006325C2">
        <w:t xml:space="preserve"> unfavorable </w:t>
      </w:r>
      <w:r w:rsidR="007B31D7" w:rsidRPr="006325C2">
        <w:t xml:space="preserve">prognostic </w:t>
      </w:r>
      <w:r w:rsidR="00ED76CE" w:rsidRPr="006325C2">
        <w:t>factor of lung cancer</w:t>
      </w:r>
      <w:r w:rsidR="00126F7E" w:rsidRPr="006325C2">
        <w:t>.</w:t>
      </w:r>
      <w:r w:rsidR="00840DA6" w:rsidRPr="006325C2">
        <w:fldChar w:fldCharType="begin"/>
      </w:r>
      <w:r w:rsidR="00AB395C">
        <w:instrText xml:space="preserve"> ADDIN ZOTERO_ITEM CSL_CITATION {"citationID":"8fih09mmu","properties":{"unsorted":true,"formattedCitation":"{\\rtf \\super 53, 56, 57\\nosupersub{}}","plainCitation":"53, 56, 57"},"citationItems":[{"id":867,"uris":["http://zotero.org/users/2024628/items/UG6JKUJZ"],"uri":["http://zotero.org/users/2024628/items/UG6JKUJZ"],"itemData":{"id":867,"type":"article-journal","title":"Metastatic sites and survival in lung cancer","container-title":"Lung Cancer (Amsterdam, Netherlands)","page":"78-84","volume":"86","issue":"1","source":"PubMed","abstract":"OBJECTIVES: Population-based data on metastatic sites and survival in site-specific metastases are lacking for lung cancer and for any cancer because most cancer registries do not record metastases. This study uses a novel population-based approach to identify metastases from both death certificates and national inpatient data to describe metastatic pathways in lung cancer patients.\nMATERIALS AND METHODS: 17,431 deceased lung cancer patients diagnosed 2002-2010 were identified from the nationwide Swedish Cancer Registry, which is based on compulsory reports. The influence of age at diagnosis, sex, and histological subtype on metastatic spread was investigated. Survival in metastatic lung cancer was assessed by histology and metastatic site.\nRESULTS: The most frequent metastatic sites were the nervous system, bone, liver, respiratory system, and adrenal gland. Liver (35%) and nervous system (47%) metastases were common in patients with metastases from small cell lung cancer, and bone (39%) and respiratory system (22%) metastases in adenocarcinoma. Women (43% vs. 35%) and younger patients had more metastases to the nervous system. Median survival after diagnosis was 13 months for non-metastatic and five months for metastatic lung cancer. In this novel data, liver metastases conferred the worst prognosis (three months), especially for large cell histology. Bone metastases also featured poor survival, whereas survival in respiratory and nervous system metastases was better.\nCONCLUSION: Metastatic sites and survival in metastatic lung cancer is influenced by sex, histological subtype, and age at diagnosis. Liver and bone metastases signal poor survival, compared with nervous system metastases.","DOI":"10.1016/j.lungcan.2014.07.020","ISSN":"1872-8332","note":"00016 \nPMID: 25130083","journalAbbreviation":"Lung Cancer","language":"eng","author":[{"family":"Riihimäki","given":"M."},{"family":"Hemminki","given":"A."},{"family":"Fallah","given":"M."},{"family":"Thomsen","given":"H."},{"family":"Sundquist","given":"K."},{"family":"Sundquist","given":"J."},{"family":"Hemminki","given":"K."}],"issued":{"date-parts":[["2014",10]]},"PMID":"25130083"},"label":"page"},{"id":875,"uris":["http://zotero.org/users/2024628/items/6Z6XRE36"],"uri":["http://zotero.org/users/2024628/items/6Z6XRE36"],"itemData":{"id":875,"type":"article-journal","title":"Bone metastasis, skeletal-related events, and mortality in lung cancer patients: a Danish population-based cohort study","container-title":"Lung Cancer (Amsterdam, Netherlands)","page":"247-254","volume":"86","issue":"2","source":"PubMed","abstract":"OBJECTIVES: To estimate the incidence rate of bone metastasis and subsequent skeletal-related events (SREs) (radiation to bone, spinal cord compression, fracture, and surgery to bone) in lung cancer patients and to quantify their impact on mortality.\nMATERIALS AND METHODS: We conducted a nationwide cohort study of patients diagnosed with lung cancer between 1999 and 2010 in Denmark. We computed the cumulative incidence (%) of bone metastasis and subsequent SREs (treating death as a competing risk) and corresponding incidence rates (per 1000 person-years). Survival was evaluated using the Kaplan-Meier method for three dynamic lung cancer patient cohorts-no bone metastasis; bone metastasis without SREs; and bone metastasis with SREs. Based on a Cox proportional hazards model, we computed mortality rate ratios (MRRs) comparing mortality rates between these patient cohorts, adjusting for age, comorbidity, stage, and histology. Analyses were conducted for the lung cancer patient cohort overall and by histologic subtype.\nRESULTS: We identified 29,720 patients with incident lung cancer (median follow-up: 7.3 months). The 1-year cumulative incidence of bone metastasis was 5.9%, and the 1-year cumulative incidence of subsequent SREs was 55.0%. The incidence of bone metastasis and SREs was higher in patients with non-small cell lung cancer (NSCLC) versus SCLC. One-year survival was 37.4% in patients with no bone metastasis; 12.1% in patients with bone metastasis without SREs; and 5.1% in patients with both bone metastasis and SREs. When mortality rates between patients with bone metastasis with and without an SRE were compared, 2-month mortality rates were similar, but the &gt;2-month adjusted MRR was 2.0 (95% confidence interval: 1.7-2.2).\nCONCLUSION: Bone metastases predict a poor prognosis in lung cancer patients. The majority of lung cancer patients with bone metastasis will also experience an SRE, which may further increase the rate of mortality.","DOI":"10.1016/j.lungcan.2014.08.022","ISSN":"1872-8332","note":"00011 \nPMID: 25240518","shortTitle":"Bone metastasis, skeletal-related events, and mortality in lung cancer patients","journalAbbreviation":"Lung Cancer","language":"eng","author":[{"family":"Cetin","given":"Karynsa"},{"family":"Christiansen","given":"Christian Fynbo"},{"family":"Jacobsen","given":"Jacob Bonde"},{"family":"Nørgaard","given":"Mette"},{"family":"Sørensen","given":"Henrik Toft"}],"issued":{"date-parts":[["2014",11]]},"PMID":"25240518"},"label":"page"},{"id":873,"uris":["http://zotero.org/users/2024628/items/PEIXX4T5"],"uri":["http://zotero.org/users/2024628/items/PEIXX4T5"],"itemData":{"id":873,"type":"article-journal","title":"Prognostic significance of bone markers in patients with lung cancer metastatic to the skeleton: a review of published data","container-title":"Clinical Lung Cancer","page":"341-349","volume":"12","issue":"6","source":"PubMed","abstract":"The presence of bone metastases significantly affects clinical outcome and quality of life parameters in patients with lung cancer. In this review, we aimed to evaluate the predictive value of markers of bone turnover in skeletal morbidity and clinical parameters, including disease-free survival (DFS) and overall survival (OS), in patients with lung cancer metastatic to the skeleton who were receiving bisphosphonate treatment. A comprehensive overview of all articles published from 1995 to date in 3 medical databases (PubMed, Scopus, and Cochrane) was performed using the keywords bone markers and lung cancer. Most bone formation markers (including bone alkaline phosphatase [bALP], osteocalcin [OC], and osteoprotegerin [OPG]), most bone absorption markers (including urinary calcium, osteopontin [OPN], receptor activator of nuclear factor κ-B ligand [RANKL], tartrate-resistant acid phosphatase isoform-5b [TRACP 5b]), and the metabolites of type I collagen had elevated concentrations in patients with lung cancer and bone metastases compared with patients without skeletal involvement. Two large studies showed that urinary N-terminal telopeptide (NTX) levels are a valid diagnostic method for early detection of bone metastases and a more consistent prognosticator than bALP. Treatment with zoledronic acid reduces NTX, TRACP-5b, RANKL, and OPG levels. Furthermore posttherapeutic reduction of urinary NTX levels seems to correlate with lower risk of skeletal-related events (SREs). Levels of markers of bone remodeling reflect the presence of bone metastases and may contribute to early detection of occult skeletal disease or monitor the effect of bisphosphonate treatment. However their ability to predict SREs, as well as DFS and OS, remains debatable.","DOI":"10.1016/j.cllc.2011.03.032","ISSN":"1938-0690","note":"00028 \nPMID: 21703936","shortTitle":"Prognostic significance of bone markers in patients with lung cancer metastatic to the skeleton","journalAbbreviation":"Clin Lung Cancer","language":"eng","author":[{"family":"Mountzios","given":"Giannis"},{"family":"Ramfidis","given":"Vassilis"},{"family":"Terpos","given":"Evangelos"},{"family":"Syrigos","given":"Kostantinos N."}],"issued":{"date-parts":[["2011",11]]},"PMID":"21703936"},"label":"page"}],"schema":"https://github.com/citation-style-language/schema/raw/master/csl-citation.json"} </w:instrText>
      </w:r>
      <w:r w:rsidR="00840DA6" w:rsidRPr="006325C2">
        <w:fldChar w:fldCharType="separate"/>
      </w:r>
      <w:r w:rsidR="00AB395C" w:rsidRPr="00AB395C">
        <w:rPr>
          <w:vertAlign w:val="superscript"/>
        </w:rPr>
        <w:t>53, 56, 57</w:t>
      </w:r>
      <w:r w:rsidR="00840DA6" w:rsidRPr="006325C2">
        <w:fldChar w:fldCharType="end"/>
      </w:r>
      <w:r w:rsidR="00E411FA" w:rsidRPr="006325C2">
        <w:t xml:space="preserve"> </w:t>
      </w:r>
      <w:r w:rsidR="00DE7BE4" w:rsidRPr="006325C2">
        <w:t xml:space="preserve"> </w:t>
      </w:r>
      <w:r w:rsidR="00876739" w:rsidRPr="006325C2">
        <w:t xml:space="preserve">Therefore, </w:t>
      </w:r>
      <w:r w:rsidR="00C4101D" w:rsidRPr="006325C2">
        <w:t xml:space="preserve">bone-targeted therapies have been </w:t>
      </w:r>
      <w:r w:rsidR="00876739" w:rsidRPr="006325C2">
        <w:t>used</w:t>
      </w:r>
      <w:r w:rsidR="00C4101D" w:rsidRPr="006325C2">
        <w:t xml:space="preserve"> to </w:t>
      </w:r>
      <w:r w:rsidR="00BC21D8" w:rsidRPr="006325C2">
        <w:t>reduce</w:t>
      </w:r>
      <w:r w:rsidR="00C4101D" w:rsidRPr="006325C2">
        <w:t xml:space="preserve"> bone metastases and prolong lung cancer</w:t>
      </w:r>
      <w:r w:rsidR="00D353DA" w:rsidRPr="006325C2">
        <w:t xml:space="preserve"> survival</w:t>
      </w:r>
      <w:r w:rsidR="00876739" w:rsidRPr="006325C2">
        <w:t>;</w:t>
      </w:r>
      <w:r w:rsidR="00C4101D" w:rsidRPr="006325C2">
        <w:fldChar w:fldCharType="begin"/>
      </w:r>
      <w:r w:rsidR="00AB395C">
        <w:instrText xml:space="preserve"> ADDIN ZOTERO_ITEM CSL_CITATION {"citationID":"2g51lj998v","properties":{"formattedCitation":"{\\rtf \\super 58, 59\\nosupersub{}}","plainCitation":"58, 59"},"citationItems":[{"id":881,"uris":["http://zotero.org/users/2024628/items/65CX2TMV"],"uri":["http://zotero.org/users/2024628/items/65CX2TMV"],"itemData":{"id":881,"type":"article-journal","title":"Bisphosphonates in the treatment of patients with lung cancer and metastatic bone disease: a systematic review and meta-analysis","container-title":"Supportive Care in Cancer: Official Journal of the Multinational Association of Supportive Care in Cancer","page":"2985-2998","volume":"20","issue":"11","source":"PubMed","abstract":"PURPOSE: Bisphosphonates are known to prevent skeletal-related events (SREs) in advanced breast cancer, prostate cancer, and multiple myeloma. This systematic review assessed the efficacy of bisphosphonates in preventing SREs, controlling pain, and overall survival in patients with bone metastases from lung cancer.\nMETHODS: We searched MEDLINE, EMBASE, Web of Science, and the Cochrane Library databases through November 10, 2011 for controlled trials that included lung cancer patients with bone metastases treated with bisphosphonates. Two reviewers independently extracted data on pain control, survival, and SREs and evaluated the quality of each study. Meta-analyses were performed when there were two or more trials with similar outcomes.\nRESULTS: Twelve trials met our inclusion criteria and included 1,767 patients. Studies were placebo-controlled, or had compared bisphosphonates with other modalities (chemotherapy, radiation therapy, or radioisotope therapy), or had used different bisphosphonates as active controls. Randomized controlled trials did not report adequate descriptions of randomization procedures, allocation concealment, and blinding, resulting in low-quality scores. Patients treated with zoledronic acid + chemotherapy had fewer SREs than those receiving chemotherapy alone (relative risk (RR) 0.81, 95 % confidence interval (CI) 0.67-0.97). Pain control improved when a bisphosphonate was added to another treatment modality (chemotherapy or radiation; RR 1.18, 95 %CI 1.0-1.4). Bisphosphonate therapy improved survival compared to controls, but the difference failed to reach statistical significance (mean of 72 days, 95 %CI -8.9 to 152.9).\nCONCLUSIONS: Treatment with bisphosphonates reduced SREs, improved pain control, and showed a trend to increased survival. Bisphosphonates should be used in the treatment of patients with lung cancer and bone metastases.","DOI":"10.1007/s00520-012-1563-z","ISSN":"1433-7339","note":"00024 \nPMID: 22956190\nPMCID: PMC3691019","shortTitle":"Bisphosphonates in the treatment of patients with lung cancer and metastatic bone disease","journalAbbreviation":"Support Care Cancer","language":"eng","author":[{"family":"Lopez-Olivo","given":"Maria A."},{"family":"Shah","given":"Nimit A."},{"family":"Pratt","given":"Greg"},{"family":"Risser","given":"Jan M."},{"family":"Symanski","given":"Elaine"},{"family":"Suarez-Almazor","given":"Maria E."}],"issued":{"date-parts":[["2012",11]]},"PMID":"22956190","PMCID":"PMC3691019"},"label":"page"},{"id":883,"uris":["http://zotero.org/users/2024628/items/8HSTRGFF"],"uri":["http://zotero.org/users/2024628/items/8HSTRGFF"],"itemData":{"id":883,"type":"article-journal","title":"Therapeutic Potential of Denosumab in Patients With Lung Cancer: Beyond Prevention of Skeletal Complications","container-title":"Clinical Lung Cancer","page":"431-446","volume":"16","issue":"6","source":"PubMed","abstract":"Approximately up to 40% of patients with lung cancer develop bone metastasis, with 22% to 59% of them experiencing skeletal-related events (SREs), which result in an important quality of life deterioration and economic burden. Denosumab, a fully human antibody that targets the receptor activator of nuclear factor-κB (RANK) ligand (RANKL), is indicated for prevention of SREs in patients with solid tumors and has demonstrated superiority in breast and prostate cancer, and in other solid tumors, in reducing the risk of first SRE by 17% versus zoledronic acid. In the subset of patients with non-small-cell lung carcinoma (NSCLC), denosumab has also shown a positive trend to SRE risk reduction. Denosumab might have direct or indirect antitumor effects. Cancer cells produce factors that stimulate increased bone resorption by osteoclasts, which in turn release tumor growth factors into the bone microenvironment, initiating a tumor/bone vicious cycle. An increasing body of evidence suggests RANK/RANKL signaling plays a role in this tumorigenesis. Both proteins are overexpressed in different tumor types including lung cancer cells. RANK/RANKL signaling activates nuclear factor-κB pathways related to lung carcinogenesis and increases intercellular adhesion molecule 1 expression and MEK/extracellular signal-regulated kinase phosphorylation, which in turn enhances tumor cell migration. In animal NSCLC models, denosumab delayed bone metastases and reduced skeletal tumor growth. In patients with lung cancer (post hoc analysis), denosumab prolonged overall survival by 1.2 months versus zoledronic acid (P = .01). This hypothesis-generating outcome warrants further investigation and 2 studies in lung cancer are ongoing to elucidate the therapeutic potential of denosumab beyond SRE prevention.","DOI":"10.1016/j.cllc.2015.06.004","ISSN":"1938-0690","note":"00000 \nPMID: 26264596","shortTitle":"Therapeutic Potential of Denosumab in Patients With Lung Cancer","journalAbbreviation":"Clin Lung Cancer","language":"eng","author":[{"family":"De Castro","given":"Javier"},{"family":"García","given":"Rosario"},{"family":"Garrido","given":"Pilar"},{"family":"Isla","given":"Dolores"},{"family":"Massuti","given":"Bartomeu"},{"family":"Blanca","given":"Belén"},{"family":"Vázquez","given":"Jimena"}],"issued":{"date-parts":[["2015",11]]},"PMID":"26264596"},"label":"page"}],"schema":"https://github.com/citation-style-language/schema/raw/master/csl-citation.json"} </w:instrText>
      </w:r>
      <w:r w:rsidR="00C4101D" w:rsidRPr="006325C2">
        <w:fldChar w:fldCharType="separate"/>
      </w:r>
      <w:r w:rsidR="00AB395C" w:rsidRPr="00AB395C">
        <w:rPr>
          <w:vertAlign w:val="superscript"/>
        </w:rPr>
        <w:t>58, 59</w:t>
      </w:r>
      <w:r w:rsidR="00C4101D" w:rsidRPr="006325C2">
        <w:fldChar w:fldCharType="end"/>
      </w:r>
      <w:r w:rsidR="00023EEB" w:rsidRPr="006325C2">
        <w:t xml:space="preserve"> </w:t>
      </w:r>
      <w:r w:rsidR="00876739" w:rsidRPr="006325C2">
        <w:t xml:space="preserve">and </w:t>
      </w:r>
      <w:r w:rsidR="008A0FA3" w:rsidRPr="006325C2">
        <w:t>assessments of bone condition and bone metastasis have been recommended throughout the lung cancer treatment</w:t>
      </w:r>
      <w:r w:rsidR="00023EEB" w:rsidRPr="006325C2">
        <w:t>.</w:t>
      </w:r>
      <w:r w:rsidR="00023EEB" w:rsidRPr="006325C2">
        <w:fldChar w:fldCharType="begin"/>
      </w:r>
      <w:r w:rsidR="00AB395C">
        <w:instrText xml:space="preserve"> ADDIN ZOTERO_ITEM CSL_CITATION {"citationID":"2p4nofaro3","properties":{"formattedCitation":"{\\rtf \\super 60, 61\\nosupersub{}}","plainCitation":"60, 61"},"citationItems":[{"id":877,"uris":["http://zotero.org/users/2024628/items/4UVW8NNU"],"uri":["http://zotero.org/users/2024628/items/4UVW8NNU"],"itemData":{"id":877,"type":"article-journal","title":"Bisphosphonate use in patients with lung cancer and bone metastases: recommendations of a European expert panel","container-title":"Journal of Thoracic Oncology: Official Publication of the International Association for the Study of Lung Cancer","page":"1280-1288","volume":"4","issue":"10","source":"PubMed","abstract":"INTRODUCTION: Bisphosphonates (BPs) are effective in preventing, reducing the incidence, and delaying the onset of skeletal-related events in patients with bone metastases in a variety of solid tumors, including lung cancer. The purpose of this article is to review the current evidence for the use of BPs in lung cancer and to provide specific European recommendations to support the clinical practice of using BPs to treat patients with lung cancer with bone metastases.\nMETHODS: An expert panel of European clinical oncologists and lung cancer specialists convened for two face-to-face meetings designed to review available evidence on the efficacy of BPs in lung cancer and to develop recommendations based on published literature and clinical practice experiences.\nRESULTS: The panel recommends screening patients with lung cancer for bone metastases at the initial staging of disease to assess symptomatic bone metastases and screen for asymptomatic bone metastases and to allow accurate monitoring of bone disease progression and initiate bone-specific therapy. Bone assessment should be based on positron emission tomography (if available) or bone scan. BPs should be added to the treatment of patients with lung cancer (with non-small cell lung cancer or small cell lung cancer) who develop bone metastases. In such patients, BPs must be considered part of metastatic lung cancer treatment to prevent and delay the occurrence of further bone metastases and skeletal-related events and to relieve pain where present. BP treatment should continue for as long as it is practically feasible in the absence of any significant adverse effects.","DOI":"10.1097/JTO.0b013e3181b68e5a","ISSN":"1556-1380","note":"00044 \nPMID: 19701109","shortTitle":"Bisphosphonate use in patients with lung cancer and bone metastases","journalAbbreviation":"J Thorac Oncol","language":"eng","author":[{"family":"De Marinis","given":"Filippo"},{"family":"Eberhardt","given":"Wilfried"},{"family":"Harper","given":"Peter G."},{"family":"Sureda","given":"Bartomeu Massuti"},{"family":"Nackaerts","given":"Kristiaan"},{"family":"Soerensen","given":"Jens Benn"},{"family":"Syrigos","given":"Kostas"},{"family":"Trédaniel","given":"Jean"}],"issued":{"date-parts":[["2009",10]]},"PMID":"19701109"},"label":"page"},{"id":879,"uris":["http://zotero.org/users/2024628/items/FS8HUAPM"],"uri":["http://zotero.org/users/2024628/items/FS8HUAPM"],"itemData":{"id":879,"type":"article-journal","title":"Skeletal morbidity in lung cancer patients with bone metastases: demonstrating the need for early diagnosis and treatment with bisphosphonates","container-title":"Lung Cancer (Amsterdam, Netherlands)","page":"4-11","volume":"67","issue":"1","source":"PubMed","abstract":"BACKGROUND: The skeleton is one of the most frequent sites for metastases from non-small cell lung cancer (NSCLC), and skeletal-related events (SREs) can decrease quality of life (QOL). However, limited guidance exists regarding the diagnosis and treatment of bone metastases in patients with NSCLC.\nMETHODS: Data on the burden of skeletal morbidity and the diagnosis and treatment of bone metastases in patients with NSCLC were obtained from reviewing the published literature (PubMed) and presentations and abstracts from recent oncology congresses.\nRESULTS: Bone metastases are common but underdiagnosed in patients with NSCLC. Most NSCLC patients with bone metastases develop &gt; or =1 SRE during their lifetimes. As survival improves with new treatment modalities, the prevalence of SREs is likely to increase. Direct costs of SREs and their subsequent supportive care are approximately $28,000 per patient. Although bone metastases often are not diagnosed until after the onset of symptoms, early treatment can delay the onset of potentially debilitating SREs. In patients with NSCLC and other solid tumors (n=773), zoledronic acid (ZOL; 4 mg via 15-min infusion every 3 weeks) delayed the median time to first on-study SRE by &gt;80 days compared with placebo (p=0.009). Moreover, ZOL significantly reduced the ongoing risk of SREs by 32% versus placebo (p=0.016).\nCONCLUSIONS: Skeletal morbidity is an important concern in patients with NSCLC. The incidence of SREs is expected to increase as survival improves in this setting. Prevention of SREs with therapies such as ZOL may preserve patients' QOL and possibly reduce healthcare costs.","DOI":"10.1016/j.lungcan.2009.08.020","ISSN":"1872-8332","note":"00047 \nPMID: 19939491","shortTitle":"Skeletal morbidity in lung cancer patients with bone metastases","journalAbbreviation":"Lung Cancer","language":"eng","author":[{"family":"Langer","given":"Corey"},{"family":"Hirsh","given":"Vera"}],"issued":{"date-parts":[["2010",1]]},"PMID":"19939491"},"label":"page"}],"schema":"https://github.com/citation-style-language/schema/raw/master/csl-citation.json"} </w:instrText>
      </w:r>
      <w:r w:rsidR="00023EEB" w:rsidRPr="006325C2">
        <w:fldChar w:fldCharType="separate"/>
      </w:r>
      <w:r w:rsidR="00AB395C" w:rsidRPr="00AB395C">
        <w:rPr>
          <w:vertAlign w:val="superscript"/>
        </w:rPr>
        <w:t>60, 61</w:t>
      </w:r>
      <w:r w:rsidR="00023EEB" w:rsidRPr="006325C2">
        <w:fldChar w:fldCharType="end"/>
      </w:r>
      <w:r w:rsidR="00023EEB" w:rsidRPr="006325C2">
        <w:t xml:space="preserve"> </w:t>
      </w:r>
      <w:r w:rsidR="0087343A" w:rsidRPr="006325C2">
        <w:t xml:space="preserve">Although </w:t>
      </w:r>
      <w:r w:rsidR="007426AB" w:rsidRPr="006325C2">
        <w:t xml:space="preserve">our study </w:t>
      </w:r>
      <w:r w:rsidR="0087343A" w:rsidRPr="006325C2">
        <w:t xml:space="preserve">did not have clinical information to </w:t>
      </w:r>
      <w:r w:rsidR="007426AB" w:rsidRPr="006325C2">
        <w:t>identify</w:t>
      </w:r>
      <w:r w:rsidR="0087343A" w:rsidRPr="006325C2">
        <w:t xml:space="preserve"> and categorize patients according to bone or other metastas</w:t>
      </w:r>
      <w:r w:rsidR="008A0FA3" w:rsidRPr="006325C2">
        <w:t>i</w:t>
      </w:r>
      <w:r w:rsidR="0087343A" w:rsidRPr="006325C2">
        <w:t xml:space="preserve">s status, </w:t>
      </w:r>
      <w:r w:rsidR="007426AB" w:rsidRPr="006325C2">
        <w:t xml:space="preserve">our </w:t>
      </w:r>
      <w:r w:rsidR="0087343A" w:rsidRPr="006325C2">
        <w:t>f</w:t>
      </w:r>
      <w:r w:rsidR="007B31D7" w:rsidRPr="006325C2">
        <w:t xml:space="preserve">indings suggest that patients with habitually low calcium intakes may be at </w:t>
      </w:r>
      <w:r w:rsidR="00023EEB" w:rsidRPr="006325C2">
        <w:t>particular</w:t>
      </w:r>
      <w:r w:rsidR="007B31D7" w:rsidRPr="006325C2">
        <w:t xml:space="preserve"> risk</w:t>
      </w:r>
      <w:r w:rsidR="002078C7" w:rsidRPr="006325C2">
        <w:t xml:space="preserve">; </w:t>
      </w:r>
      <w:r w:rsidR="00DE7BE4" w:rsidRPr="006325C2">
        <w:t xml:space="preserve">and </w:t>
      </w:r>
      <w:r w:rsidR="002078C7" w:rsidRPr="006325C2">
        <w:t>assessments of bone health and calcium homeostasis m</w:t>
      </w:r>
      <w:r w:rsidR="00B042C0" w:rsidRPr="006325C2">
        <w:t>ight</w:t>
      </w:r>
      <w:r w:rsidR="002078C7" w:rsidRPr="006325C2">
        <w:t xml:space="preserve"> be of benefit to </w:t>
      </w:r>
      <w:r w:rsidR="00E04706" w:rsidRPr="006325C2">
        <w:t>these patients, especially</w:t>
      </w:r>
      <w:r w:rsidR="001D4FF6" w:rsidRPr="006325C2">
        <w:t xml:space="preserve"> for </w:t>
      </w:r>
      <w:r w:rsidR="00E04706" w:rsidRPr="006325C2">
        <w:t xml:space="preserve">those </w:t>
      </w:r>
      <w:r w:rsidR="00B042C0" w:rsidRPr="006325C2">
        <w:t xml:space="preserve">who </w:t>
      </w:r>
      <w:r w:rsidR="008A4DCA" w:rsidRPr="006325C2">
        <w:t>were diagnosed with an</w:t>
      </w:r>
      <w:r w:rsidR="00E04706" w:rsidRPr="006325C2">
        <w:t xml:space="preserve"> </w:t>
      </w:r>
      <w:r w:rsidR="005147DF" w:rsidRPr="006325C2">
        <w:t>early-</w:t>
      </w:r>
      <w:r w:rsidR="00A84940" w:rsidRPr="006325C2">
        <w:t>stage</w:t>
      </w:r>
      <w:r w:rsidR="008A4DCA" w:rsidRPr="006325C2">
        <w:t xml:space="preserve"> lung cancer</w:t>
      </w:r>
      <w:r w:rsidR="001D4FF6" w:rsidRPr="006325C2">
        <w:t xml:space="preserve"> for a proper intervention</w:t>
      </w:r>
      <w:r w:rsidR="007B31D7" w:rsidRPr="006325C2">
        <w:t xml:space="preserve">.  </w:t>
      </w:r>
    </w:p>
    <w:p w:rsidR="00821E30" w:rsidRPr="006325C2" w:rsidRDefault="001D4FF6" w:rsidP="009736C9">
      <w:pPr>
        <w:spacing w:before="60" w:after="0" w:line="480" w:lineRule="auto"/>
        <w:ind w:firstLine="360"/>
      </w:pPr>
      <w:r w:rsidRPr="006325C2">
        <w:t>P</w:t>
      </w:r>
      <w:r w:rsidR="000A2F94" w:rsidRPr="006325C2">
        <w:t xml:space="preserve">revious studies have </w:t>
      </w:r>
      <w:r w:rsidR="004F3187" w:rsidRPr="006325C2">
        <w:t xml:space="preserve">shown </w:t>
      </w:r>
      <w:r w:rsidR="00670527" w:rsidRPr="006325C2">
        <w:t>that poor calcium nutrition may contribute to development of</w:t>
      </w:r>
      <w:r w:rsidR="00424441" w:rsidRPr="006325C2">
        <w:t xml:space="preserve"> several cancers</w:t>
      </w:r>
      <w:r w:rsidR="00BC2291" w:rsidRPr="006325C2">
        <w:t>, including lung cancer</w:t>
      </w:r>
      <w:r w:rsidR="00D96281" w:rsidRPr="006325C2">
        <w:t>.</w:t>
      </w:r>
      <w:r w:rsidR="00023EEB" w:rsidRPr="006325C2">
        <w:fldChar w:fldCharType="begin"/>
      </w:r>
      <w:r w:rsidR="00023EEB" w:rsidRPr="006325C2">
        <w:instrText xml:space="preserve"> ADDIN ZOTERO_ITEM CSL_CITATION {"citationID":"EzQG0s7S","properties":{"formattedCitation":"{\\rtf \\super 10\\nosupersub{}}","plainCitation":"10"},"citationItems":[{"id":787,"uris":["http://zotero.org/users/2024628/items/VEQ7NP4J"],"uri":["http://zotero.org/users/2024628/items/VEQ7NP4J"],"itemData":{"id":787,"type":"article-journal","title":"Calcium, vitamin D and cancer","container-title":"Anticancer Research","page":"3687-3698","volume":"29","issue":"9","source":"PubMed","abstract":"A low vitamin D status and inadequate calcium intake are important risk factors for various types of cancer. Ecological studies using solar UV-B exposure as an index of vitamin D3 photoproduction in the skin found a highly significant inverse association between UV-B and mortality in fifteen types of cancer. Of these, colon, rectal, breast, gastric, endometrial, renal and ovarian cancer exhibit a significant inverse relationship between incidence and oral intake of calcium. In addition, lung and endometrial cancer as well as multiple myeloma are considered calcium and vitamin D sensitive. Studies on tissue-specific expression of the CYP27B1-encoded 25-hdroxyvitamin D-1alpha-hydroxylase and of the extracellular calcium-sensing receptor (CaR) have led to an understanding how locally produced 1,25-dihydroxyvitamin D3 (1,25(OH)2D3) and extracellular Ca2+ act jointly as key regulators of cellular proliferation, differentiation and function. Thus, impairment of antimitogenic, proapoptotic and prodifferentiating signaling from the 1,25(OH)2D3-activated vitamin D receptor (VDR) and from the CaR in vitamin D and calcium insufficiency has been implicated in the pathogenesis of the aforementioned types of cancer. 1,25(OH)2D3 and calcium interact in modulating cell growth in different ways: (i) Signaling pathways from the VDR and the CaR converge on the same downstream elements, e.g. of the canonical Wnt pathway; (ii) high extracellular calcium modulates extrarenal vitamin D metabolism in favor of higher local steady-state concentrations of 1,25(OH)2D3; (iii) 1,25(OH)2D3 may up-regulate expression of the CaR and thus augment CaR-mediated antiproliferative responses to high extracellular Ca2+. This can explain why combined supplementation is required for optimal chemoprevention of cancer by calcium and vitamin D.","ISSN":"1791-7530","note":"00148 \nPMID: 19667166","journalAbbreviation":"Anticancer Res.","language":"eng","author":[{"family":"Peterlik","given":"Meinrad"},{"family":"Grant","given":"William B."},{"family":"Cross","given":"Heide S."}],"issued":{"date-parts":[["2009",9]]},"PMID":"19667166"}}],"schema":"https://github.com/citation-style-language/schema/raw/master/csl-citation.json"} </w:instrText>
      </w:r>
      <w:r w:rsidR="00023EEB" w:rsidRPr="006325C2">
        <w:fldChar w:fldCharType="separate"/>
      </w:r>
      <w:r w:rsidR="00AB395C" w:rsidRPr="00AB395C">
        <w:rPr>
          <w:vertAlign w:val="superscript"/>
        </w:rPr>
        <w:t>10</w:t>
      </w:r>
      <w:r w:rsidR="00023EEB" w:rsidRPr="006325C2">
        <w:fldChar w:fldCharType="end"/>
      </w:r>
      <w:r w:rsidR="00424441" w:rsidRPr="006325C2">
        <w:t xml:space="preserve"> Low dietary calcium intake (</w:t>
      </w:r>
      <w:r w:rsidR="00AF5EB1" w:rsidRPr="006325C2">
        <w:t>e.g.</w:t>
      </w:r>
      <w:r w:rsidR="00424441" w:rsidRPr="006325C2">
        <w:t xml:space="preserve"> &lt;500 mg/d) </w:t>
      </w:r>
      <w:r w:rsidR="00D50581" w:rsidRPr="006325C2">
        <w:t xml:space="preserve">has been linked to increased risks of </w:t>
      </w:r>
      <w:r w:rsidR="00424441" w:rsidRPr="006325C2">
        <w:t>colorectal cancer</w:t>
      </w:r>
      <w:r w:rsidR="00023EEB" w:rsidRPr="006325C2">
        <w:fldChar w:fldCharType="begin"/>
      </w:r>
      <w:r w:rsidR="00023EEB" w:rsidRPr="006325C2">
        <w:instrText xml:space="preserve"> ADDIN ZOTERO_ITEM CSL_CITATION {"citationID":"nmcc8jebt","properties":{"formattedCitation":"{\\rtf \\super 13\\uc0\\u8211{}15\\nosupersub{}}","plainCitation":"13–15"},"citationItems":[{"id":793,"uris":["http://zotero.org/users/2024628/items/T2J6SE83"],"uri":["http://zotero.org/users/2024628/items/T2J6SE83"],"itemData":{"id":793,"type":"article-journal","title":"Dairy food, calcium, and risk of cancer in the NIH-AARP Diet and Health Study","container-title":"Archives of Internal Medicine","page":"391-401","volume":"169","issue":"4","source":"PubMed","abstract":"BACKGROUND: Dairy food and calcium intakes have been hypothesized to play roles that differ among individual cancer sites, but the evidence has been limited and inconsistent. Moreover, their effect on cancer in total is unclear.\nMETHODS: Dairy food and calcium intakes in relation to total cancer as well as cancer at individual sites were examined in the National Institutes of Health (NIH)-AARP (formerly known as the American Association of Retired Persons) Diet and Health Study. Intakes of dairy food and calcium from foods and supplements were assessed with a food frequency questionnaire. Incident cancer cases were identified through linkage with state cancer registries. A Cox proportional hazard model was used to estimate relative risks and 2-sided 95% confidence intervals (CIs).\nRESULTS: During an average of 7 years of follow-up, we identified 36 965 and 16 605 cancer cases in men and women, respectively. Calcium intake was not related to total cancer in men but was nonlinearly associated with total cancer in women: the risk decreased up to approximately 1300 mg/d, above which no further risk reduction was observed. In both men and women, dairy food and calcium intakes were inversely associated with cancers of the digestive system (multivariate relative risk for the highest quintile of total calcium vs the lowest, 0.84; 95% CI, 0.77-0.92 in men, and 0.77; 95% CI, 0.69-0.91 in women). Decreased risk was particularly pronounced with colorectal cancer. Supplemental calcium intake was also inversely associated with colorectal cancer risk.\nCONCLUSION: Our study suggests that calcium intake is associated with a lower risk of total cancer and cancers of the digestive system, especially colorectal cancer.","DOI":"10.1001/archinternmed.2008.578","ISSN":"1538-3679","note":"00105 \nPMID: 19237724\nPMCID: PMC2796799","journalAbbreviation":"Arch. Intern. Med.","language":"eng","author":[{"family":"Park","given":"Yikyung"},{"family":"Leitzmann","given":"Michael F."},{"family":"Subar","given":"Amy F."},{"family":"Hollenbeck","given":"Albert"},{"family":"Schatzkin","given":"Arthur"}],"issued":{"date-parts":[["2009",2,23]]},"PMID":"19237724","PMCID":"PMC2796799"},"label":"page"},{"id":795,"uris":["http://zotero.org/users/2024628/items/UJQZDMBA"],"uri":["http://zotero.org/users/2024628/items/UJQZDMBA"],"itemData":{"id":795,"type":"article-journal","title":"Dairy foods, calcium, and colorectal cancer: a pooled analysis of 10 cohort studies","container-title":"Journal of the National Cancer Institute","page":"1015-1022","volume":"96","issue":"13","source":"PubMed","abstract":"BACKGROUND: Studies in animals have suggested that calcium may reduce the risk of colorectal cancer. However, results from epidemiologic studies of intake of calcium or dairy foods and colorectal cancer risk have been inconclusive.\nMETHODS: We pooled the primary data from 10 cohort studies in five countries that assessed usual dietary intake by using a validated food frequency questionnaire at baseline. For most studies, follow-up was extended beyond that in the original publication. The studies included 534 536 individuals, among whom 4992 incident cases of colorectal cancer were diagnosed between 6 and 16 years of follow-up. Pooled multivariable relative risks for categories of milk intake and quintiles of calcium intake and 95% confidence intervals (CIs) were calculated. All statistical tests were two-sided.\nRESULTS: Milk intake was related to a reduced risk of colorectal cancer. Compared with the lowest category of intake (&lt;70 g/day), relative risks of colorectal cancer for increasing categories (70-174, 175-249, and &gt; or =250 g/day) of milk intake were 0.94 (95% CI = 0.86 to 1.02), 0.88 (95% CI = 0.81 to 0.96), and 0.85 (95% CI = 0.78 to 0.94), respectively (P(trend)&lt;.001). Calcium intake was also inversely related to the risk of colorectal cancer. The relative risk for the highest versus the lowest quintile of intake was 0.86 (95% CI = 0.78 to 0.95; P(trend) =.02) for dietary calcium and 0.78 (95% CI = 0.69 to 0.88; P(trend)&lt;.001) for total calcium (combining dietary and supplemental sources). These results were consistent across studies and sex. The inverse association for milk was limited to cancers of the distal colon (P(trend)&lt;.001) and rectum (P(trend) =.02).\nCONCLUSION: Higher consumption of milk and calcium is associated with a lower risk of colorectal cancer.","ISSN":"1460-2105","note":"00414 \nPMID: 15240785","shortTitle":"Dairy foods, calcium, and colorectal cancer","journalAbbreviation":"J. Natl. Cancer Inst.","language":"eng","author":[{"family":"Cho","given":"Eunyoung"},{"family":"Smith-Warner","given":"Stephanie A."},{"family":"Spiegelman","given":"Donna"},{"family":"Beeson","given":"W. Lawrence"},{"family":"Brandt","given":"Piet A.","non-dropping-particle":"van den"},{"family":"Colditz","given":"Graham A."},{"family":"Folsom","given":"Aaron R."},{"family":"Fraser","given":"Gary E."},{"family":"Freudenheim","given":"Jo L."},{"family":"Giovannucci","given":"Edward"},{"family":"Goldbohm","given":"R. Alexandra"},{"family":"Graham","given":"Saxon"},{"family":"Miller","given":"Anthony B."},{"family":"Pietinen","given":"Pirjo"},{"family":"Potter","given":"John D."},{"family":"Rohan","given":"Thomas E."},{"family":"Terry","given":"Paul"},{"family":"Toniolo","given":"Paolo"},{"family":"Virtanen","given":"Mikko J."},{"family":"Willett","given":"Walter C."},{"family":"Wolk","given":"Alicja"},{"family":"Wu","given":"Kana"},{"family":"Yaun","given":"Shiaw-Shyuan"},{"family":"Zeleniuch-Jacquotte","given":"Anne"},{"family":"Hunter","given":"David J."}],"issued":{"date-parts":[["2004",7,7]]},"PMID":"15240785"},"label":"page"},{"id":797,"uris":["http://zotero.org/users/2024628/items/IWR852T7"],"uri":["http://zotero.org/users/2024628/items/IWR852T7"],"itemData":{"id":797,"type":"article-journal","title":"Colorectal cancer risk and dietary intake of calcium, vitamin D, and dairy products: a meta-analysis of 26,335 cases from 60 observational studies","container-title":"Nutrition and Cancer","page":"47-69","volume":"61","issue":"1","source":"PubMed","abstract":"In vivo and in vitro studies suggest that dairy products, calcium, and dietary vitamin D inhibits the development of colorectal cancer (CRC). A meta-analysis was performed to evaluate this relationship in observational studies. Data from 60 epidemiological studies enrolling 26,335 CRC cases were pooled using a general variance-based meta-analytic method. Summary relative risk (RR) estimates and 95% confidence intervals (CIs) were calculated for the highest vs. the lowest intake categories. Sensitivity analyses tested the robustness of these summary effect measures and the statistical heterogeneity. The summary RR for high milk and dairy product intake, respectively, on colon cancer risk was 0.78 (95% CI = 0.67-0.92) and 0.84 (95% CI = 0.75-0.95). Milk intake was unrelated to rectal cancer risk. High calcium intake had a greater protective effect against tumors of the distal colon and rectal cancer vs. proximal colon. The risk reduction associated with calcium was similar for dietary and supplemental sources. Vitamin D was associated with a nonsignificant 6% reduction in CRC risk. Higher consumption of milk/dairy products reduces the risk of colon cancer, and high calcium intake reduces the risk of CRC. Low vitamin D intake in the study populations may limit the ability to detect a protective effect if one exists.","DOI":"10.1080/01635580802395733","ISSN":"1532-7914","note":"00145 \nPMID: 19116875","shortTitle":"Colorectal cancer risk and dietary intake of calcium, vitamin D, and dairy products","journalAbbreviation":"Nutr Cancer","language":"eng","author":[{"family":"Huncharek","given":"Michael"},{"family":"Muscat","given":"Joshua"},{"family":"Kupelnick","given":"Bruce"}],"issued":{"date-parts":[["2009"]]},"PMID":"19116875"},"label":"page"}],"schema":"https://github.com/citation-style-language/schema/raw/master/csl-citation.json"} </w:instrText>
      </w:r>
      <w:r w:rsidR="00023EEB" w:rsidRPr="006325C2">
        <w:fldChar w:fldCharType="separate"/>
      </w:r>
      <w:r w:rsidR="00AB395C" w:rsidRPr="00AB395C">
        <w:rPr>
          <w:vertAlign w:val="superscript"/>
        </w:rPr>
        <w:t>13–15</w:t>
      </w:r>
      <w:r w:rsidR="00023EEB" w:rsidRPr="006325C2">
        <w:fldChar w:fldCharType="end"/>
      </w:r>
      <w:r w:rsidR="00161AC1" w:rsidRPr="006325C2">
        <w:t xml:space="preserve"> and premenopausal breast cancer</w:t>
      </w:r>
      <w:r w:rsidR="00023EEB" w:rsidRPr="006325C2">
        <w:t>,</w:t>
      </w:r>
      <w:r w:rsidR="00023EEB" w:rsidRPr="006325C2">
        <w:fldChar w:fldCharType="begin"/>
      </w:r>
      <w:r w:rsidR="00AB395C">
        <w:instrText xml:space="preserve"> ADDIN ZOTERO_ITEM CSL_CITATION {"citationID":"s06gkisce","properties":{"formattedCitation":"{\\rtf \\super 16, 17\\nosupersub{}}","plainCitation":"16, 17"},"citationItems":[{"id":799,"uris":["http://zotero.org/users/2024628/items/I82PUBM2"],"uri":["http://zotero.org/users/2024628/items/I82PUBM2"],"itemData":{"id":799,"type":"article-journal","title":"Intakes of calcium and vitamin D and breast cancer risk in women","container-title":"Archives of Internal Medicine","page":"1050-1059","volume":"167","issue":"10","source":"PubMed","abstract":"BACKGROUND: Animal data suggest the potential anticarcinogenic effects of calcium and vitamin D on breast cancer development. However, epidemiologic data relating calcium and vitamin D levels to breast cancer have been inconclusive.\nMETHODS: We prospectively evaluated total calcium and vitamin D intake in relation to breast cancer incidence among 10,578 premenopausal and 20,909 postmenopausal women 45 years or older who were free of cancer and cardiovascular disease at baseline in the Women's Health Study. Baseline dietary intake was assessed by a food frequency questionnaire. We used Cox proportional hazards regression to estimate hazard ratios and 95% confidence intervals.\nRESULTS: During an average of 10 years of follow-up, 276 premenopausal and 743 postmenopausal women had a confirmed diagnosis of incident invasive breast cancer. Higher intakes of total calcium and vitamin D were moderately associated with a lower risk of premenopausal breast cancer; the hazard ratios in the group with the highest relative to the lowest quintile of intake were 0.61 (95% confidence interval, 0.40-0.92) for calcium (P = .04 for trend) and 0.65 (95% confidence interval, 0.42-1.00) for vitamin D intake (P = .07 for trend). The inverse association with both nutrients was also present for large or poorly differentiated breast tumors among premenopausal women (P&lt; or =.04 for trend). By contrast, intakes of both nutrients were not inversely associated with the risk of breast cancer among postmenopausal women.\nCONCLUSIONS: Findings from this study suggest that higher intakes of calcium and vitamin D may be associated with a lower risk of developing premenopausal breast cancer. The likely apparent protection in premenopausal women may be more pronounced for more aggressive breast tumors.","DOI":"10.1001/archinte.167.10.1050","ISSN":"0003-9926","note":"00239 \nPMID: 17533208","journalAbbreviation":"Arch. Intern. Med.","language":"eng","author":[{"family":"Lin","given":"Jennifer"},{"family":"Manson","given":"JoAnn E."},{"family":"Lee","given":"I.-Min"},{"family":"Cook","given":"Nancy R."},{"family":"Buring","given":"Julie E."},{"family":"Zhang","given":"Shumin M."}],"issued":{"date-parts":[["2007",5,28]]},"PMID":"17533208"},"label":"page"},{"id":801,"uris":["http://zotero.org/users/2024628/items/DH7UPGGS"],"uri":["http://zotero.org/users/2024628/items/DH7UPGGS"],"itemData":{"id":801,"type":"article-journal","title":"Meta-analysis of vitamin D, calcium and the prevention of breast cancer","container-title":"Breast Cancer Research and Treatment","page":"469-477","volume":"121","issue":"2","source":"PubMed","abstract":"Vitamin D and calcium intake have been suggested to have protective effects against breast cancer; however, the data have been inconclusive. The present meta-analysis examined the overall effects of vitamin D intake, circulating 25(OH)D and 1alpha,25(OH)(2)D levels, and calcium intake on breast cancer risk. Data from 11 studies on vitamin D intake, 7 studies on circulating 25(OH)D levels, 3 studies of circulating 1alpha,25(OH)(2)D levels, and 15 studies on calcium intake and breast cancer risk were included in this analysis. From the meta-analysis, there was a significant inverse relationship between vitamin D intake and breast cancer risk, with an overall relative risk (RR) of high versus low vitamin D intake for breast cancer of 0.91 (95% CI = 0.85-0.97). The highest quantile of circulating 25(OH)D was found to be associated with a 45% (OR = 0.55, 95% CI = 0.38-0.80) decrease in breast cancer when compared with the lowest quantile. No significant association for the circulating 1alpha,25(OH)(2)D level and breast cancer was found (OR = 0.99, 95% CI = 0.68-1.44). For calcium, a 19% (RR = 0.81, 95% CI = 0.72-0.90) decrease in breast cancer risk was found for those with highest quantile of calcium intake compared to the lowest quantile. These results provide strong evidence that vitamin D and calcium have a chemopreventive effect against breast cancer.","DOI":"10.1007/s10549-009-0593-9","ISSN":"1573-7217","note":"00199 \nPMID: 19851861","journalAbbreviation":"Breast Cancer Res. Treat.","language":"eng","author":[{"family":"Chen","given":"Peizhan"},{"family":"Hu","given":"Pingting"},{"family":"Xie","given":"Dong"},{"family":"Qin","given":"Ying"},{"family":"Wang","given":"Fudi"},{"family":"Wang","given":"Hui"}],"issued":{"date-parts":[["2010",6]]},"PMID":"19851861"},"label":"page"}],"schema":"https://github.com/citation-style-language/schema/raw/master/csl-citation.json"} </w:instrText>
      </w:r>
      <w:r w:rsidR="00023EEB" w:rsidRPr="006325C2">
        <w:fldChar w:fldCharType="separate"/>
      </w:r>
      <w:r w:rsidR="00AB395C" w:rsidRPr="00AB395C">
        <w:rPr>
          <w:vertAlign w:val="superscript"/>
        </w:rPr>
        <w:t>16, 17</w:t>
      </w:r>
      <w:r w:rsidR="00023EEB" w:rsidRPr="006325C2">
        <w:fldChar w:fldCharType="end"/>
      </w:r>
      <w:r w:rsidR="00023EEB" w:rsidRPr="006325C2">
        <w:t xml:space="preserve"> </w:t>
      </w:r>
      <w:r w:rsidR="00BC2291" w:rsidRPr="006325C2">
        <w:t xml:space="preserve">and </w:t>
      </w:r>
      <w:r w:rsidR="00D50581" w:rsidRPr="006325C2">
        <w:t>possibly</w:t>
      </w:r>
      <w:r w:rsidR="00BC2291" w:rsidRPr="006325C2">
        <w:t xml:space="preserve"> lung cancer</w:t>
      </w:r>
      <w:r w:rsidR="00D96281" w:rsidRPr="006325C2">
        <w:t xml:space="preserve">, as </w:t>
      </w:r>
      <w:r w:rsidR="000A2F94" w:rsidRPr="006325C2">
        <w:t>shown</w:t>
      </w:r>
      <w:r w:rsidR="00D96281" w:rsidRPr="006325C2">
        <w:t xml:space="preserve"> in the SWHS,</w:t>
      </w:r>
      <w:r w:rsidR="00BC2291" w:rsidRPr="006325C2">
        <w:t xml:space="preserve"> </w:t>
      </w:r>
      <w:r w:rsidR="00D96281" w:rsidRPr="006325C2">
        <w:t>th</w:t>
      </w:r>
      <w:r w:rsidR="00BC2291" w:rsidRPr="006325C2">
        <w:t xml:space="preserve">e </w:t>
      </w:r>
      <w:r w:rsidR="00F378F7" w:rsidRPr="006325C2">
        <w:t>NIH-</w:t>
      </w:r>
      <w:r w:rsidR="001C6BF0" w:rsidRPr="006325C2">
        <w:t>AARP</w:t>
      </w:r>
      <w:r w:rsidR="00BC2291" w:rsidRPr="006325C2">
        <w:t>,</w:t>
      </w:r>
      <w:r w:rsidR="00D96281" w:rsidRPr="006325C2">
        <w:t xml:space="preserve"> and the</w:t>
      </w:r>
      <w:r w:rsidR="00BC2291" w:rsidRPr="006325C2">
        <w:t xml:space="preserve"> </w:t>
      </w:r>
      <w:r w:rsidR="00D96281" w:rsidRPr="006325C2">
        <w:t>EPIC-Heidelberg</w:t>
      </w:r>
      <w:r w:rsidR="001C6BF0" w:rsidRPr="006325C2">
        <w:t xml:space="preserve"> study</w:t>
      </w:r>
      <w:r w:rsidR="00D96281" w:rsidRPr="006325C2">
        <w:t>.</w:t>
      </w:r>
      <w:r w:rsidR="00023EEB" w:rsidRPr="006325C2">
        <w:fldChar w:fldCharType="begin"/>
      </w:r>
      <w:r w:rsidR="00023EEB" w:rsidRPr="006325C2">
        <w:instrText xml:space="preserve"> ADDIN ZOTERO_ITEM CSL_CITATION {"citationID":"259p30dnth","properties":{"formattedCitation":"{\\rtf \\super 20\\uc0\\u8211{}22\\nosupersub{}}","plainCitation":"20–22"},"citationItems":[{"id":807,"uris":["http://zotero.org/users/2024628/items/IJCAHTNI"],"uri":["http://zotero.org/users/2024628/items/IJCAHTNI"],"itemData":{"id":807,"type":"article-journal","title":"Mineral intake and lung cancer risk in the NIH-American Association of Retired Persons Diet and Health study","container-title":"Cancer Epidemiology, Biomarkers &amp; Prevention: A Publication of the American Association for Cancer Research, Cosponsored by the American Society of Preventive Oncology","page":"1976-1983","volume":"19","issue":"8","source":"PubMed","abstract":"BACKGROUND: Using data from a case-control study, we previously reported that low dietary intakes of magnesium (Mg), iron (Fe), zinc (Zn), copper (Cu), but not selenium (Se) and calcium (Ca), were associated with increased lung cancer risk. Due to dietary recall bias in case-control studies, our objective was to assess whether these findings hold in a prospective cohort study.\nMETHODS: We analyzed data from the NIH-American Association of Retired Persons Diet and Health study of 482,875 subjects (288,257 men and 194,618 women) who were cancer-free and completed a food frequency questionnaire at enrollment between 1995 and 2003. Cox proportional hazards models were computed to estimate the relative risk adjusted for potential confounders.\nRESULTS: During a mean follow-up of 7 years, 7,052 lung cancer cases were identified. For all subjects, we observed no significant associations between total (diet + supplement) Ca, Mg, Fe, Cu, Se, and Zn intakes and lung cancer risk. Total Ca intake was protective (P trend &lt; 0.05) for current smokers and subjects with adenocarcinomas. Total Mg intake increased risk (P trend &lt; 0.05) in men and current smokers. Total Fe intake was inversely associated with risk in women (P trend &lt; 0.01). For dietary minerals, Mg increased risk (P trend &lt; 0.05) in all subjects, among men and current smokers. Increased dietary Ca intake reduced risk in women (P trend = 0.05). Dietary Fe decreased risk in all subjects and among women (P trend &lt; 0.05). Mineral intake from supplements did not affect lung cancer risk.\nCONCLUSIONS: Dietary minerals are risk factors for lung cancer.\nIMPACT: Dietary mineral consumption may influence lung cancer risk, but the associations differ by type of mineral and population subgroups.","DOI":"10.1158/1055-9965.EPI-10-0067","ISSN":"1538-7755","note":"00016 \nPMID: 20696660\nPMCID: PMC2921219","journalAbbreviation":"Cancer Epidemiol. Biomarkers Prev.","language":"eng","author":[{"family":"Mahabir","given":"Somdat"},{"family":"Forman","given":"Michele R."},{"family":"Dong","given":"Young Q."},{"family":"Park","given":"Yikyung"},{"family":"Hollenbeck","given":"Albert"},{"family":"Schatzkin","given":"Arthur"}],"issued":{"date-parts":[["2010",8]]},"PMID":"20696660","PMCID":"PMC2921219"},"label":"page"},{"id":809,"uris":["http://zotero.org/users/2024628/items/B5KXG985"],"uri":["http://zotero.org/users/2024628/items/B5KXG985"],"itemData":{"id":809,"type":"article-journal","title":"Dietary calcium and magnesium intake in relation to cancer incidence and mortality in a German prospective cohort (EPIC-Heidelberg)","container-title":"Cancer causes &amp; control: CCC","page":"1375-1382","volume":"22","issue":"10","source":"PubMed","abstract":"To prospectively evaluate the associations of dietary calcium and magnesium intake with cancer incidence and mortality, data of 24,323 participants of the Heidelberg cohort of the European Prospective Investigation into Cancer and Nutrition (EPIC-Heidelberg), who were aged 35-64 years and cancer-free at recruitment (1994-1998), were analyzed using multivariate Cox regression models. After an average follow-up time of 11 years, 2,050 incident cancers were diagnosed and 513 cancer deaths occurred. Dietary calcium intake was inversely but not statistically significantly associated with colorectal cancer risk (hazard ratio [HR] for per 100 mg increase in intake: 0.95; 95% confidence interval [CI]: 0.88, 1.02) and lung cancer risk (HR for per 100 mg increase in intake: 0.94; 95% CI: 0.87, 1.02). No statistically significant associations were observed between dietary calcium intake and site-specific or overall cancer incidence or mortality. Dietary magnesium intake was not statistically significantly associated with any of the investigated outcomes. This prospective cohort study provides no strong evidence to support that high dietary calcium and magnesium intake in the intake range observed in a German population may reduce cancer incidence or mortality.","DOI":"10.1007/s10552-011-9810-z","ISSN":"1573-7225","note":"00019 \nPMID: 21728055","journalAbbreviation":"Cancer Causes Control","language":"eng","author":[{"family":"Li","given":"Kuanrong"},{"family":"Kaaks","given":"Rudolf"},{"family":"Linseisen","given":"Jakob"},{"family":"Rohrmann","given":"Sabine"}],"issued":{"date-parts":[["2011",10]]},"PMID":"21728055"},"label":"page"},{"id":811,"uris":["http://zotero.org/users/2024628/items/D6VR7CUN"],"uri":["http://zotero.org/users/2024628/items/D6VR7CUN"],"itemData":{"id":811,"type":"article-journal","title":"Calcium intake and lung cancer risk among female nonsmokers: a report from the Shanghai Women's Health Study","container-title":"Cancer Epidemiology, Biomarkers &amp; Prevention: A Publication of the American Association for Cancer Research, Cosponsored by the American Society of Preventive Oncology","page":"50-57","volume":"22","issue":"1","source":"PubMed","abstract":"BACKGROUND: Calcium has been implicated in carcinogenesis and linked to the risk of several cancers in epidemiologic studies; however, few studies have investigated the association of calcium intake with lung cancer risk, particularly among nonsmokers.\nMETHODS: We evaluated the association of intakes of calcium and related minerals, assessed through a food frequency questionnaire, with lung cancer risk among 71,267 female nonsmokers who were cancer free at baseline in the Shanghai Women's Health Study, a population-based, prospective cohort study. Multivariate Cox regression was used to calculate hazard ratios (HR) and 95% confidence intervals (CI).\nRESULTS: During follow-up through December 2009 (median follow-up time: 11.2 years), 428 incident lung cancer cases accrued. The median intakes of dietary calcium, magnesium, and phosphorus were 441, 266, and 935 mg/d, respectively. Intakes of calcium, phosphorus, and the calcium-to-magnesium (Ca:Mg) ratio were inversely associated with lung cancer risk. The corresponding HRs (95% CIs) for the highest compared with the lowest quartile were 0.66 (0.48, 0.91) for calcium, 0.55 (0.36, 0.85) for phosphorus, and 0.62 (0.47, 0.82) for the Ca:Mg ratio. No association was observed for dietary magnesium intake or the use of calcium- or vitamin D-containing supplements.\nCONCLUSIONS AND IMPACT: Our study provides some of the first evidence suggesting a possible role for increasing dietary calcium intake in lung cancer prevention among female nonsmokers, especially in populations with relatively low calcium intake.","DOI":"10.1158/1055-9965.EPI-12-0915-T","ISSN":"1538-7755","note":"00012 \nPMID: 23093548\nPMCID: PMC3538907","shortTitle":"Calcium intake and lung cancer risk among female nonsmokers","journalAbbreviation":"Cancer Epidemiol. Biomarkers Prev.","language":"eng","author":[{"family":"Takata","given":"Yumie"},{"family":"Shu","given":"Xiao-Ou"},{"family":"Yang","given":"Gong"},{"family":"Li","given":"Honglan"},{"family":"Dai","given":"Qi"},{"family":"Gao","given":"Jing"},{"family":"Cai","given":"Qiuyin"},{"family":"Gao","given":"Yu-Tang"},{"family":"Zheng","given":"Wei"}],"issued":{"date-parts":[["2013",1]]},"PMID":"23093548","PMCID":"PMC3538907"},"label":"page"}],"schema":"https://github.com/citation-style-language/schema/raw/master/csl-citation.json"} </w:instrText>
      </w:r>
      <w:r w:rsidR="00023EEB" w:rsidRPr="006325C2">
        <w:fldChar w:fldCharType="separate"/>
      </w:r>
      <w:r w:rsidR="00AB395C" w:rsidRPr="00AB395C">
        <w:rPr>
          <w:vertAlign w:val="superscript"/>
        </w:rPr>
        <w:t>20–22</w:t>
      </w:r>
      <w:r w:rsidR="00023EEB" w:rsidRPr="006325C2">
        <w:fldChar w:fldCharType="end"/>
      </w:r>
      <w:r w:rsidR="00D96281" w:rsidRPr="006325C2">
        <w:t xml:space="preserve"> However, very high calcium intake (</w:t>
      </w:r>
      <w:r w:rsidR="00AF5EB1" w:rsidRPr="006325C2">
        <w:t>e.g.</w:t>
      </w:r>
      <w:r w:rsidR="00D96281" w:rsidRPr="006325C2">
        <w:t xml:space="preserve"> &gt;</w:t>
      </w:r>
      <w:r w:rsidR="003F43DC" w:rsidRPr="006325C2">
        <w:t>1800</w:t>
      </w:r>
      <w:r w:rsidR="007E6898" w:rsidRPr="006325C2">
        <w:t xml:space="preserve"> </w:t>
      </w:r>
      <w:r w:rsidR="00D96281" w:rsidRPr="006325C2">
        <w:t xml:space="preserve">mg/d) </w:t>
      </w:r>
      <w:r w:rsidR="007426AB" w:rsidRPr="006325C2">
        <w:t xml:space="preserve">has </w:t>
      </w:r>
      <w:r w:rsidR="00D96281" w:rsidRPr="006325C2">
        <w:t>also</w:t>
      </w:r>
      <w:r w:rsidR="007426AB" w:rsidRPr="006325C2">
        <w:t xml:space="preserve"> been</w:t>
      </w:r>
      <w:r w:rsidR="00D96281" w:rsidRPr="006325C2">
        <w:t xml:space="preserve"> associated with </w:t>
      </w:r>
      <w:r w:rsidR="001C6BF0" w:rsidRPr="006325C2">
        <w:t xml:space="preserve">an </w:t>
      </w:r>
      <w:r w:rsidR="00D96281" w:rsidRPr="006325C2">
        <w:t>increased risk of prostate cancer</w:t>
      </w:r>
      <w:r w:rsidR="00023EEB" w:rsidRPr="006325C2">
        <w:t>.</w:t>
      </w:r>
      <w:r w:rsidR="00023EEB" w:rsidRPr="006325C2">
        <w:fldChar w:fldCharType="begin"/>
      </w:r>
      <w:r w:rsidR="00AB395C">
        <w:instrText xml:space="preserve"> ADDIN ZOTERO_ITEM CSL_CITATION {"citationID":"24nh2uh13u","properties":{"formattedCitation":"{\\rtf \\super 18, 19\\nosupersub{}}","plainCitation":"18, 19"},"citationItems":[{"id":803,"uris":["http://zotero.org/users/2024628/items/96JMU68F"],"uri":["http://zotero.org/users/2024628/items/96JMU68F"],"itemData":{"id":803,"type":"article-journal","title":"Calcium and phosphorus intake and prostate cancer risk: a 24-y follow-up study","container-title":"The American Journal of Clinical Nutrition","page":"173-183","volume":"101","issue":"1","source":"PubMed","abstract":"BACKGROUND: High calcium intake has been associated with an increased risk of advanced-stage and high-grade prostate cancer. Several studies have found a positive association between phosphorus intake and prostate cancer risk.\nOBJECTIVE: We investigated the joint association between calcium and phosphorus and risk of prostate cancer in the Health Professionals Follow-Up Study, with a focus on lethal and high-grade disease.\nDESIGN: In total, 47,885 men in the cohort reported diet data in 1986 and every 4 y thereafter. From 1986 to 2010, 5861 cases of prostate cancer were identified, including 789 lethal cancers (fatal or metastatic). We used Cox proportional hazards models to assess the association between calcium and phosphorus intake and prostate cancer, with adjustment for potential confounding.\nRESULTS: Calcium intakes &gt;2000 mg/d were associated with greater risk of total prostate cancer and lethal and high-grade cancers. These associations were attenuated and no longer statistically significant when phosphorus intake was adjusted for. Phosphorus intake was associated with greater risk of total, lethal, and high-grade cancers, independent of calcium and intakes of red meat, white meat, dairy, and fish. In latency analysis, calcium and phosphorus had independent effects for different time periods between exposure and diagnosis. Calcium intake was associated with an increased risk of advanced-stage and high-grade disease 12-16 y after exposure, whereas high phosphorus was associated with increased risk of advanced-stage and high-grade disease 0-8 y after exposure.\nCONCLUSIONS: Phosphorus is independently associated with risk of lethal and high-grade prostate cancer. Calcium may not have a strong independent effect on prostate cancer risk except with long latency periods.","DOI":"10.3945/ajcn.114.088716","ISSN":"1938-3207","note":"00002 \nPMID: 25527761\nPMCID: PMC4266887","shortTitle":"Calcium and phosphorus intake and prostate cancer risk","journalAbbreviation":"Am. J. Clin. Nutr.","language":"eng","author":[{"family":"Wilson","given":"Kathryn M."},{"family":"Shui","given":"Irene M."},{"family":"Mucci","given":"Lorelei A."},{"family":"Giovannucci","given":"Edward"}],"issued":{"date-parts":[["2015",1]]},"PMID":"25527761","PMCID":"PMC4266887"},"label":"page"},{"id":805,"uris":["http://zotero.org/users/2024628/items/N8GU5MKS"],"uri":["http://zotero.org/users/2024628/items/N8GU5MKS"],"itemData":{"id":805,"type":"article-journal","title":"Dairy products, calcium, and prostate cancer risk: a systematic review and meta-analysis of cohort studies","container-title":"The American Journal of Clinical Nutrition","page":"87-117","volume":"101","issue":"1","source":"PubMed","abstract":"BACKGROUND: Dairy product and calcium intakes have been associated with increased prostate cancer risk, but whether specific dairy products or calcium sources are associated with risk is unclear.\nOBJECTIVE: In the Continuous Update Project, we conducted a meta-analysis of prospective studies on intakes of dairy products and calcium and prostate cancer risk.\nDESIGN: PubMed and several other databases were searched up to April 2013. Summary RRs were estimated by using a random-effects model.\nRESULTS: Thirty-two studies were included. Intakes of total dairy products [summary RR: 1.07 (95% CI: 1.02, 1.12; n = 15) per 400 g/d], total milk [summary RR: 1.03 (95% CI: 1.00, 1.07; n = 14) per 200 g/d], low-fat milk [summary RR: 1.06 (95% CI: 1.01, 1.11; n = 6) per 200 g/d], cheese [summary RR: 1.09 (95% CI: 1.02, 1.18; n = 11) per 50 g/d], and dietary calcium [summary RR: 1.05 (95% CI: 1.02, 1.09; n = 15) per 400 mg/d] were associated with increased total prostate cancer risk. Total calcium and dairy calcium intakes, but not nondairy calcium or supplemental calcium intakes, were also positively associated with total prostate cancer risk. Supplemental calcium was associated with increased risk of fatal prostate cancer.\nCONCLUSIONS: High intakes of dairy products, milk, low-fat milk, cheese, and total, dietary, and dairy calcium, but not supplemental or nondairy calcium, may increase total prostate cancer risk. The diverging results for types of dairy products and sources of calcium suggest that other components of dairy rather than fat and calcium may increase prostate cancer risk. Any additional studies should report detailed results for subtypes of prostate cancer.","DOI":"10.3945/ajcn.113.067157","ISSN":"1938-3207","note":"00015 \nPMID: 25527754","shortTitle":"Dairy products, calcium, and prostate cancer risk","journalAbbreviation":"Am. J. Clin. Nutr.","language":"eng","author":[{"family":"Aune","given":"Dagfinn"},{"family":"Navarro Rosenblatt","given":"Deborah A."},{"family":"Chan","given":"Doris S. M."},{"family":"Vieira","given":"Ana Rita"},{"family":"Vieira","given":"Rui"},{"family":"Greenwood","given":"Darren C."},{"family":"Vatten","given":"Lars J."},{"family":"Norat","given":"Teresa"}],"issued":{"date-parts":[["2015",1]]},"PMID":"25527754"},"label":"page"}],"schema":"https://github.com/citation-style-language/schema/raw/master/csl-citation.json"} </w:instrText>
      </w:r>
      <w:r w:rsidR="00023EEB" w:rsidRPr="006325C2">
        <w:fldChar w:fldCharType="separate"/>
      </w:r>
      <w:r w:rsidR="00AB395C" w:rsidRPr="00AB395C">
        <w:rPr>
          <w:vertAlign w:val="superscript"/>
        </w:rPr>
        <w:t>18, 19</w:t>
      </w:r>
      <w:r w:rsidR="00023EEB" w:rsidRPr="006325C2">
        <w:fldChar w:fldCharType="end"/>
      </w:r>
      <w:r w:rsidR="00023EEB" w:rsidRPr="006325C2">
        <w:t xml:space="preserve"> </w:t>
      </w:r>
      <w:r w:rsidR="001732E1" w:rsidRPr="006325C2">
        <w:t xml:space="preserve">A U-shaped relationship </w:t>
      </w:r>
      <w:r w:rsidR="002A2C66" w:rsidRPr="006325C2">
        <w:t xml:space="preserve">was </w:t>
      </w:r>
      <w:r w:rsidR="007E6898" w:rsidRPr="006325C2">
        <w:t>found in recent meta-analyses</w:t>
      </w:r>
      <w:r w:rsidR="001732E1" w:rsidRPr="006325C2">
        <w:t xml:space="preserve"> </w:t>
      </w:r>
      <w:r w:rsidR="007E6898" w:rsidRPr="006325C2">
        <w:t>of</w:t>
      </w:r>
      <w:r w:rsidR="001732E1" w:rsidRPr="006325C2">
        <w:t xml:space="preserve"> calcium intake </w:t>
      </w:r>
      <w:r w:rsidR="007E6898" w:rsidRPr="006325C2">
        <w:t>with</w:t>
      </w:r>
      <w:r w:rsidR="001732E1" w:rsidRPr="006325C2">
        <w:t xml:space="preserve"> </w:t>
      </w:r>
      <w:r w:rsidR="00AF5EB1" w:rsidRPr="006325C2">
        <w:t>mortality from all causes, cardiovascular disease, and cancer</w:t>
      </w:r>
      <w:r w:rsidR="00023EEB" w:rsidRPr="006325C2">
        <w:t>.</w:t>
      </w:r>
      <w:r w:rsidR="00023EEB" w:rsidRPr="006325C2">
        <w:fldChar w:fldCharType="begin"/>
      </w:r>
      <w:r w:rsidR="00AB395C">
        <w:instrText xml:space="preserve"> ADDIN ZOTERO_ITEM CSL_CITATION {"citationID":"21fddie86s","properties":{"formattedCitation":"{\\rtf \\super 62, 63\\nosupersub{}}","plainCitation":"62, 63"},"citationItems":[{"id":889,"uris":["http://zotero.org/users/2024628/items/893CHQ3W"],"uri":["http://zotero.org/users/2024628/items/893CHQ3W"],"itemData":{"id":889,"type":"article-journal","title":"Dietary calcium intake and mortality risk from cardiovascular disease and all causes: a meta-analysis of prospective cohort studies","container-title":"BMC medicine","page":"158","volume":"12","source":"PubMed","abstract":"BACKGROUND: Considerable controversy exists regarding the association between dietary calcium intake and risk of mortality from cardiovascular disease and all causes. Therefore, we performed a meta-analysis of prospective cohort studies to examine the controversy.\nMETHODS: We identified relevant studies by searching MEDLINE, Embase, and the Cochrane Library databases between 1 September 2013 and 30 December 2013. Reference lists of relevant articles were also reviewed. Observational prospective studies that reported relative risks and 95% confidence intervals for the association of calcium intake with cardiovascular and all-cause mortality were eligible. Study-specific relative risks were pooled using a random-effects model.\nRESULTS: In this meta-analysis, 11 prospective studies with 12 independent cohorts, involving 757,304 participants, were eligible. There was evidence of a non-linear association between dietary calcium intake and risk of mortality from cardiovascular disease (P for non-linearity &lt;0.01) and all causes (P for non-linearity &lt;0.01). A dose-response analysis showed a U-shaped relationship between dietary calcium intake and cardiovascular mortality. Intakes that were lower and higher than around 800 mg/day were gradually associated with a higher risk of cardiovascular mortality. For all-cause mortality, we also observed a threshold effect at intakes around 900 mg/day. The risk of all-cause mortality did not decrease further at intakes above 900 mg/day.\nCONCLUSIONS: This meta-analysis of prospective cohort studies suggests that dietary calcium intake is associated with cardiovascular mortality in a U-shaped manner and that high dietary calcium intake (&gt;900 mg/day) is not associated with a decreased risk of all-cause mortality.","DOI":"10.1186/s12916-014-0158-6","ISSN":"1741-7015","note":"00003 \nPMID: 25252963\nPMCID: PMC4199062","shortTitle":"Dietary calcium intake and mortality risk from cardiovascular disease and all causes","journalAbbreviation":"BMC Med","language":"eng","author":[{"family":"Wang","given":"Xia"},{"family":"Chen","given":"Hongxia"},{"family":"Ouyang","given":"Yingying"},{"family":"Liu","given":"Jun"},{"family":"Zhao","given":"Gang"},{"family":"Bao","given":"Wei"},{"family":"Yan","given":"Maosheng"}],"issued":{"date-parts":[["2014"]]},"PMID":"25252963","PMCID":"PMC4199062"},"label":"page"},{"id":887,"uris":["http://zotero.org/users/2024628/items/3BEXHA9D"],"uri":["http://zotero.org/users/2024628/items/3BEXHA9D"],"itemData":{"id":887,"type":"article-journal","title":"Total, dietary, and supplemental calcium intake and mortality from all-causes, cardiovascular disease, and cancer: A meta-analysis of observational studies","container-title":"Nutrition, Metabolism and Cardiovascular Diseases","page":"623-634","volume":"25","issue":"7","source":"ScienceDirect","abstract":"Aims\nThis systematic review and meta-analysis of observational studies was conducted to summarize the evidence on the association between calcium intake and mortality.\nMethods and results\nPubMed, Institute for Scientific Information (ISI) (Web of Science), SCOPUS, SciRUS, Google Scholar, and Excerpta Medica dataBASE (EMBASE) were searched to identify related articles published through May 2014. We found 22 articles that assessed the association between total, dietary, and supplementary intake with mortality from all-causes, cardiovascular disease (CVD), and cancer. Findings from this meta-analysis revealed no significant association between total and dietary calcium intake and mortality from all-causes, CVD, and cancer. Subgroup analysis by the duration of follow-up revealed a significant positive association between total calcium intake and CVD mortality for cohort studies with a mean follow-up duration of &amp;gt;10 years (relative risk (RR): 1.35; 95% confidence interval (CI): 1.09–1.68). A significant inverse association was seen between dietary calcium intake and all-cause (RR: 0.84; 95% CI: 0.70–1.00) and CVD mortality (RR: 0.88; 95% </w:instrText>
      </w:r>
      <w:r w:rsidR="00AB395C">
        <w:rPr>
          <w:rFonts w:hint="eastAsia"/>
        </w:rPr>
        <w:instrText>CI: 0.78</w:instrText>
      </w:r>
      <w:r w:rsidR="00AB395C">
        <w:rPr>
          <w:rFonts w:hint="eastAsia"/>
        </w:rPr>
        <w:instrText>–</w:instrText>
      </w:r>
      <w:r w:rsidR="00AB395C">
        <w:rPr>
          <w:rFonts w:hint="eastAsia"/>
        </w:rPr>
        <w:instrText xml:space="preserve">0.99) for studies with a mean follow-up duration of </w:instrText>
      </w:r>
      <w:r w:rsidR="00AB395C">
        <w:rPr>
          <w:rFonts w:hint="eastAsia"/>
        </w:rPr>
        <w:instrText>≤</w:instrText>
      </w:r>
      <w:r w:rsidR="00AB395C">
        <w:rPr>
          <w:rFonts w:hint="eastAsia"/>
        </w:rPr>
        <w:instrText>10 years. Although supplemental calcium intake was not associated with CVD (RR: 0.95; 95% CI: 0.82</w:instrText>
      </w:r>
      <w:r w:rsidR="00AB395C">
        <w:rPr>
          <w:rFonts w:hint="eastAsia"/>
        </w:rPr>
        <w:instrText>–</w:instrText>
      </w:r>
      <w:r w:rsidR="00AB395C">
        <w:rPr>
          <w:rFonts w:hint="eastAsia"/>
        </w:rPr>
        <w:instrText>1.10) and cancer mortality (RR: 1.22; 95% CI: 0.81</w:instrText>
      </w:r>
      <w:r w:rsidR="00AB395C">
        <w:rPr>
          <w:rFonts w:hint="eastAsia"/>
        </w:rPr>
        <w:instrText>–</w:instrText>
      </w:r>
      <w:r w:rsidR="00AB395C">
        <w:rPr>
          <w:rFonts w:hint="eastAsia"/>
        </w:rPr>
        <w:instrText>1.84), it was inversely associated with the</w:instrText>
      </w:r>
      <w:r w:rsidR="00AB395C">
        <w:instrText xml:space="preserve"> risk of all-cause mortality (RR: 0.91; 95% CI: 0.88–0.94).\nConclusions\nWe found a significant relationship between the total calcium intake and an increased risk of CVD mortality for studies with a long follow-up time and a significant protective assoc</w:instrText>
      </w:r>
      <w:r w:rsidR="00AB395C">
        <w:rPr>
          <w:rFonts w:hint="eastAsia"/>
        </w:rPr>
        <w:instrText xml:space="preserve">iation between dietary calcium intake and all-cause and CVD mortality for studies with a mean follow-up of </w:instrText>
      </w:r>
      <w:r w:rsidR="00AB395C">
        <w:rPr>
          <w:rFonts w:hint="eastAsia"/>
        </w:rPr>
        <w:instrText>≤</w:instrText>
      </w:r>
      <w:r w:rsidR="00AB395C">
        <w:rPr>
          <w:rFonts w:hint="eastAsia"/>
        </w:rPr>
        <w:instrText>10 years. Supplemental calcium intake was associated with a decreased risk of all-cause mortality.","DOI":"10.1016/j.numecd.2015.03.008","ISSN":"09</w:instrText>
      </w:r>
      <w:r w:rsidR="00AB395C">
        <w:instrText xml:space="preserve">39-4753","note":"00000","shortTitle":"Total, dietary, and supplemental calcium intake and mortality from all-causes, cardiovascular disease, and cancer","journalAbbreviation":"Nutrition, Metabolism and Cardiovascular Diseases","author":[{"family":"Asemi","given":"Z."},{"family":"Saneei","given":"P."},{"family":"Sabihi","given":"S. -S."},{"family":"Feizi","given":"A."},{"family":"Esmaillzadeh","given":"A."}],"issued":{"date-parts":[["2015",7]]}},"label":"page"}],"schema":"https://github.com/citation-style-language/schema/raw/master/csl-citation.json"} </w:instrText>
      </w:r>
      <w:r w:rsidR="00023EEB" w:rsidRPr="006325C2">
        <w:fldChar w:fldCharType="separate"/>
      </w:r>
      <w:r w:rsidR="00AB395C" w:rsidRPr="00AB395C">
        <w:rPr>
          <w:vertAlign w:val="superscript"/>
        </w:rPr>
        <w:t>62, 63</w:t>
      </w:r>
      <w:r w:rsidR="00023EEB" w:rsidRPr="006325C2">
        <w:fldChar w:fldCharType="end"/>
      </w:r>
      <w:r w:rsidR="00023EEB" w:rsidRPr="006325C2">
        <w:t xml:space="preserve"> </w:t>
      </w:r>
      <w:r w:rsidR="007E6898" w:rsidRPr="006325C2">
        <w:t xml:space="preserve">It is noteworthy </w:t>
      </w:r>
      <w:r w:rsidR="002A2C66" w:rsidRPr="006325C2">
        <w:t xml:space="preserve">that </w:t>
      </w:r>
      <w:r w:rsidR="00D50581" w:rsidRPr="006325C2">
        <w:t>o</w:t>
      </w:r>
      <w:r w:rsidR="00F378F7" w:rsidRPr="006325C2">
        <w:t xml:space="preserve">ur results also suggest </w:t>
      </w:r>
      <w:r w:rsidR="007E6898" w:rsidRPr="006325C2">
        <w:t xml:space="preserve">a </w:t>
      </w:r>
      <w:r w:rsidR="00F378F7" w:rsidRPr="006325C2">
        <w:t xml:space="preserve">possible </w:t>
      </w:r>
      <w:r w:rsidR="007E6898" w:rsidRPr="006325C2">
        <w:t xml:space="preserve">U-shaped association between dietary calcium and </w:t>
      </w:r>
      <w:r w:rsidR="008B4807" w:rsidRPr="006325C2">
        <w:t>lung cancer</w:t>
      </w:r>
      <w:r w:rsidR="007E6898" w:rsidRPr="006325C2">
        <w:t xml:space="preserve"> </w:t>
      </w:r>
      <w:r w:rsidRPr="006325C2">
        <w:t xml:space="preserve">survival </w:t>
      </w:r>
      <w:r w:rsidR="007E6898" w:rsidRPr="006325C2">
        <w:t xml:space="preserve">with an optimal intake around </w:t>
      </w:r>
      <w:r w:rsidR="00F378F7" w:rsidRPr="006325C2">
        <w:t xml:space="preserve">1000 </w:t>
      </w:r>
      <w:r w:rsidR="007E6898" w:rsidRPr="006325C2">
        <w:t>mg/d</w:t>
      </w:r>
      <w:r w:rsidR="008B4807" w:rsidRPr="006325C2">
        <w:t>; while</w:t>
      </w:r>
      <w:r w:rsidR="007E6898" w:rsidRPr="006325C2">
        <w:t xml:space="preserve"> intake</w:t>
      </w:r>
      <w:r w:rsidR="008B4807" w:rsidRPr="006325C2">
        <w:t>s</w:t>
      </w:r>
      <w:r w:rsidR="007E6898" w:rsidRPr="006325C2">
        <w:t xml:space="preserve"> lower than 500</w:t>
      </w:r>
      <w:r w:rsidR="008B4807" w:rsidRPr="006325C2">
        <w:t xml:space="preserve"> </w:t>
      </w:r>
      <w:r w:rsidR="007E6898" w:rsidRPr="006325C2">
        <w:t xml:space="preserve">mg/d </w:t>
      </w:r>
      <w:r w:rsidR="00EC1FA1" w:rsidRPr="006325C2">
        <w:t xml:space="preserve">(especially among </w:t>
      </w:r>
      <w:r w:rsidR="00F378F7" w:rsidRPr="006325C2">
        <w:t xml:space="preserve">early-stage </w:t>
      </w:r>
      <w:r w:rsidR="00EC1FA1" w:rsidRPr="006325C2">
        <w:t xml:space="preserve">male patients) </w:t>
      </w:r>
      <w:r w:rsidR="008B4807" w:rsidRPr="006325C2">
        <w:t xml:space="preserve">or higher than 1800 mg/d </w:t>
      </w:r>
      <w:r w:rsidR="00EC1FA1" w:rsidRPr="006325C2">
        <w:t xml:space="preserve">(especially among </w:t>
      </w:r>
      <w:r w:rsidR="00F378F7" w:rsidRPr="006325C2">
        <w:t xml:space="preserve">early-stage </w:t>
      </w:r>
      <w:r w:rsidR="00EC1FA1" w:rsidRPr="006325C2">
        <w:t xml:space="preserve">female patients) </w:t>
      </w:r>
      <w:r w:rsidR="007E6898" w:rsidRPr="006325C2">
        <w:t>w</w:t>
      </w:r>
      <w:r w:rsidR="008B4807" w:rsidRPr="006325C2">
        <w:t>ere</w:t>
      </w:r>
      <w:r w:rsidR="007E6898" w:rsidRPr="006325C2">
        <w:t xml:space="preserve"> </w:t>
      </w:r>
      <w:r w:rsidR="00B9049D" w:rsidRPr="006325C2">
        <w:t xml:space="preserve">both </w:t>
      </w:r>
      <w:r w:rsidR="007E6898" w:rsidRPr="006325C2">
        <w:t>associated</w:t>
      </w:r>
      <w:r w:rsidR="008B4807" w:rsidRPr="006325C2">
        <w:t xml:space="preserve"> </w:t>
      </w:r>
      <w:r w:rsidR="00B9049D" w:rsidRPr="006325C2">
        <w:t xml:space="preserve">with </w:t>
      </w:r>
      <w:r w:rsidR="00EC1FA1" w:rsidRPr="006325C2">
        <w:t xml:space="preserve">increased </w:t>
      </w:r>
      <w:r w:rsidR="002A2C66" w:rsidRPr="006325C2">
        <w:t>mortality</w:t>
      </w:r>
      <w:r w:rsidR="007426AB" w:rsidRPr="006325C2">
        <w:t xml:space="preserve">. </w:t>
      </w:r>
      <w:r w:rsidR="00D50581" w:rsidRPr="006325C2">
        <w:t xml:space="preserve">However, </w:t>
      </w:r>
      <w:r w:rsidR="00E03E7E" w:rsidRPr="006325C2">
        <w:t xml:space="preserve">the </w:t>
      </w:r>
      <w:r w:rsidR="001033BA" w:rsidRPr="006325C2">
        <w:t>number of patients with excessive dietary calcium intake was</w:t>
      </w:r>
      <w:r w:rsidR="00E03E7E" w:rsidRPr="006325C2">
        <w:t xml:space="preserve"> small</w:t>
      </w:r>
      <w:r w:rsidR="001654B7" w:rsidRPr="006325C2">
        <w:t xml:space="preserve">. In addition, </w:t>
      </w:r>
      <w:r w:rsidR="001033BA" w:rsidRPr="006325C2">
        <w:t xml:space="preserve">the increased risk among very high calcium consumers might reflect </w:t>
      </w:r>
      <w:r w:rsidR="00B57EE5" w:rsidRPr="006325C2">
        <w:t xml:space="preserve">indirectly </w:t>
      </w:r>
      <w:r w:rsidR="001033BA" w:rsidRPr="006325C2">
        <w:t xml:space="preserve">a history of poor calcium nutrition and </w:t>
      </w:r>
      <w:r w:rsidR="007426AB" w:rsidRPr="006325C2">
        <w:t xml:space="preserve">compromised </w:t>
      </w:r>
      <w:r w:rsidR="001033BA" w:rsidRPr="006325C2">
        <w:t>bone health</w:t>
      </w:r>
      <w:r w:rsidR="00D40D98" w:rsidRPr="006325C2">
        <w:t>,</w:t>
      </w:r>
      <w:r w:rsidR="001654B7" w:rsidRPr="006325C2">
        <w:t xml:space="preserve"> which </w:t>
      </w:r>
      <w:r w:rsidR="00D40D98" w:rsidRPr="006325C2">
        <w:t>may lead</w:t>
      </w:r>
      <w:r w:rsidR="001033BA" w:rsidRPr="006325C2">
        <w:t xml:space="preserve"> </w:t>
      </w:r>
      <w:r w:rsidR="00D40D98" w:rsidRPr="006325C2">
        <w:t xml:space="preserve">to </w:t>
      </w:r>
      <w:r w:rsidR="007426AB" w:rsidRPr="006325C2">
        <w:t xml:space="preserve">a </w:t>
      </w:r>
      <w:r w:rsidR="001033BA" w:rsidRPr="006325C2">
        <w:t xml:space="preserve">subsequent increase in calcium consumption, particularly </w:t>
      </w:r>
      <w:r w:rsidR="002A2C66" w:rsidRPr="006325C2">
        <w:t>for</w:t>
      </w:r>
      <w:r w:rsidR="001033BA" w:rsidRPr="006325C2">
        <w:t xml:space="preserve"> women</w:t>
      </w:r>
      <w:r w:rsidR="00AA2B35" w:rsidRPr="006325C2">
        <w:t>,</w:t>
      </w:r>
      <w:r w:rsidR="001033BA" w:rsidRPr="006325C2">
        <w:t xml:space="preserve"> </w:t>
      </w:r>
      <w:r w:rsidR="001C6BF0" w:rsidRPr="006325C2">
        <w:t>since they</w:t>
      </w:r>
      <w:r w:rsidR="001033BA" w:rsidRPr="006325C2">
        <w:t xml:space="preserve"> are more likely to be </w:t>
      </w:r>
      <w:r w:rsidR="00023CEA" w:rsidRPr="006325C2">
        <w:t>affected by</w:t>
      </w:r>
      <w:r w:rsidR="001033BA" w:rsidRPr="006325C2">
        <w:t xml:space="preserve"> </w:t>
      </w:r>
      <w:r w:rsidR="0015754C" w:rsidRPr="006325C2">
        <w:t xml:space="preserve">and diagnosed with </w:t>
      </w:r>
      <w:r w:rsidR="001033BA" w:rsidRPr="006325C2">
        <w:t>osteoporosis</w:t>
      </w:r>
      <w:r w:rsidR="008B4807" w:rsidRPr="006325C2">
        <w:t>.</w:t>
      </w:r>
      <w:r w:rsidR="00AA5CE2" w:rsidRPr="006325C2">
        <w:t xml:space="preserve"> </w:t>
      </w:r>
      <w:r w:rsidR="007C7017" w:rsidRPr="006325C2">
        <w:t>Although t</w:t>
      </w:r>
      <w:r w:rsidR="00EC1FA1" w:rsidRPr="006325C2">
        <w:t>he sex-differential associations</w:t>
      </w:r>
      <w:r w:rsidR="00F12E38" w:rsidRPr="006325C2">
        <w:t xml:space="preserve"> between </w:t>
      </w:r>
      <w:r w:rsidR="00DC32EE" w:rsidRPr="006325C2">
        <w:t xml:space="preserve">prediagnostic </w:t>
      </w:r>
      <w:r w:rsidR="00F12E38" w:rsidRPr="006325C2">
        <w:t xml:space="preserve">calcium intake and lung cancer survival </w:t>
      </w:r>
      <w:r w:rsidR="00A63C93" w:rsidRPr="006325C2">
        <w:t xml:space="preserve">observed </w:t>
      </w:r>
      <w:r w:rsidR="00F12E38" w:rsidRPr="006325C2">
        <w:t>in this study</w:t>
      </w:r>
      <w:r w:rsidR="001033BA" w:rsidRPr="006325C2">
        <w:t xml:space="preserve"> </w:t>
      </w:r>
      <w:r w:rsidR="007C7017" w:rsidRPr="006325C2">
        <w:t xml:space="preserve">could </w:t>
      </w:r>
      <w:r w:rsidR="00023CEA" w:rsidRPr="006325C2">
        <w:t xml:space="preserve">be </w:t>
      </w:r>
      <w:r w:rsidR="00A63C93" w:rsidRPr="006325C2">
        <w:t xml:space="preserve">due to chance, </w:t>
      </w:r>
      <w:r w:rsidR="007C7017" w:rsidRPr="006325C2">
        <w:t>they</w:t>
      </w:r>
      <w:r w:rsidR="00EC1FA1" w:rsidRPr="006325C2">
        <w:t xml:space="preserve"> </w:t>
      </w:r>
      <w:r w:rsidR="00F716C3" w:rsidRPr="006325C2">
        <w:t>are</w:t>
      </w:r>
      <w:r w:rsidR="00EC1FA1" w:rsidRPr="006325C2">
        <w:t xml:space="preserve"> </w:t>
      </w:r>
      <w:r w:rsidR="00B05EE2" w:rsidRPr="006325C2">
        <w:t>intriguing</w:t>
      </w:r>
      <w:r w:rsidR="00EC1FA1" w:rsidRPr="006325C2">
        <w:t xml:space="preserve"> and </w:t>
      </w:r>
      <w:r w:rsidR="001C6BF0" w:rsidRPr="006325C2">
        <w:t xml:space="preserve">may </w:t>
      </w:r>
      <w:r w:rsidR="003776A3" w:rsidRPr="006325C2">
        <w:t xml:space="preserve">be </w:t>
      </w:r>
      <w:r w:rsidR="00EC1FA1" w:rsidRPr="006325C2">
        <w:t xml:space="preserve">worth further investigation. </w:t>
      </w:r>
      <w:r w:rsidR="00671542" w:rsidRPr="006325C2">
        <w:t>Possible</w:t>
      </w:r>
      <w:r w:rsidR="00F12E38" w:rsidRPr="006325C2">
        <w:t xml:space="preserve"> explanations</w:t>
      </w:r>
      <w:r w:rsidR="00DC32EE" w:rsidRPr="006325C2">
        <w:t xml:space="preserve"> include</w:t>
      </w:r>
      <w:r w:rsidR="00F12E38" w:rsidRPr="006325C2">
        <w:t xml:space="preserve"> gender differences in calcium intake level, lung cancer</w:t>
      </w:r>
      <w:r w:rsidR="00822832" w:rsidRPr="006325C2">
        <w:t xml:space="preserve"> histology</w:t>
      </w:r>
      <w:r w:rsidR="00F12E38" w:rsidRPr="006325C2">
        <w:t>, estrogen</w:t>
      </w:r>
      <w:r w:rsidR="00DC32EE" w:rsidRPr="006325C2">
        <w:t xml:space="preserve"> exposure</w:t>
      </w:r>
      <w:r w:rsidR="00F12E38" w:rsidRPr="006325C2">
        <w:t xml:space="preserve">, </w:t>
      </w:r>
      <w:r w:rsidR="00822832" w:rsidRPr="006325C2">
        <w:t>and lifestyle</w:t>
      </w:r>
      <w:r w:rsidR="00DC32EE" w:rsidRPr="006325C2">
        <w:t xml:space="preserve"> habits</w:t>
      </w:r>
      <w:r w:rsidR="00822832" w:rsidRPr="006325C2">
        <w:t>. Compared with female patients</w:t>
      </w:r>
      <w:r w:rsidR="00F12E38" w:rsidRPr="006325C2">
        <w:t xml:space="preserve">, </w:t>
      </w:r>
      <w:r w:rsidR="00822832" w:rsidRPr="006325C2">
        <w:t>male patients</w:t>
      </w:r>
      <w:r w:rsidR="00F12E38" w:rsidRPr="006325C2">
        <w:t xml:space="preserve"> </w:t>
      </w:r>
      <w:r w:rsidR="00822832" w:rsidRPr="006325C2">
        <w:t xml:space="preserve">had </w:t>
      </w:r>
      <w:r w:rsidR="002A2C66" w:rsidRPr="006325C2">
        <w:t xml:space="preserve">on average a </w:t>
      </w:r>
      <w:r w:rsidR="00822832" w:rsidRPr="006325C2">
        <w:t>lower 5-y survival rate</w:t>
      </w:r>
      <w:r w:rsidR="00AA2B35" w:rsidRPr="006325C2">
        <w:t>. While they</w:t>
      </w:r>
      <w:r w:rsidR="00822832" w:rsidRPr="006325C2">
        <w:t xml:space="preserve"> were less likely to </w:t>
      </w:r>
      <w:r w:rsidR="00AA2B35" w:rsidRPr="006325C2">
        <w:t xml:space="preserve">develop </w:t>
      </w:r>
      <w:r w:rsidR="00822832" w:rsidRPr="006325C2">
        <w:t xml:space="preserve">adenocarcinoma, </w:t>
      </w:r>
      <w:r w:rsidR="00AA2B35" w:rsidRPr="006325C2">
        <w:t>they</w:t>
      </w:r>
      <w:r w:rsidR="00822832" w:rsidRPr="006325C2">
        <w:t xml:space="preserve"> </w:t>
      </w:r>
      <w:r w:rsidR="007426AB" w:rsidRPr="006325C2">
        <w:t xml:space="preserve">had </w:t>
      </w:r>
      <w:r w:rsidR="0015754C" w:rsidRPr="006325C2">
        <w:t xml:space="preserve">higher proportions of smokers, </w:t>
      </w:r>
      <w:r w:rsidR="002A2C66" w:rsidRPr="006325C2">
        <w:t xml:space="preserve">heavy </w:t>
      </w:r>
      <w:r w:rsidR="0015754C" w:rsidRPr="006325C2">
        <w:t xml:space="preserve">smokers </w:t>
      </w:r>
      <w:r w:rsidR="002A2C66" w:rsidRPr="006325C2">
        <w:t>(</w:t>
      </w:r>
      <w:r w:rsidR="00CD28F9" w:rsidRPr="006325C2">
        <w:t>&gt;50 pack-years</w:t>
      </w:r>
      <w:r w:rsidR="002A2C66" w:rsidRPr="006325C2">
        <w:t>)</w:t>
      </w:r>
      <w:r w:rsidR="0015754C" w:rsidRPr="006325C2">
        <w:t>, heavy drinkers, and diabet</w:t>
      </w:r>
      <w:r w:rsidR="002A2C66" w:rsidRPr="006325C2">
        <w:t>ic patients</w:t>
      </w:r>
      <w:r w:rsidR="00DC32EE" w:rsidRPr="006325C2">
        <w:t xml:space="preserve">. </w:t>
      </w:r>
      <w:r w:rsidR="00152AB0" w:rsidRPr="006325C2">
        <w:t>M</w:t>
      </w:r>
      <w:r w:rsidR="00D06C1A" w:rsidRPr="006325C2">
        <w:t>eanwhile, e</w:t>
      </w:r>
      <w:r w:rsidR="00DC32EE" w:rsidRPr="006325C2">
        <w:t>strogen plays an important role in regulating calcium metabolism, bone remodeling, and tumor progression</w:t>
      </w:r>
      <w:r w:rsidR="00735861" w:rsidRPr="006325C2">
        <w:t>;</w:t>
      </w:r>
      <w:r w:rsidR="006E110C" w:rsidRPr="006325C2">
        <w:fldChar w:fldCharType="begin"/>
      </w:r>
      <w:r w:rsidR="00AB395C">
        <w:instrText xml:space="preserve"> ADDIN ZOTERO_ITEM CSL_CITATION {"citationID":"1rm7gdbt5e","properties":{"formattedCitation":"{\\rtf \\super 11, 64\\nosupersub{}}","plainCitation":"11, 64"},"citationItems":[{"id":789,"uris":["http://zotero.org/users/2024628/items/47DWW6EM"],"uri":["http://zotero.org/users/2024628/items/47DWW6EM"],"itemData":{"id":789,"type":"book","title":"Dietary Reference Intakes for Calcium and Vitamin D","collection-title":"The National Academies Collection: Reports funded by National Institutes of Health","publisher":"National Academies Press (US)","publisher-place":"Washington (DC)","source":"PubMed","event-place":"Washington (DC)","abstract":"The charge to the committee (Institute of Medicine Committee to Review Dietary Reference Intakes for Vitamin D and Calcium) was to assess current relevant data and update, as appropriate, the DRIs (Dietary Reference Intakes) for vitamin D and calcium. The review was to include consideration of chronic disease indicators (e.g., reduction in risk of cancer) and other (non-chronic disease) indicators and health outcomes. The definitions of these terms are discussed below. Consistent with the framework for DRI development, the indicators to assess adequacy and excess intake were to be selected based on the strength and quality of the evidence and their demonstrated public health significance, taking into consideration sources of uncertainty in the evidence. Further, the committee deliberations were to incorporate, as appropriate, systematic evidence-based reviews of the literature. Specifically, in carrying out its work, the committee was to: Review evidence on indicators to assess adequacy and indicators to assess excess intake relevant to the general North American population, including groups whose needs for or sensitivity to the nutrient may be affected by particular conditions that are widespread in the population such as obesity or age-related chronic diseases. Special groups under medical care whose needs or sensitivities are affected by rare genetic disorders or diseases and their treatments were to be excluded; Consider systematic evidence-based reviews, including those made available by the sponsors as well as others, and carefully document the approach used by the committee to carry out any of its own literature reviews; Regarding selection of indicators upon which to base DRI values for adequate intake, give priority to selecting indicators relevant to the various age, gender, and life stage groups that will allow for the determination of an Estimated Average Requirement (EAR); Regarding selection of indicators upon which to base DRI values for upper levels of intake, give priority to examining whether a critical adverse effect can be selected that will allow for the determination of a so-called benchmark intake; Update DRI values, as appropriate, using a risk assessment approach that includes (1) identification of potential indicators to assess adequacy and excess intake, (2) selection of the indicators of adequacy and excess intake, (3) intake-response assessment, (4) dietary intake assessment, and (5) risk characterization. Identify research gaps to address the uncertainties identified in the process of deriving the reference values and evaluating their public health implications.","URL":"http://www.ncbi.nlm.nih.gov/books/NBK56070/","call-number":"NBK56070","note":"00000 \nPMID: 21796828","language":"eng","author":[{"literal":"Institute of Medicine (US) Committee to Review Dietary Reference Intakes for Vitamin D and Calcium"}],"editor":[{"family":"Ross","given":"A. Catharine"},{"family":"Taylor","given":"Christine L."},{"family":"Yaktine","given":"Ann L."},{"family":"Del Valle","given":"Heather B."}],"issued":{"date-parts":[["2011"]]},"accessed":{"date-parts":[["2015",11,24]]},"PMID":"21796828"},"label":"page"},{"id":897,"uris":["http://zotero.org/users/2024628/items/QXSMDUAR"],"uri":["http://zotero.org/users/2024628/items/QXSMDUAR"],"itemData":{"id":897,"type":"article-journal","title":"Lung cancer in women: role of estrogens","container-title":"Expert review of respiratory medicine","page":"509-518","volume":"4","issue":"4","source":"PubMed Central","abstract":"The incidence of lung cancer in females is increasing, in contrast to that seen in males. In addition, the proportion of lung cancer cases in women attributable to smoking is approximately half of that seen in males. Female sex hormones, especially estrogen, may play a key role in this. Estrogen receptors ERα and ERβ have been detected on lung cancer cells and there is new evidence suggesting that hormone-replacement therapy may increase both the incidence of, and mortality from, lung cancer in women. Laboratory evidence lends credence to the carcinogenic effects of estrogens in lung cancer. This article summarizes the current evidence on their role in lung cancer.","DOI":"10.1586/ers.10.50","ISSN":"1747-6348","note":"00021 \nPMID: 20658912\nPMCID: PMC2928145","shortTitle":"Lung cancer in women","journalAbbreviation":"Expert Rev Respir Med","author":[{"family":"Chakraborty","given":"Subhankar"},{"family":"Ganti","given":"Apar Kishor"},{"family":"Marr","given":"Alissa"},{"family":"Batra","given":"Surinder K"}],"issued":{"date-parts":[["2010",8]]},"PMID":"20658912","PMCID":"PMC2928145"},"label":"page"}],"schema":"https://github.com/citation-style-language/schema/raw/master/csl-citation.json"} </w:instrText>
      </w:r>
      <w:r w:rsidR="006E110C" w:rsidRPr="006325C2">
        <w:fldChar w:fldCharType="separate"/>
      </w:r>
      <w:r w:rsidR="00AB395C" w:rsidRPr="00AB395C">
        <w:rPr>
          <w:vertAlign w:val="superscript"/>
        </w:rPr>
        <w:t>11, 64</w:t>
      </w:r>
      <w:r w:rsidR="006E110C" w:rsidRPr="006325C2">
        <w:fldChar w:fldCharType="end"/>
      </w:r>
      <w:r w:rsidR="00735861" w:rsidRPr="006325C2">
        <w:t xml:space="preserve"> therefore </w:t>
      </w:r>
      <w:r w:rsidR="003C6D40" w:rsidRPr="006325C2">
        <w:t xml:space="preserve">the </w:t>
      </w:r>
      <w:r w:rsidR="00226943" w:rsidRPr="006325C2">
        <w:t xml:space="preserve">different </w:t>
      </w:r>
      <w:r w:rsidR="00735861" w:rsidRPr="006325C2">
        <w:t xml:space="preserve">estrogen exposure may </w:t>
      </w:r>
      <w:r w:rsidR="00694848" w:rsidRPr="006325C2">
        <w:t xml:space="preserve">interplay with calcium and </w:t>
      </w:r>
      <w:r w:rsidR="00671542" w:rsidRPr="006325C2">
        <w:t>modify</w:t>
      </w:r>
      <w:r w:rsidR="00694848" w:rsidRPr="006325C2">
        <w:t xml:space="preserve"> its effects on cancer</w:t>
      </w:r>
      <w:r w:rsidR="00671542" w:rsidRPr="006325C2">
        <w:t xml:space="preserve"> prognosis</w:t>
      </w:r>
      <w:r w:rsidR="00DC32EE" w:rsidRPr="006325C2">
        <w:t>.</w:t>
      </w:r>
      <w:r w:rsidR="003C6D40" w:rsidRPr="006325C2">
        <w:t xml:space="preserve"> </w:t>
      </w:r>
    </w:p>
    <w:p w:rsidR="00E03E7E" w:rsidRPr="006325C2" w:rsidRDefault="00821E30" w:rsidP="009736C9">
      <w:pPr>
        <w:spacing w:before="60" w:after="0" w:line="480" w:lineRule="auto"/>
        <w:ind w:firstLine="360"/>
      </w:pPr>
      <w:r w:rsidRPr="006325C2">
        <w:t>I</w:t>
      </w:r>
      <w:r w:rsidR="0015754C" w:rsidRPr="006325C2">
        <w:t>n the present study, w</w:t>
      </w:r>
      <w:r w:rsidR="00695EA5" w:rsidRPr="006325C2">
        <w:t xml:space="preserve">e did not find </w:t>
      </w:r>
      <w:r w:rsidR="00B9049D" w:rsidRPr="006325C2">
        <w:t xml:space="preserve">a </w:t>
      </w:r>
      <w:r w:rsidR="00B64320" w:rsidRPr="006325C2">
        <w:t xml:space="preserve">significant </w:t>
      </w:r>
      <w:r w:rsidR="00695EA5" w:rsidRPr="006325C2">
        <w:t xml:space="preserve">association between supplemental calcium </w:t>
      </w:r>
      <w:r w:rsidR="00B9049D" w:rsidRPr="006325C2">
        <w:t xml:space="preserve">intake </w:t>
      </w:r>
      <w:r w:rsidR="00695EA5" w:rsidRPr="006325C2">
        <w:t xml:space="preserve">and lung cancer survival </w:t>
      </w:r>
      <w:r w:rsidR="006A1483" w:rsidRPr="006325C2">
        <w:t>among 18,</w:t>
      </w:r>
      <w:r w:rsidR="00A63C93" w:rsidRPr="006325C2">
        <w:t xml:space="preserve">137 </w:t>
      </w:r>
      <w:r w:rsidR="006A1483" w:rsidRPr="006325C2">
        <w:t xml:space="preserve">incident cases </w:t>
      </w:r>
      <w:r w:rsidR="00695EA5" w:rsidRPr="006325C2">
        <w:t xml:space="preserve">from </w:t>
      </w:r>
      <w:r w:rsidR="006A1483" w:rsidRPr="006325C2">
        <w:t>eight</w:t>
      </w:r>
      <w:r w:rsidR="00152AB0" w:rsidRPr="006325C2">
        <w:t xml:space="preserve"> US</w:t>
      </w:r>
      <w:r w:rsidR="00695EA5" w:rsidRPr="006325C2">
        <w:t xml:space="preserve"> cohort</w:t>
      </w:r>
      <w:r w:rsidR="00152AB0" w:rsidRPr="006325C2">
        <w:t>s</w:t>
      </w:r>
      <w:r w:rsidR="006A1483" w:rsidRPr="006325C2">
        <w:t xml:space="preserve"> </w:t>
      </w:r>
      <w:r w:rsidR="00B9049D" w:rsidRPr="006325C2">
        <w:t xml:space="preserve">that collected </w:t>
      </w:r>
      <w:r w:rsidR="00B042C0" w:rsidRPr="006325C2">
        <w:t xml:space="preserve">this </w:t>
      </w:r>
      <w:r w:rsidR="00B9049D" w:rsidRPr="006325C2">
        <w:t>information</w:t>
      </w:r>
      <w:r w:rsidR="00695EA5" w:rsidRPr="006325C2">
        <w:t xml:space="preserve">. </w:t>
      </w:r>
      <w:r w:rsidR="008A7323" w:rsidRPr="006325C2">
        <w:t xml:space="preserve">The null association may be due to </w:t>
      </w:r>
      <w:r w:rsidR="003776A3" w:rsidRPr="006325C2">
        <w:t xml:space="preserve">the fact </w:t>
      </w:r>
      <w:r w:rsidRPr="006325C2">
        <w:t xml:space="preserve">that </w:t>
      </w:r>
      <w:r w:rsidR="003776A3" w:rsidRPr="006325C2">
        <w:t xml:space="preserve">many </w:t>
      </w:r>
      <w:r w:rsidR="001654B7" w:rsidRPr="006325C2">
        <w:t xml:space="preserve">fewer individuals </w:t>
      </w:r>
      <w:r w:rsidR="00EB64AD" w:rsidRPr="006325C2">
        <w:t>would be calcium deficient when</w:t>
      </w:r>
      <w:r w:rsidR="001654B7" w:rsidRPr="006325C2">
        <w:t xml:space="preserve"> </w:t>
      </w:r>
      <w:r w:rsidR="00EB64AD" w:rsidRPr="006325C2">
        <w:t>taking calcium supplement</w:t>
      </w:r>
      <w:r w:rsidRPr="006325C2">
        <w:t>s</w:t>
      </w:r>
      <w:r w:rsidR="00716813" w:rsidRPr="006325C2">
        <w:t>.</w:t>
      </w:r>
      <w:r w:rsidR="001654B7" w:rsidRPr="006325C2">
        <w:t xml:space="preserve"> </w:t>
      </w:r>
      <w:r w:rsidR="00716813" w:rsidRPr="006325C2">
        <w:t xml:space="preserve">If our observation </w:t>
      </w:r>
      <w:r w:rsidRPr="006325C2">
        <w:t xml:space="preserve">was true </w:t>
      </w:r>
      <w:r w:rsidR="00716813" w:rsidRPr="006325C2">
        <w:t xml:space="preserve">that only </w:t>
      </w:r>
      <w:r w:rsidRPr="006325C2">
        <w:t xml:space="preserve">a long-term low </w:t>
      </w:r>
      <w:r w:rsidR="00716813" w:rsidRPr="006325C2">
        <w:t xml:space="preserve">calcium intake was associated with cancer prognosis, a null association for </w:t>
      </w:r>
      <w:r w:rsidR="004E3984" w:rsidRPr="006325C2">
        <w:t xml:space="preserve">supplemental calcium </w:t>
      </w:r>
      <w:r w:rsidR="00716813" w:rsidRPr="006325C2">
        <w:t xml:space="preserve">would be expected. </w:t>
      </w:r>
      <w:r w:rsidR="00612192" w:rsidRPr="006325C2">
        <w:t xml:space="preserve">We did observe a possible trend of beneficial association for </w:t>
      </w:r>
      <w:r w:rsidR="004E3984" w:rsidRPr="006325C2">
        <w:t xml:space="preserve">supplemental </w:t>
      </w:r>
      <w:r w:rsidR="00612192" w:rsidRPr="006325C2">
        <w:t xml:space="preserve">calcium among early-stage patients who had low dietary calcium intakes. </w:t>
      </w:r>
      <w:r w:rsidR="00716813" w:rsidRPr="006325C2">
        <w:t>The null finding could also be due to</w:t>
      </w:r>
      <w:r w:rsidR="008A7323" w:rsidRPr="006325C2">
        <w:t xml:space="preserve"> a suboptimal </w:t>
      </w:r>
      <w:r w:rsidR="00521920" w:rsidRPr="006325C2">
        <w:t>measurement</w:t>
      </w:r>
      <w:r w:rsidR="008A7323" w:rsidRPr="006325C2">
        <w:t xml:space="preserve"> of usual supplement </w:t>
      </w:r>
      <w:r w:rsidR="00521920" w:rsidRPr="006325C2">
        <w:t>intake</w:t>
      </w:r>
      <w:r w:rsidR="008A7323" w:rsidRPr="006325C2">
        <w:t xml:space="preserve">. </w:t>
      </w:r>
      <w:r w:rsidR="00521920" w:rsidRPr="006325C2">
        <w:t>Nevertheless, t</w:t>
      </w:r>
      <w:r w:rsidR="002D54F2" w:rsidRPr="006325C2">
        <w:t xml:space="preserve">his finding is </w:t>
      </w:r>
      <w:r w:rsidR="00AF097E" w:rsidRPr="006325C2">
        <w:t xml:space="preserve">in line </w:t>
      </w:r>
      <w:r w:rsidR="002D54F2" w:rsidRPr="006325C2">
        <w:t xml:space="preserve">with results from </w:t>
      </w:r>
      <w:r w:rsidR="00B64320" w:rsidRPr="006325C2">
        <w:t>randomized, controlled trials</w:t>
      </w:r>
      <w:r w:rsidR="002D54F2" w:rsidRPr="006325C2">
        <w:t xml:space="preserve"> which</w:t>
      </w:r>
      <w:r w:rsidR="00B64320" w:rsidRPr="006325C2">
        <w:t xml:space="preserve"> </w:t>
      </w:r>
      <w:r w:rsidR="002D54F2" w:rsidRPr="006325C2">
        <w:t>found no</w:t>
      </w:r>
      <w:r w:rsidR="00B64320" w:rsidRPr="006325C2">
        <w:t xml:space="preserve"> significant effects of calcium supplement</w:t>
      </w:r>
      <w:r w:rsidR="006A1483" w:rsidRPr="006325C2">
        <w:t>s</w:t>
      </w:r>
      <w:r w:rsidR="00B64320" w:rsidRPr="006325C2">
        <w:t xml:space="preserve"> with or without vitamin D on cancer incidence or mortality</w:t>
      </w:r>
      <w:r w:rsidR="00B344C6" w:rsidRPr="006325C2">
        <w:t>.</w:t>
      </w:r>
      <w:r w:rsidR="00B344C6" w:rsidRPr="006325C2">
        <w:fldChar w:fldCharType="begin"/>
      </w:r>
      <w:r w:rsidR="00DB50DA" w:rsidRPr="006325C2">
        <w:instrText xml:space="preserve"> ADDIN ZOTERO_ITEM CSL_CITATION {"citationID":"19mi8c4187","properties":{"formattedCitation":"{\\rtf \\super 65\\uc0\\u8211{}67\\nosupersub{}}","plainCitation":"65–67"},"citationItems":[{"id":891,"uris":["http://zotero.org/users/2024628/items/WSD4KQR4"],"uri":["http://zotero.org/users/2024628/items/WSD4KQR4"],"itemData":{"id":891,"type":"article-journal","title":"The effect of calcium plus vitamin D on risk for invasive cancer: results of the Women's Health Initiative (WHI) calcium plus vitamin D randomized clinical trial","container-title":"Nutrition and Cancer","page":"827-841","volume":"63","issue":"6","source":"PubMed","abstract":"In the Women's Health Initiative (WHI) trial of calcium plus vitamin D (CaD), we examined the treatment effect on incidence and mortality for all invasive cancers. Postmenopausal women (N = 36,282) were randomized to 1,000 mg of elemental calcium with 400 IU vitamin D3 or placebo. Cox models estimated risk of cancer incidence and mortality. After 7.0 yr, 1,306 invasive cancers were diagnosed in the supplement and 1,333 in the placebo group [hazard ratio (HR) = 0.98; CI = 0.90, 1.05, unweighted P = 0.54]. Mortality did not differ between supplement (315, annualized% = .26) and placebo [(347, 0.28%; P = 0.17; HR = 0.90 (0.77, 1.05)]. Significant treatment interactions on incident cancer were found for family history of cancer, personal total intake of vitamin D, smoking, and WHI dietary trial randomized group. Calcium/vitamin D supplementation did not reduce invasive cancer incidence or mortality. Supplementation lowered cancer risk in the WHI healthy diet trial arm and in women without a first-degree relative with cancer. The interactions are only suggestive given multiple testing considerations. The low vitamin D dose provided, limited adherence, and lack of serum 25(OH)D values should be considered when interpreting these findings.","DOI":"10.1080/01635581.2011.594208","ISSN":"1532-7914","note":"00033 \nPMID: 21774589\nPMCID: PMC3403703","shortTitle":"The effect of calcium plus vitamin D on risk for invasive cancer","journalAbbreviation":"Nutr Cancer","language":"eng","author":[{"family":"Brunner","given":"Robert L."},{"family":"Wactawski-Wende","given":"Jean"},{"family":"Caan","given":"Bette J."},{"family":"Cochrane","given":"Barbara B."},{"family":"Chlebowski","given":"Rowan T."},{"family":"Gass","given":"Margery L. S."},{"family":"Jacobs","given":"Elizabeth T."},{"family":"LaCroix","given":"Andrea Z."},{"family":"Lane","given":"Dorothy"},{"family":"Larson","given":"Joseph"},{"family":"Margolis","given":"Karen L."},{"family":"Millen","given":"Amy E."},{"family":"Sarto","given":"Gloria E."},{"family":"Vitolins","given":"Mara Z."},{"family":"Wallace","given":"Robert B."}],"issued":{"date-parts":[["2011"]]},"PMID":"21774589","PMCID":"PMC3403703"},"label":"page"},{"id":893,"uris":["http://zotero.org/users/2024628/items/SWRM32ZF"],"uri":["http://zotero.org/users/2024628/items/SWRM32ZF"],"itemData":{"id":893,"type":"article-journal","title":"Long-term follow-up for mortality and cancer in a randomized placebo-controlled trial of vitamin D(3) and/or calcium (RECORD trial)","container-title":"The Journal of Clinical Endocrinology and Metabolism","page":"614-622","volume":"97","issue":"2","source":"PubMed","abstract":"CONTEXT: Vitamin D or calcium supplementation may have effects on vascular disease and cancer.\nOBJECTIVE: Our objective was to investigate whether vitamin D or calcium supplementation affects mortality, vascular disease, and cancer in older people.\nDESIGN AND SETTING: The study included long-term follow-up of participants in a two by two factorial, randomized controlled trial from 21 orthopedic centers in the United Kingdom.\nPARTICIPANTS: Participants were 5292 people (85% women) aged at least 70 yr with previous low-trauma fracture.\nINTERVENTIONS: Participants were randomly allocated to daily vitamin D(3) (800 IU), calcium (1000 mg), both, or placebo for 24-62 months, with a follow-up of 3 yr after intervention.\nMAIN OUTCOME MEASURES: All-cause mortality, vascular disease mortality, cancer mortality, and cancer incidence were evaluated.\nRESULTS: In intention-to-treat analyses, mortality [hazard ratio (HR) = 0.93; 95% confidence interval (CI) = 0.85-1.02], vascular disease mortality (HR = 0.91; 95% CI = 0.79-1.05), cancer mortality (HR = 0.85; 95% CI = 0.68-1.06), and cancer incidence (HR = 1.07; 95% CI = 0.92-1.25) did not differ significantly between participants allocated vitamin D and those not. All-cause mortality (HR = 1.03; 95% CI = 0.94-1.13), vascular disease mortality (HR = 1.07; 95% CI = 0.92-1.24), cancer mortality (HR = 1.13; 95% CI = 0.91-1.40), and cancer incidence (HR = 1.06; 95% CI = 0.91-1.23) also did not differ significantly between participants allocated calcium and those not. In a post hoc statistical analysis adjusting for compliance, thus with fewer participants, trends for reduced mortality with vitamin D and increased mortality with calcium were accentuated, although all results remain nonsignificant.\nCONCLUSIONS: Daily vitamin D or calcium supplementation did not affect mortality, vascular disease, cancer mortality, or cancer incidence.","DOI":"10.1210/jc.2011-1309","ISSN":"1945-7197","note":"00002 \nPMID: 22112804","journalAbbreviation":"J. Clin. Endocrinol. Metab.","language":"eng","author":[{"family":"Avenell","given":"Alison"},{"family":"MacLennan","given":"Graeme S."},{"family":"Jenkinson","given":"David J."},{"family":"McPherson","given":"Gladys C."},{"family":"McDonald","given":"Alison M."},{"family":"Pant","given":"Puspa R."},{"family":"Grant","given":"Adrian M."},{"family":"Campbell","given":"Marion K."},{"family":"Anderson","given":"Frazer H."},{"family":"Cooper","given":"Cyrus"},{"family":"Francis","given":"Roger M."},{"family":"Gillespie","given":"William J."},{"family":"Robinson","given":"C. Michael"},{"family":"Torgerson","given":"David J."},{"family":"Wallace","given":"W. Angus"},{"literal":"RECORD Trial Group"}],"issued":{"date-parts":[["2012",2]]},"PMID":"22112804"},"label":"page"},{"id":895,"uris":["http://zotero.org/users/2024628/items/4KCAD3BZ"],"uri":["http://zotero.org/users/2024628/items/4KCAD3BZ"],"itemData":{"id":895,"type":"article-journal","title":"The effect of vitamin D supplementation on skeletal, vascular, or cancer outcomes: a trial sequential meta-analysis","container-title":"The Lancet. Diabetes &amp; Endocrinology","page":"307-320","volume":"2","issue":"4","source":"PubMed","abstract":"BACKGROUND: Vitamin D insufficiency is associated with many disorders, leading to calls for widespread supplementation. Some investigators suggest that more clinical trials to test the effect of vitamin D on disorders are needed.\nMETHODS: We did a trial sequential meta-analysis of existing randomised controlled trials of vitamin D supplements, with or without calcium, to investigate the possible effect of future trials on current knowledge. We estimated the effects of vitamin D supplementation on myocardial infarction or ischaemic heart disease, stroke or cerebrovascular disease, cancer, total fracture, hip fracture, and mortality in trial sequential analyses using a risk reduction threshold of 5% for mortality and 15% for other endpoints.\nFINDINGS: The effect estimate for vitamin D supplementation with or without calcium for myocardial infarction or ischaemic heart disease (nine trials, 48 647 patients), stroke or cerebrovascular disease (eight trials 46 431 patients), cancer (seven trials, 48 167 patients), and total fracture (22 trials, 76 497 patients) lay within the futility boundary, indicating that vitamin D supplementation does not alter the relative risk of any of these endpoints by 15% or more. Vitamin D supplementation alone did not reduce hip fracture by 15% or more (12 trials, 27 834 patients). Vitamin D co-administered with calcium reduced hip fracture in institutionalised individuals (two trials, 3853 patients) but did not alter the relative risk of hip fracture by 15% or more in community-dwelling individuals (seven trials, 46 237 patients). There is uncertainty as to whether vitamin D with or without calcium reduces the risk of death (38 trials, 81 173).\nINTERPRETATION: Our findings suggest that vitamin D supplementation with or without calcium does not reduce skeletal or non-skeletal outcomes in unselected community-dwelling individuals by more than 15%. Future trials with similar designs are unlikely to alter these conclusions.\nFUNDING: Health Research Council of New Zealand.","DOI":"10.1016/S2213-8587(13)70212-2","ISSN":"2213-8595","note":"00139 \nPMID: 24703049","shortTitle":"The effect of vitamin D supplementation on skeletal, vascular, or cancer outcomes","journalAbbreviation":"Lancet Diabetes Endocrinol","language":"eng","author":[{"family":"Bolland","given":"Mark J."},{"family":"Grey","given":"Andrew"},{"family":"Gamble","given":"Greg D."},{"family":"Reid","given":"Ian R."}],"issued":{"date-parts":[["2014",4]]},"PMID":"24703049"},"label":"page"}],"schema":"https://github.com/citation-style-language/schema/raw/master/csl-citation.json"} </w:instrText>
      </w:r>
      <w:r w:rsidR="00B344C6" w:rsidRPr="006325C2">
        <w:fldChar w:fldCharType="separate"/>
      </w:r>
      <w:r w:rsidR="00AB395C" w:rsidRPr="00AB395C">
        <w:rPr>
          <w:vertAlign w:val="superscript"/>
        </w:rPr>
        <w:t>65–67</w:t>
      </w:r>
      <w:r w:rsidR="00B344C6" w:rsidRPr="006325C2">
        <w:fldChar w:fldCharType="end"/>
      </w:r>
      <w:r w:rsidR="00B82132" w:rsidRPr="006325C2">
        <w:t xml:space="preserve"> </w:t>
      </w:r>
      <w:r w:rsidR="00205EB9" w:rsidRPr="006325C2">
        <w:t xml:space="preserve"> </w:t>
      </w:r>
      <w:r w:rsidR="0061093C" w:rsidRPr="006325C2">
        <w:t xml:space="preserve">Taken </w:t>
      </w:r>
      <w:r w:rsidR="00205EB9" w:rsidRPr="006325C2">
        <w:t>together, o</w:t>
      </w:r>
      <w:r w:rsidR="002F4D9A" w:rsidRPr="006325C2">
        <w:t xml:space="preserve">ur results support </w:t>
      </w:r>
      <w:r w:rsidR="00A63C93" w:rsidRPr="006325C2">
        <w:t xml:space="preserve">the hypothesis </w:t>
      </w:r>
      <w:r w:rsidR="00904007" w:rsidRPr="006325C2">
        <w:t xml:space="preserve">that </w:t>
      </w:r>
      <w:r w:rsidR="00096FF2" w:rsidRPr="006325C2">
        <w:t>an optimal</w:t>
      </w:r>
      <w:r w:rsidR="00904007" w:rsidRPr="006325C2">
        <w:t xml:space="preserve"> calcium </w:t>
      </w:r>
      <w:r w:rsidR="00096FF2" w:rsidRPr="006325C2">
        <w:t xml:space="preserve">intake from foods </w:t>
      </w:r>
      <w:r w:rsidR="00904007" w:rsidRPr="006325C2">
        <w:t>may play a</w:t>
      </w:r>
      <w:r w:rsidR="002F4D9A" w:rsidRPr="006325C2">
        <w:t xml:space="preserve"> </w:t>
      </w:r>
      <w:r w:rsidR="00152AB0" w:rsidRPr="006325C2">
        <w:t xml:space="preserve">beneficial, </w:t>
      </w:r>
      <w:r w:rsidR="00A87B51" w:rsidRPr="006325C2">
        <w:t xml:space="preserve">although </w:t>
      </w:r>
      <w:r w:rsidR="00152AB0" w:rsidRPr="006325C2">
        <w:t xml:space="preserve">small, </w:t>
      </w:r>
      <w:r w:rsidR="00904007" w:rsidRPr="006325C2">
        <w:t>role in cancer survival</w:t>
      </w:r>
      <w:r w:rsidR="00E03E7E" w:rsidRPr="006325C2">
        <w:t>; however,</w:t>
      </w:r>
      <w:r w:rsidR="00096FF2" w:rsidRPr="006325C2">
        <w:t xml:space="preserve"> </w:t>
      </w:r>
      <w:r w:rsidR="00302FC7" w:rsidRPr="006325C2">
        <w:t>evidence</w:t>
      </w:r>
      <w:r w:rsidR="00096FF2" w:rsidRPr="006325C2">
        <w:t xml:space="preserve"> </w:t>
      </w:r>
      <w:r w:rsidR="00302FC7" w:rsidRPr="006325C2">
        <w:t xml:space="preserve">is weak or lacking </w:t>
      </w:r>
      <w:r w:rsidR="00E03E7E" w:rsidRPr="006325C2">
        <w:t>for</w:t>
      </w:r>
      <w:r w:rsidR="0087492A" w:rsidRPr="006325C2">
        <w:t xml:space="preserve"> a </w:t>
      </w:r>
      <w:r w:rsidR="00302FC7" w:rsidRPr="006325C2">
        <w:t xml:space="preserve">recommendation </w:t>
      </w:r>
      <w:r w:rsidR="0087492A" w:rsidRPr="006325C2">
        <w:t>to use</w:t>
      </w:r>
      <w:r w:rsidR="00096FF2" w:rsidRPr="006325C2">
        <w:t xml:space="preserve"> calcium supplements</w:t>
      </w:r>
      <w:r w:rsidR="00E03E7E" w:rsidRPr="006325C2">
        <w:t xml:space="preserve"> to increase calcium intake, especially among individuals who already consume </w:t>
      </w:r>
      <w:r w:rsidR="00126F7E" w:rsidRPr="006325C2">
        <w:t xml:space="preserve">a </w:t>
      </w:r>
      <w:r w:rsidR="00E03E7E" w:rsidRPr="006325C2">
        <w:t>sufficient amount of calcium</w:t>
      </w:r>
      <w:r w:rsidR="00347A02" w:rsidRPr="006325C2">
        <w:t xml:space="preserve">, e.g. </w:t>
      </w:r>
      <w:r w:rsidR="00063057" w:rsidRPr="006325C2">
        <w:t>800-1200 mg</w:t>
      </w:r>
      <w:r w:rsidR="00347A02" w:rsidRPr="006325C2">
        <w:t>/d</w:t>
      </w:r>
      <w:r w:rsidR="00E03E7E" w:rsidRPr="006325C2">
        <w:t>.</w:t>
      </w:r>
      <w:r w:rsidR="00B344C6" w:rsidRPr="006325C2">
        <w:fldChar w:fldCharType="begin"/>
      </w:r>
      <w:r w:rsidR="00B344C6" w:rsidRPr="006325C2">
        <w:instrText xml:space="preserve"> ADDIN ZOTERO_ITEM CSL_CITATION {"citationID":"O1BpGPoy","properties":{"formattedCitation":"{\\rtf \\super 11\\nosupersub{}}","plainCitation":"11"},"citationItems":[{"id":789,"uris":["http://zotero.org/users/2024628/items/47DWW6EM"],"uri":["http://zotero.org/users/2024628/items/47DWW6EM"],"itemData":{"id":789,"type":"book","title":"Dietary Reference Intakes for Calcium and Vitamin D","collection-title":"The National Academies Collection: Reports funded by National Institutes of Health","publisher":"National Academies Press (US)","publisher-place":"Washington (DC)","source":"PubMed","event-place":"Washington (DC)","abstract":"The charge to the committee (Institute of Medicine Committee to Review Dietary Reference Intakes for Vitamin D and Calcium) was to assess current relevant data and update, as appropriate, the DRIs (Dietary Reference Intakes) for vitamin D and calcium. The review was to include consideration of chronic disease indicators (e.g., reduction in risk of cancer) and other (non-chronic disease) indicators and health outcomes. The definitions of these terms are discussed below. Consistent with the framework for DRI development, the indicators to assess adequacy and excess intake were to be selected based on the strength and quality of the evidence and their demonstrated public health significance, taking into consideration sources of uncertainty in the evidence. Further, the committee deliberations were to incorporate, as appropriate, systematic evidence-based reviews of the literature. Specifically, in carrying out its work, the committee was to: Review evidence on indicators to assess adequacy and indicators to assess excess intake relevant to the general North American population, including groups whose needs for or sensitivity to the nutrient may be affected by particular conditions that are widespread in the population such as obesity or age-related chronic diseases. Special groups under medical care whose needs or sensitivities are affected by rare genetic disorders or diseases and their treatments were to be excluded; Consider systematic evidence-based reviews, including those made available by the sponsors as well as others, and carefully document the approach used by the committee to carry out any of its own literature reviews; Regarding selection of indicators upon which to base DRI values for adequate intake, give priority to selecting indicators relevant to the various age, gender, and life stage groups that will allow for the determination of an Estimated Average Requirement (EAR); Regarding selection of indicators upon which to base DRI values for upper levels of intake, give priority to examining whether a critical adverse effect can be selected that will allow for the determination of a so-called benchmark intake; Update DRI values, as appropriate, using a risk assessment approach that includes (1) identification of potential indicators to assess adequacy and excess intake, (2) selection of the indicators of adequacy and excess intake, (3) intake-response assessment, (4) dietary intake assessment, and (5) risk characterization. Identify research gaps to address the uncertainties identified in the process of deriving the reference values and evaluating their public health implications.","URL":"http://www.ncbi.nlm.nih.gov/books/NBK56070/","call-number":"NBK56070","note":"00000 \nPMID: 21796828","language":"eng","author":[{"literal":"Institute of Medicine (US) Committee to Review Dietary Reference Intakes for Vitamin D and Calcium"}],"editor":[{"family":"Ross","given":"A. Catharine"},{"family":"Taylor","given":"Christine L."},{"family":"Yaktine","given":"Ann L."},{"family":"Del Valle","given":"Heather B."}],"issued":{"date-parts":[["2011"]]},"accessed":{"date-parts":[["2015",11,24]]},"PMID":"21796828"}}],"schema":"https://github.com/citation-style-language/schema/raw/master/csl-citation.json"} </w:instrText>
      </w:r>
      <w:r w:rsidR="00B344C6" w:rsidRPr="006325C2">
        <w:fldChar w:fldCharType="separate"/>
      </w:r>
      <w:r w:rsidR="00AB395C" w:rsidRPr="00AB395C">
        <w:rPr>
          <w:vertAlign w:val="superscript"/>
        </w:rPr>
        <w:t>11</w:t>
      </w:r>
      <w:r w:rsidR="00B344C6" w:rsidRPr="006325C2">
        <w:fldChar w:fldCharType="end"/>
      </w:r>
      <w:r w:rsidR="00E03E7E" w:rsidRPr="006325C2">
        <w:t xml:space="preserve"> </w:t>
      </w:r>
    </w:p>
    <w:p w:rsidR="00096397" w:rsidRPr="006325C2" w:rsidRDefault="00B94EA7" w:rsidP="009736C9">
      <w:pPr>
        <w:widowControl w:val="0"/>
        <w:autoSpaceDE w:val="0"/>
        <w:autoSpaceDN w:val="0"/>
        <w:adjustRightInd w:val="0"/>
        <w:spacing w:after="0" w:line="480" w:lineRule="auto"/>
        <w:ind w:firstLine="360"/>
      </w:pPr>
      <w:r w:rsidRPr="006325C2">
        <w:t xml:space="preserve">We acknowledge several limitations of the present study. </w:t>
      </w:r>
      <w:r w:rsidR="0038445F" w:rsidRPr="006325C2">
        <w:t>First,</w:t>
      </w:r>
      <w:r w:rsidR="00AF741E" w:rsidRPr="006325C2">
        <w:t xml:space="preserve"> dietary</w:t>
      </w:r>
      <w:r w:rsidR="0038445F" w:rsidRPr="006325C2">
        <w:t xml:space="preserve"> intakes were measured </w:t>
      </w:r>
      <w:r w:rsidR="00565990" w:rsidRPr="006325C2">
        <w:t xml:space="preserve">via </w:t>
      </w:r>
      <w:r w:rsidR="0038445F" w:rsidRPr="006325C2">
        <w:t>FFQs</w:t>
      </w:r>
      <w:r w:rsidR="00AF741E" w:rsidRPr="006325C2">
        <w:t xml:space="preserve"> and food composition tables, both of which have non-negligible measurement errors. However, this is the most common and feasible choice for assessing </w:t>
      </w:r>
      <w:r w:rsidR="00573D4A" w:rsidRPr="006325C2">
        <w:t xml:space="preserve">usual </w:t>
      </w:r>
      <w:r w:rsidR="00AF741E" w:rsidRPr="006325C2">
        <w:t xml:space="preserve">dietary intakes in large observational studies. </w:t>
      </w:r>
      <w:r w:rsidR="007505D0" w:rsidRPr="006325C2">
        <w:t xml:space="preserve">FFQs used in participating cohorts of this pooling project </w:t>
      </w:r>
      <w:r w:rsidR="0087492A" w:rsidRPr="006325C2">
        <w:t xml:space="preserve">have </w:t>
      </w:r>
      <w:r w:rsidR="008C314A" w:rsidRPr="006325C2">
        <w:t xml:space="preserve">each </w:t>
      </w:r>
      <w:r w:rsidR="007505D0" w:rsidRPr="006325C2">
        <w:t xml:space="preserve">been validated by one or more diet assessment methods and </w:t>
      </w:r>
      <w:r w:rsidR="0087492A" w:rsidRPr="006325C2">
        <w:t>have</w:t>
      </w:r>
      <w:r w:rsidR="00C42854" w:rsidRPr="006325C2">
        <w:t xml:space="preserve"> </w:t>
      </w:r>
      <w:r w:rsidR="00AE6249" w:rsidRPr="006325C2">
        <w:t xml:space="preserve">been shown </w:t>
      </w:r>
      <w:r w:rsidR="0087492A" w:rsidRPr="006325C2">
        <w:t xml:space="preserve">to exhibit </w:t>
      </w:r>
      <w:r w:rsidR="007505D0" w:rsidRPr="006325C2">
        <w:t>reasonably good validities</w:t>
      </w:r>
      <w:r w:rsidR="00075E48" w:rsidRPr="006325C2">
        <w:t>.</w:t>
      </w:r>
      <w:r w:rsidR="00075E48" w:rsidRPr="006325C2">
        <w:fldChar w:fldCharType="begin"/>
      </w:r>
      <w:r w:rsidR="00AB395C">
        <w:instrText xml:space="preserve"> ADDIN ZOTERO_ITEM CSL_CITATION {"citationID":"G8VBe22R","properties":{"formattedCitation":"{\\rtf \\super 37\\uc0\\u8211{}45, 47, 48\\nosupersub{}}","plainCitation":"37–45, 47, 48"},"citationItems":[{"id":837,"uris":["http://zotero.org/users/2024628/items/AB2NUS7W"],"uri":["http://zotero.org/users/2024628/items/AB2NUS7W"],"itemData":{"id":837,"type":"article-journal","title":"Performance of a food-frequency questionnaire in the US NIH-AARP (National Institutes of Health-American Association of Retired Persons) Diet and Health Study","container-title":"Public Health Nutrition","page":"183-195","volume":"11","issue":"2","source":"PubMed","abstract":"OBJECTIVE: We evaluated the performance of the food-frequency questionnaire (FFQ) administered to participants in the US NIH-AARP (National Institutes of Health-American Association of Retired Persons) Diet and Health Study, a cohort of 566 404 persons living in the USA and aged 50-71 years at baseline in 1995.\nDESIGN: The 124-item FFQ was evaluated within a measurement error model using two non-consecutive 24-hour dietary recalls (24HRs) as the reference.\nSETTING: Participants were from six states (California, Florida, Pennsylvania, New Jersey, North Carolina and Louisiana) and two metropolitan areas (Atlanta, Georgia and Detroit, Michigan).\nSUBJECTS: A subgroup of the cohort consisting of 2053 individuals.\nRESULTS: For the 26 nutrient constituents examined, estimated correlations with true intake (not energy-adjusted) ranged from 0.22 to 0.67, and attenuation factors ranged from 0.15 to 0.49. When adjusted for reported energy intake, performance improved; estimated correlations with true intake ranged from 0.36 to 0.76, and attenuation factors ranged from 0.24 to 0.68. These results compare favourably with those from other large prospective studies. However, previous biomarker-based studies suggest that, due to correlation of errors in FFQs and self-report reference instruments such as the 24HR, the correlations and attenuation factors observed in most calibration studies, including ours, tend to overestimate FFQ performance.\nCONCLUSION: The performance of the FFQ in the NIH-AARP Diet and Health Study, in conjunction with the study's large sample size and wide range of dietary intake, is likely to allow detection of moderate (&gt; or =1.8) relative risks between many energy-adjusted nutrients and common cancers.","DOI":"10.1017/S1368980007000419","ISSN":"1368-9800","note":"00125 \nPMID: 17610761","journalAbbreviation":"Public Health Nutr","language":"eng","author":[{"family":"Thompson","given":"Frances E."},{"family":"Kipnis","given":"Victor"},{"family":"Midthune","given":"Douglas"},{"family":"Freedman","given":"Laurence S."},{"family":"Carroll","given":"Raymond J."},{"family":"Subar","given":"Amy F."},{"family":"Brown","given":"Charles C."},{"family":"Butcher","given":"Matthew S."},{"family":"Mouw","given":"Traci"},{"family":"Leitzmann","given":"Michael"},{"family":"Schatzkin","given":"Arthur"}],"issued":{"date-parts":[["2008",2]]},"PMID":"17610761"},"label":"page"},{"id":839,"uris":["http://zotero.org/users/2024628/items/5DFW4UMB"],"uri":["http://zotero.org/users/2024628/items/5DFW4UMB"],"itemData":{"id":839,"type":"article-journal","title":"Reproducibility and validity of a semiquantitative food frequency questionnaire","container-title":"American Journal of Epidemiology","page":"51-65","volume":"122","issue":"1","source":"PubMed","abstract":"The aim of this study was to evaluate the reproducibility and validity of a 61-item semiquantitative food frequency questionnaire used in a large prospective study among women. This form was administered twice to 173 participants at an interval of approximately one year (1980-1981), and four one-week diet records for each subject were collected during that period. Intraclass correlation coefficients for nutrient intakes estimated by the one-week diet records (range = 0.41 for total vitamin A without supplements to 0.79 for vitamin B6 with supplements) were similar to those computed from the questionnaire (range = 0.49 for total vitamin A without supplements to 0.71 for sucrose), indicating that these methods were generally comparable with respect to reproducibility. With the exception of sucrose and total carbohydrate, nutrient intakes from the diet records tended to correlate more strongly with those computed from the questionnaire after adjustment for total caloric intake. Correlation coefficients between the mean calorie-adjusted intakes from the four one-week diet records and those from the questionnaire completed after the diet records ranged from 0.36 for vitamin A without supplements to 0.75 for vitamin C with supplements. Overall, 48% of subjects in the lowest quintile of calorie-adjusted intake computed from the diet records were also in the lowest questionnaire quintile, and 74% were in the lowest one of two questionnaire quintiles. Similarly, 49% of those in the highest diet record quintile were also in the highest questionnaire quintile, and 77% were in the highest one or two questionnaire quintiles. These data indicate that a simple self-administered dietary questionnaire can provide useful information about individual nutrient intakes over a one-year period.","ISSN":"0002-9262","note":"03035 \nPMID: 4014201","journalAbbreviation":"Am. J. Epidemiol.","language":"eng","author":[{"family":"Willett","given":"W. C."},{"family":"Sampson","given":"L."},{"family":"Stampfer","given":"M. J."},{"family":"Rosner","given":"B."},{"family":"Bain","given":"C."},{"family":"Witschi","given":"J."},{"family":"Hennekens","given":"C. H."},{"family":"Speizer","given":"F. E."}],"issued":{"date-parts":[["1985",7]]},"PMID":"4014201"},"label":"page"},{"id":841,"uris":["http://zotero.org/users/2024628/items/QI9ZB3QB"],"uri":["http://zotero.org/users/2024628/items/QI9ZB3QB"],"itemData":{"id":841,"type":"article-journal","title":"Reproducibility and validity of an expanded self-administered semiquantitative food frequency questionnaire among male health professionals","container-title":"American Journal of Epidemiology","page":"1114-1126; discussion 1127-1136","volume":"135","issue":"10","source":"PubMed","abstract":"The authors assessed the reproducibility and validity of an expanded 131-item semiquantitative food frequency questionnaire used in a prospective study among 51,529 men. The form was administered by mail twice to a sample of 127 participants at a one-year interval. During this interval, men completed two one-week diet records spaced approximately 6 months apart. Mean values for intake of most nutrients assessed by the two methods were similar. Intraclass correlation coefficients for nutrient intakes assessed by questionnaires one year apart ranged from 0.47 for vitamin E without supplements to 0.80 for vitamin C with supplements. Correlation coefficients between the energy-adjusted nutrient intakes measured by diet records and the second questionnaire (which asked about diet during the year encompassing the diet records) ranged from 0.28 for iron without supplements to 0.86 for vitamin C with supplements (mean r = 0.59). These correlations were higher after adjusting for week-to-week variation in diet record intakes (mean r = 0.65). These data indicate that the expanded semiquantitative food frequency questionnaire is reproducible and provides a useful measure of intake for many nutrients over a one-year period.","ISSN":"0002-9262","note":"01344 \nPMID: 1632423","journalAbbreviation":"Am. J. Epidemiol.","language":"eng","author":[{"family":"Rimm","given":"E. B."},{"family":"Giovannucci","given":"E. L."},{"family":"Stampfer","given":"M. J."},{"family":"Colditz","given":"G. A."},{"family":"Litin","given":"L. B."},{"family":"Willett","given":"W. C."}],"issued":{"date-parts":[["1992",5,15]]},"PMID":"1632423"},"label":"page"},{"id":843,"uris":["http://zotero.org/users/2024628/items/JJVEVZQJ"],"uri":["http://zotero.org/users/2024628/items/JJVEVZQJ"],"itemData":{"id":843,"type":"article-journal","title":"Dietary Assessment of Older Iowa Women with a Food Frequency Questionnaire: Nutrient Intake, Reproducibility, and Comparison with 24-Hour Dietary Recall Interviews","container-title":"American Journal of Epidemiology","page":"192-200","volume":"136","issue":"2","source":"aje.oxfordjournals.org","abstract":"The authors report the results of a dietary survey of 38,121 Iowa women, 55–69 years of age in 1986, based on a semiquantitative food frequency questionnaire previously tested among Boston-area women aged 34–59 years. The Iowa women, compared with the younger Boston-area women, consumed a similar amount of calories (1,767 vs. 1,844 kcal) and a similar amount of total calories from fat (35 vs. 37%) but had markedly greater intake of the following mtaronutrients after including supplement use: iron (+18%), calcium (+33%), vitamin A (+43%), riboflavin (+46%), thiamine (+50%), and pyridoxine (+122%). The reproducibility of the questionnaire was examined in two more administrations to 44 of the Iowa women in January and June of 1988. Reproducibirity was highest for alcohol (Pearson's r = 0.99), caffeine (r = 0.95), and vitamin E (r = 0.90) and lowest for sucrose (r = 0.53), polyunsaturated fat (r = 0.56), and iron (r = 0.59). Micronutrient intakes were generally more reproducible than macronutrient intakes. The agreement between the June 1988 questionnaire and the average of five 24-hour dietary recalls was also assessed in the 44 subjects. The median correlations of energy-adjusted intake were as follows: for macronutrients, r = 0.45; for micronutrients without supplements, r = 0.33; and for micronutrients with supplements, r = 0.64. This food frequency questionnaire appears to be reasonably reproducible and accurate, so that Its use may be extended to epidemiokxjic studies of older women with a broad range of socioeconomic backgrounds. Am J Epidemiol 1992:136:192–200.","ISSN":"0002-9262, 1476-6256","note":"00282 \nPMID: 1415141","shortTitle":"Dietary Assessment of Older Iowa Women with a Food Frequency Questionnaire","journalAbbreviation":"Am. J. Epidemiol.","language":"en","author":[{"family":"Munger","given":"Ronald G."},{"family":"Folsom","given":"Aaron R."},{"family":"Kushi","given":"Lawrence H."},{"family":"Kaye","given":"Susan A."},{"family":"Sellers","given":"Thomas A."}],"issued":{"date-parts":[["1992",7,15]]},"PMID":"1415141"},"label":"page"},{"id":847,"uris":["http://zotero.org/users/2024628/items/4AV7TFWS"],"uri":["http://zotero.org/users/2024628/items/4AV7TFWS"],"itemData":{"id":847,"type":"article-journal","title":"Comparative Validation of the Block, Willett, and National Cancer Institute Food Frequency Questionnaires The Eating at America's Table Study","container-title":"American Journal of Epidemiology","page":"1089-1099","volume":"154","issue":"12","source":"aje.oxfordjournals.org","abstract":"Researchers at the National Cancer Institute developed a new cognitively based food frequency questionnaire (FFQ), the Diet History Questionnaire (DHQ). The Eating at America's Table Study sought to validate and compare the DHQ with the Block and Willett FFQs. Of 1,640 men and women recruited to participate from a nationally representative sample in 1997, 1,301 completed four telephone 24-hour recalls, one in each season. Participants were randomized to receive either a DHQ and Block FFQ or a DHQ and Willett FFQ. With a standard measurement error model, correlations for energy between estimated truth and the DHQ, Block FFQ, and Willett FFQ, respectively, were 0.48, 0.45, and 0.18 for women and 0.49, 0.45, and 0.21 for men. For 26 nutrients, correlations and attenuation coefficients were somewhat higher for the DHQ versus the Block FFQ, and both were better than the Willett FFQ in models unadjusted for energy. Energy adjustment increased correlations and attenuation coefficients for the Willett FFQ dramatically and for the DHQ and Block FFQ instruments modestly. The DHQ performed best overall. These data show that the DHQ and the Block FFQ are better at estimating absolute intakes than is the Willett FFQ but that, after energy adjustment, all three are more comparable for purposes of assessing diet-disease risk.","DOI":"10.1093/aje/154.12.1089","ISSN":"0002-9262, 1476-6256","note":"00726 \nPMID: 11744511","journalAbbreviation":"Am. J. Epidemiol.","language":"en","author":[{"family":"Subar","given":"Amy F."},{"family":"Thompson","given":"Frances E."},{"family":"Kipnis","given":"Victor"},{"family":"Midthune","given":"Douglas"},{"family":"Hurwitz","given":"Paul"},{"family":"McNutt","given":"Suzanne"},{"family":"McIntosh","given":"Anna"},{"family":"Rosenfeld","given":"Simon"}],"issued":{"date-parts":[["2001",12,15]]},"PMID":"11744511"},"label":"page"},{"id":203,"uris":["http://zotero.org/groups/305042/items/FXNZW3AA"],"uri":["http://zotero.org/groups/305042/items/FXNZW3AA"],"itemData":{"id":203,"type":"article-journal","title":"Estimating nutrient intake from a food frequency questionnaire: incorporating the elements of race and geographic region","container-title":"American Journal of Epidemiology","page":"104-111","volume":"170","issue":"1","source":"NCBI PubMed","abstract":"Assignment of nutrient values to food frequency questionnaire (FFQ) items does not usually account for participant characteristics (besides age or sex) that may influence eating patterns. For the Southern Community Cohort Study, the authors developed and assessed results from a nutrient database system incorporating sex-, race-, and census-region-specific food lists, using 24-hour recall data from the National Health and Nutrition Examination Survey (NHANES III, NHANES 1999-2000, NHANES 2001-2002, and NHANES 2003-2004) and the Continuing Survey of Food Intakes by Individuals that permitted estimation of nutrients tailored to participants' characteristics. For each of 15 nutrients, comparisons were made to a \"standard\" nutrient scoring system based on nationwide race-blind 24-hour recalls from these same sources. Using FFQ data from 67,926 Southern Community Cohort Study participants (47,038 African-American, 20,888 non-Hispanic white) aged 40-79 years who enrolled in the study during 2002-2008, the region- and race-informed system tended to produce increased estimated intake for most nutrients for black women, particularly for saturated fat (7.1%), monounsaturated fat (8.3%), and polyunsaturated fat (7.2%); smaller but significant changes (&lt;5%) were also observed for nutrient intake for men and white women. These types of refinements in nutrient databases can be considered a means of enhancing the accuracy of dietary estimation using FFQs.","DOI":"10.1093/aje/kwp098","ISSN":"1476-6256","note":"PMID: 19451177 \nPMCID: PMC2733041","shortTitle":"Estimating nutrient intake from a food frequency questionnaire","journalAbbreviation":"Am. J. Epidemiol.","language":"eng","author":[{"family":"Signorello","given":"Lisa B."},{"family":"Munro","given":"Heather M."},{"family":"Buchowski","given":"Maciej S."},{"family":"Schlundt","given":"David G."},{"family":"Cohen","given":"Sarah S."},{"family":"Hargreaves","given":"Margaret K."},{"family":"Blot","given":"William J."}],"issued":{"date-parts":[["2009",7,1]]},"PMID":"19451177","PMCID":"PMC2733041"},"label":"page"},{"id":853,"uris":["http://zotero.org/users/2024628/items/DIJQMGMD"],"uri":["http://zotero.org/users/2024628/items/DIJQMGMD"],"itemData":{"id":853,"type":"article-journal","title":"Measurement characteristics of the Women's Health Initiative food frequency questionnaire","container-title":"Annals of Epidemiology","page":"178-187","volume":"9","issue":"3","source":"PubMed","abstract":"PURPOSE: The Women's Health Initiative (WHI) is the largest research program ever initiated in the United States with a focus on diet and health. Therefore, it is important to understand and document the measurement characteristics of the key dietary assessment instrument: the WHI food frequency questionnaire (FFQ).\nMETHODS: Data are from 113 women screened for participation in the WHI in 1995. We assessed bias and precision of the FFQ by comparing the intake of 30 nutrients estimated from the FFQ with means from four 24-hour dietary recalls and a 4-day food record.\nRESULTS: For most nutrients, means estimated by the FFQ were within 10% of the records or recalls. Precision, defined as the correlation between the FFQ and the records and recalls, was similar to other FFQs. Energy adjusted correlation coefficients ranged from 0.2 (vitamin B12) to 0.7 (magnesium) with a mean of 0.5. The correlation for percentage energy from fat (a key measure in WHI) was 0.6. Vitamin supplement use was common. For example, almost half of total vitamin E intake was obtained from supplements. Including supplemental vitamins and minerals increased micronutrient correlation coefficients, which ranged from 0.2 (thiamin) to 0.8 (vitamin E) with a mean of 0.6.\nCONCLUSIONS: The WHI FFQ produced nutrient estimate, that were similar to those obtained from short-term dietary recall and recording methods. Comparison of WHI FFQ nutrient intake measures to independent and unbiased measures, such as doubly labeled water estimates of energy expenditure, are needed to help address the validity of the FFQ in this population.","ISSN":"1047-2797","note":"00626 \nPMID: 10192650","journalAbbreviation":"Ann Epidemiol","language":"eng","author":[{"family":"Patterson","given":"R. E."},{"family":"Kristal","given":"A. R."},{"family":"Tinker","given":"L. F."},{"family":"Carter","given":"R. A."},{"family":"Bolton","given":"M. P."},{"family":"Agurs-Collins","given":"T."}],"issued":{"date-parts":[["1999",4]]},"PMID":"10192650"},"label":"page"},{"id":855,"uris":["http://zotero.org/users/2024628/items/DCJTHA9B"],"uri":["http://zotero.org/users/2024628/items/DCJTHA9B"],"itemData":{"id":855,"type":"article-journal","title":"Standardization of the 24-hour diet recall calibration method used in the european prospective investigation into cancer and nutrition (EPIC): general concepts and preliminary results","container-title":"European Journal of Clinical Nutrition","page":"900-917","volume":"54","issue":"12","source":"PubMed","abstract":"OBJECTIVES: Despite increasing interest in the concept of calibration in dietary surveys, there is still little experience in the use and standardization of a common reference dietary method, especially in international studies. In this paper, we present the general theoretical framework and the approaches developed to standardize the computer-assisted 24 h diet recall method (EPIC-SOFT) used to collect about 37 000 24-h dietary recall measurements (24-HDR) from the 10 countries participating in the European Prospective Investigation into Cancer and Nutrition (EPIC). In addition, an analysis of variance was performed to examine the level of standardization of EPIC-SOFT across the 90 interviewers involved in the study.\nMETHODS: The analysis of variance used a random effects model in which mean energy intake per interviewer was used as the dependent variable, while age, body mass index (BMI), energy requirement, week day, season, special diet, special day, physical activity and the EPIC-SOFT version were used as independent variables. The analysis was performed separately for men and women.\nRESULTS: The results show no statistical difference between interviewers in all countries for men and five out of eight countries for women, after adjustment for physical activity and the EPIC-SOFT program version used, and the exclusion of one interviewer in Germany (for men), and one in Denmark (for women). These results showed an interviewer effect in certain countries and a significant difference between gender, suggesting an underlying respondent's effect due to the higher under-reporting among women that was consistently observed in EPIC. However, the actual difference between interviewer and country mean energy intakes is about 10%. Furthermore, no statistical differences in mean energy intakes were observed across centres from the same country, except in Italy and Germany for men, and France and Spain for women, where the populations were recruited from areas scattered throughout the countries.\nCONCLUSION: Despite these encouraging results and the efforts to standardize the 24-HDR interview method, conscious or unconscious behaviour of respondents and/or interviewer bias cannot be prevented entirely. Further evaluation of the reliability of EPIC-SOFT measurements will be conducted through validation against independent biological markers (nitrogen, potassium).","ISSN":"0954-3007","note":"00003 \nPMID: 11114689","shortTitle":"Standardization of the 24-hour diet recall calibration method used in the european prospective investigation into cancer and nutrition (EPIC)","journalAbbreviation":"Eur J Clin Nutr","language":"eng","author":[{"family":"Slimani","given":"N."},{"family":"Ferrari","given":"P."},{"family":"Ocké","given":"M."},{"family":"Welch","given":"A."},{"family":"Boeing","given":"H."},{"family":"Liere","given":"M."},{"family":"Pala","given":"V."},{"family":"Amiano","given":"P."},{"family":"Lagiou","given":"A."},{"family":"Mattisson","given":"I."},{"family":"Stripp","given":"C."},{"family":"Engeset","given":"D."},{"family":"Charrondière","given":"R."},{"family":"Buzzard","given":"M."},{"family":"Staveren","given":"W."},{"family":"Riboli","given":"E."}],"issued":{"date-parts":[["2000",12]]},"PMID":"11114689"},"label":"page"},{"id":857,"uris":["http://zotero.org/users/2024628/items/XI8P6EKT"],"uri":["http://zotero.org/users/2024628/items/XI8P6EKT"],"itemData":{"id":857,"type":"article-journal","title":"Validity and reproducibility of a self-administered food frequency questionnaire in the JPHC Study Cohort II: study design, participant profile and results in comparison with Cohort I","container-title":"Journal of Epidemiology / Japan Epidemiological Association","page":"S134-147","volume":"13","issue":"1 Suppl","source":"PubMed","abstract":"The objective of this study was to evaluate the validity and reproducibility of a self-administered food frequency questionnaire (FFQ) to estimate nutrient and food intake in the subjects of the Japan Public Health Center-based prospective Study on Cancer and Cardiovascular Diseases (JPHC Study Cohort II). The FFQ was originally developed to estimate intake in the JPHC Study Cohort I. A total of 392 subjects were recruited from the entire cohort participants in the 6 areas of Cohort II on a voluntary basis. The subjects completed the FFQ used for the 5-year follow-up survey twice at approximately a 1-year interval. Seven-day dietary records (DR) and blood samples were collected 4 times at 3-month intervals over a year. Daily nutrient and food intakes from FFQ and DR were estimated. The Spearman correlation coefficients for estimated intakes were calculated between FFQ and DR for validity, and between 2 identical FFQs for reproducibility. Correlation coefficients for the validity ranged from 0.09 to 0.82 among various nutrients and food groups. The correlation coefficients for most of the nutrients and food groups were improved to a level comparable to that of Cohort I by energy-adjustment. Correlation coefficients for reproducibility ranged from 0.42 to 0.82, similar to those of Cohort I.","ISSN":"0917-5040","note":"00069 \nPMID: 12701641","shortTitle":"Validity and reproducibility of a self-administered food frequency questionnaire in the JPHC Study Cohort II","journalAbbreviation":"J Epidemiol","language":"eng","author":[{"family":"Ishihara","given":"Junko"},{"family":"Sobue","given":"Tomotaka"},{"family":"Yamamoto","given":"Seiichiro"},{"family":"Yoshimi","given":"Itsuro"},{"family":"Sasaki","given":"Satoshi"},{"family":"Kobayashi","given":"Minatsu"},{"family":"Takahashi","given":"Tosei"},{"family":"Iitoi","given":"Yoji"},{"family":"Akabane","given":"Masayuki"},{"family":"Tsugane","given":"Shoichiro"},{"literal":"JPHC"}],"issued":{"date-parts":[["2003",1]]},"PMID":"12701641"},"label":"page"},{"id":27,"uris":["http://zotero.org/users/2024628/items/TVBBPAD7"],"uri":["http://zotero.org/users/2024628/items/TVBBPAD7"],"itemData":{"id":27,"type":"article-journal","title":"Validity and reproducibility of the food-frequency questionnaire used in the Shanghai men's health study","container-title":"The British Journal of Nutrition","page":"993-1000","volume":"97","issue":"5","source":"NCBI PubMed","abstract":"We evaluated the validity and reproducibility of the FFQ used in the Shanghai Men's Health Study (SMHS). The study included 195 randomly selected participants of the SMHS who completed one FFQ at baseline, twelve 24-hour dietary recalls (24-HDR) (once a month for twelve consecutive months) and a second FFQ at the end of the study. The FFQ accounted for 88.78% of the foods recorded in the 24-HDR surveys. The validity of the FFQ was evaluated by comparing nutrient and food group intake levels from the second FFQ and the multiple 24-HDR. Correlation coefficients ranged from 0.38 to 0.64 for macronutrients, 0.33 to 0.58 for micronutrients and 0.35 to 0.72 for food groups. Misclassification to opposite quartiles for nutrients and food groups was rare, ranging from 1.5 to 7.7%, while exact agreement rates were between 31.8 and 53.3%. The reliability of the FFQ was assessed by comparing the intake levels from the two FFQ. Correlation coefficients were 0.39 to 0.53 for macronutrients, 0.38 to 0.52 for micronutrients and 0.39 to 0.64 for food groups. Exact agreement rates for quartile distribution were between 31.8 and 49.2%, while misclassification to opposite quartiles was between 1.5 and 6.2%. These data indicate that the SMHS FFQ can reasonably categorise usual intake of nutrients and food groups among men living in urban Shanghai.","DOI":"10.1017/S0007114507669189","ISSN":"0007-1145","note":"PMID: 17381986","journalAbbreviation":"Br. J. Nutr.","language":"eng","author":[{"family":"Villegas","given":"Raquel"},{"family":"Yang","given":"Gong"},{"family":"Liu","given":"DaKe"},{"family":"Xiang","given":"Yong-Bing"},{"family":"Cai","given":"Hui"},{"family":"Zheng","given":"Wei"},{"family":"Shu","given":"Xiao Ou"}],"issued":{"date-parts":[["2007",5]]},"PMID":"17381986"},"label":"page"},{"id":25,"uris":["http://zotero.org/users/2024628/items/SHRF9N5I"],"uri":["http://zotero.org/users/2024628/items/SHRF9N5I"],"itemData":{"id":25,"type":"article-journal","title":"Validity and reproducibility of the food frequency questionnaire used in the Shanghai Women's Health Study","container-title":"European Journal of Clinical Nutrition","page":"17-23","volume":"58","issue":"1","source":"NCBI PubMed","abstract":"To evaluate the validity and reliability of the food frequency questionnaire (FFQ) used in the Shanghai Women's Health Study (SWHS), 200 SWHS participants were recruited for a dietary calibration study. Study participants completed an FFQ at baseline and 24-h dietary recalls (24-HDR) twice per month consecutively for 12 months. At the end of the study, a second FFQ was administered. Of the 200 study participants, 196 completed 24 or more days of 24-h dietary recalls, 191 completed two FFQs from whom the results of this report were based. The FFQ included the foods that accounted for 86% of the foods recorded in the 24-HDR surveys. Validity of the FFQ was evaluated by comparing intake levels of major nutrients and foods obtained from the second FFQ with those derived from the multiple 24-HDR. The median intake for major nutrients, rice, poultry and meat derived from the second FFQ and the 24-HDR was similar, with the differences ranging from 1.3 to 12.1%. The FFQ tended to overestimate the intake level of total vegetables and total fruits, and the differences were explained mainly by over-reporting seasonal vegetables and fruits consumption in the FFQ. Nutrient and food intake assessed by the FFQ and the multiple 24-HDR correlated very well, with the correlation coefficients being 0.59-0.66 for macronutrients, 0.41-0.59 for micronutrients, and 0.41-0.66 for major food groups. The reliability of the FFQ was assessed by comparing the correlation and median intake of nutrients and food groups obtained from the two FFQs that were administered approximately 2 y apart. The median intake levels for selected nutrients and food groups derived from the two FFQs were similar with differences below 10%. At the individual level, the intake levels of these dietary variables obtained from two FFQs also correlated well. When nutrient and food group intakes were categorized into quartiles, FFQ and 24-HDR produced exact agreement rates between 33 and 50%. Misclassification to adjacent quartile was common, ranging from 34-48%, while misclassification to an extreme quartile was rare (1-6%). These data indicate that the SWHS FFQ can reliably and accurately measure usual intake of major nutrients and food groups among women in Shanghai.","DOI":"10.1038/sj.ejcn.1601738","ISSN":"0954-3007","note":"PMID: 14679362","journalAbbreviation":"Eur J Clin Nutr","language":"eng","author":[{"family":"Shu","given":"X. O."},{"family":"Yang","given":"G."},{"family":"Jin","given":"F."},{"family":"Liu","given":"D."},{"family":"Kushi","given":"L."},{"family":"Wen","given":"W."},{"family":"Gao","given":"Y.-T."},{"family":"Zheng","given":"W."}],"issued":{"date-parts":[["2004",1]]},"PMID":"14679362"},"label":"page"}],"schema":"https://github.com/citation-style-language/schema/raw/master/csl-citation.json"} </w:instrText>
      </w:r>
      <w:r w:rsidR="00075E48" w:rsidRPr="006325C2">
        <w:fldChar w:fldCharType="separate"/>
      </w:r>
      <w:r w:rsidR="00AB395C" w:rsidRPr="00AB395C">
        <w:rPr>
          <w:vertAlign w:val="superscript"/>
        </w:rPr>
        <w:t>37–45, 47, 48</w:t>
      </w:r>
      <w:r w:rsidR="00075E48" w:rsidRPr="006325C2">
        <w:fldChar w:fldCharType="end"/>
      </w:r>
      <w:r w:rsidR="009736C9" w:rsidRPr="006325C2">
        <w:t xml:space="preserve"> </w:t>
      </w:r>
      <w:r w:rsidR="00AE6249" w:rsidRPr="006325C2">
        <w:t xml:space="preserve">Still, measurement errors </w:t>
      </w:r>
      <w:r w:rsidR="00565990" w:rsidRPr="006325C2">
        <w:t xml:space="preserve">can </w:t>
      </w:r>
      <w:r w:rsidR="00AE6249" w:rsidRPr="006325C2">
        <w:t xml:space="preserve">cause </w:t>
      </w:r>
      <w:r w:rsidR="000358CF" w:rsidRPr="006325C2">
        <w:t xml:space="preserve">non-differential </w:t>
      </w:r>
      <w:r w:rsidR="00AE6249" w:rsidRPr="006325C2">
        <w:t>misclassification</w:t>
      </w:r>
      <w:r w:rsidR="000358CF" w:rsidRPr="006325C2">
        <w:t>s of calcium intakes</w:t>
      </w:r>
      <w:r w:rsidR="00302FC7" w:rsidRPr="006325C2">
        <w:t xml:space="preserve"> that are like</w:t>
      </w:r>
      <w:r w:rsidR="0087492A" w:rsidRPr="006325C2">
        <w:t>ly</w:t>
      </w:r>
      <w:r w:rsidR="00302FC7" w:rsidRPr="006325C2">
        <w:t xml:space="preserve"> to</w:t>
      </w:r>
      <w:r w:rsidR="000358CF" w:rsidRPr="006325C2">
        <w:t xml:space="preserve"> bias our risk ratio estimates towards the null.</w:t>
      </w:r>
      <w:r w:rsidR="00880F07" w:rsidRPr="006325C2">
        <w:t xml:space="preserve"> Second, </w:t>
      </w:r>
      <w:r w:rsidR="009268AD" w:rsidRPr="006325C2">
        <w:t xml:space="preserve">data on </w:t>
      </w:r>
      <w:r w:rsidR="00521920" w:rsidRPr="006325C2">
        <w:t>post</w:t>
      </w:r>
      <w:r w:rsidR="0061093C" w:rsidRPr="006325C2">
        <w:t>-</w:t>
      </w:r>
      <w:r w:rsidR="00521920" w:rsidRPr="006325C2">
        <w:t xml:space="preserve">diagnostic calcium intake and </w:t>
      </w:r>
      <w:r w:rsidR="009268AD" w:rsidRPr="006325C2">
        <w:t>lung cancer treatment were not available</w:t>
      </w:r>
      <w:r w:rsidR="008C314A" w:rsidRPr="006325C2">
        <w:t>,</w:t>
      </w:r>
      <w:r w:rsidR="009268AD" w:rsidRPr="006325C2">
        <w:t xml:space="preserve"> and data on tumor stage and grade were missing in a sizable fraction of patients. </w:t>
      </w:r>
      <w:r w:rsidR="00CF2141" w:rsidRPr="006325C2">
        <w:t>Most of the patients in our study were diagnosed before 20</w:t>
      </w:r>
      <w:r w:rsidR="00036FE2" w:rsidRPr="006325C2">
        <w:t>10</w:t>
      </w:r>
      <w:r w:rsidR="00CF2141" w:rsidRPr="006325C2">
        <w:t xml:space="preserve"> when targeted treatments </w:t>
      </w:r>
      <w:r w:rsidR="00DA4159" w:rsidRPr="006325C2">
        <w:t xml:space="preserve">were </w:t>
      </w:r>
      <w:r w:rsidR="002D54F2" w:rsidRPr="006325C2">
        <w:t xml:space="preserve">less </w:t>
      </w:r>
      <w:r w:rsidR="00DA4159" w:rsidRPr="006325C2">
        <w:t>common</w:t>
      </w:r>
      <w:r w:rsidR="00036FE2" w:rsidRPr="006325C2">
        <w:t xml:space="preserve"> and l</w:t>
      </w:r>
      <w:r w:rsidR="009A349F" w:rsidRPr="006325C2">
        <w:t xml:space="preserve">ung cancer treatments </w:t>
      </w:r>
      <w:r w:rsidR="002D54F2" w:rsidRPr="006325C2">
        <w:t xml:space="preserve">were </w:t>
      </w:r>
      <w:r w:rsidR="009A349F" w:rsidRPr="006325C2">
        <w:t>largely depend</w:t>
      </w:r>
      <w:r w:rsidR="00DA4159" w:rsidRPr="006325C2">
        <w:t>e</w:t>
      </w:r>
      <w:r w:rsidR="0087492A" w:rsidRPr="006325C2">
        <w:t>nt</w:t>
      </w:r>
      <w:r w:rsidR="009A349F" w:rsidRPr="006325C2">
        <w:t xml:space="preserve"> on </w:t>
      </w:r>
      <w:r w:rsidR="00565990" w:rsidRPr="006325C2">
        <w:t xml:space="preserve">stage, </w:t>
      </w:r>
      <w:r w:rsidR="00036FE2" w:rsidRPr="006325C2">
        <w:t>histologic</w:t>
      </w:r>
      <w:r w:rsidR="009A349F" w:rsidRPr="006325C2">
        <w:t xml:space="preserve"> type, </w:t>
      </w:r>
      <w:r w:rsidR="00036FE2" w:rsidRPr="006325C2">
        <w:t>and</w:t>
      </w:r>
      <w:r w:rsidR="009A349F" w:rsidRPr="006325C2">
        <w:t xml:space="preserve"> patient </w:t>
      </w:r>
      <w:r w:rsidR="00036FE2" w:rsidRPr="006325C2">
        <w:t>sociodemographics</w:t>
      </w:r>
      <w:r w:rsidR="009A349F" w:rsidRPr="006325C2">
        <w:t xml:space="preserve">. </w:t>
      </w:r>
      <w:r w:rsidR="002C39C3" w:rsidRPr="006325C2">
        <w:t xml:space="preserve">We </w:t>
      </w:r>
      <w:r w:rsidR="00036FE2" w:rsidRPr="006325C2">
        <w:t xml:space="preserve">have </w:t>
      </w:r>
      <w:r w:rsidR="009A349F" w:rsidRPr="006325C2">
        <w:t xml:space="preserve">adjusted for all these factors and stratified by </w:t>
      </w:r>
      <w:r w:rsidR="00CF2141" w:rsidRPr="006325C2">
        <w:t>cohort (region) and year of diagnosis</w:t>
      </w:r>
      <w:r w:rsidR="00036FE2" w:rsidRPr="006325C2">
        <w:t xml:space="preserve"> in the analyses. We also conducted </w:t>
      </w:r>
      <w:r w:rsidR="00565990" w:rsidRPr="006325C2">
        <w:t xml:space="preserve">a </w:t>
      </w:r>
      <w:r w:rsidR="00C039C9" w:rsidRPr="006325C2">
        <w:t>number</w:t>
      </w:r>
      <w:r w:rsidR="00565990" w:rsidRPr="006325C2">
        <w:t xml:space="preserve"> of </w:t>
      </w:r>
      <w:r w:rsidR="00036FE2" w:rsidRPr="006325C2">
        <w:t>subgroup analys</w:t>
      </w:r>
      <w:r w:rsidR="00565990" w:rsidRPr="006325C2">
        <w:t>e</w:t>
      </w:r>
      <w:r w:rsidR="00036FE2" w:rsidRPr="006325C2">
        <w:t xml:space="preserve">s </w:t>
      </w:r>
      <w:r w:rsidR="002C39C3" w:rsidRPr="006325C2">
        <w:t xml:space="preserve">and did not find significant effect modifications by these factors except stage. Moreover, we found little evidence </w:t>
      </w:r>
      <w:r w:rsidR="000D079B" w:rsidRPr="006325C2">
        <w:t xml:space="preserve">that patient tumor characteristics, including stage and histology, were associated with </w:t>
      </w:r>
      <w:r w:rsidR="002C39C3" w:rsidRPr="006325C2">
        <w:t>prediagnostic calcium intake</w:t>
      </w:r>
      <w:r w:rsidR="000D079B" w:rsidRPr="006325C2">
        <w:t xml:space="preserve">, </w:t>
      </w:r>
      <w:r w:rsidR="002C39C3" w:rsidRPr="006325C2">
        <w:t xml:space="preserve">suggesting that these clinical </w:t>
      </w:r>
      <w:r w:rsidR="00565990" w:rsidRPr="006325C2">
        <w:t>factors</w:t>
      </w:r>
      <w:r w:rsidR="002C39C3" w:rsidRPr="006325C2">
        <w:t xml:space="preserve"> </w:t>
      </w:r>
      <w:r w:rsidR="00981509" w:rsidRPr="006325C2">
        <w:t>were unlikely to</w:t>
      </w:r>
      <w:r w:rsidR="002C39C3" w:rsidRPr="006325C2">
        <w:t xml:space="preserve"> </w:t>
      </w:r>
      <w:r w:rsidR="0087492A" w:rsidRPr="006325C2">
        <w:t xml:space="preserve">substantially </w:t>
      </w:r>
      <w:r w:rsidR="000D079B" w:rsidRPr="006325C2">
        <w:t xml:space="preserve">confound the association between </w:t>
      </w:r>
      <w:r w:rsidR="00063057" w:rsidRPr="006325C2">
        <w:t xml:space="preserve">usual </w:t>
      </w:r>
      <w:r w:rsidR="000D079B" w:rsidRPr="006325C2">
        <w:t xml:space="preserve">calcium intake and lung cancer survival. </w:t>
      </w:r>
      <w:r w:rsidR="005B74CD" w:rsidRPr="006325C2">
        <w:t xml:space="preserve">Third, </w:t>
      </w:r>
      <w:r w:rsidR="00035DCE" w:rsidRPr="006325C2">
        <w:t xml:space="preserve">despite the large number of lung cancer patients followed, </w:t>
      </w:r>
      <w:r w:rsidR="00952EAD" w:rsidRPr="006325C2">
        <w:t xml:space="preserve">statistical power remained </w:t>
      </w:r>
      <w:r w:rsidR="00273808" w:rsidRPr="006325C2">
        <w:t>limited</w:t>
      </w:r>
      <w:r w:rsidR="00952EAD" w:rsidRPr="006325C2">
        <w:t xml:space="preserve"> in certain </w:t>
      </w:r>
      <w:r w:rsidR="00063057" w:rsidRPr="006325C2">
        <w:t>analyses</w:t>
      </w:r>
      <w:r w:rsidR="00952EAD" w:rsidRPr="006325C2">
        <w:t xml:space="preserve">, </w:t>
      </w:r>
      <w:r w:rsidR="00FE75EA" w:rsidRPr="006325C2">
        <w:t>such as</w:t>
      </w:r>
      <w:r w:rsidR="00952EAD" w:rsidRPr="006325C2">
        <w:t xml:space="preserve"> </w:t>
      </w:r>
      <w:r w:rsidR="00EE45D9" w:rsidRPr="006325C2">
        <w:t xml:space="preserve">the </w:t>
      </w:r>
      <w:r w:rsidR="00952EAD" w:rsidRPr="006325C2">
        <w:t>interaction analysis</w:t>
      </w:r>
      <w:r w:rsidR="00EE45D9" w:rsidRPr="006325C2">
        <w:t xml:space="preserve"> </w:t>
      </w:r>
      <w:r w:rsidR="00063057" w:rsidRPr="006325C2">
        <w:t>by</w:t>
      </w:r>
      <w:r w:rsidR="00EE45D9" w:rsidRPr="006325C2">
        <w:t xml:space="preserve"> race/ethnicity </w:t>
      </w:r>
      <w:r w:rsidR="00063057" w:rsidRPr="006325C2">
        <w:t xml:space="preserve">(due to </w:t>
      </w:r>
      <w:r w:rsidR="00EE45D9" w:rsidRPr="006325C2">
        <w:t>a small number of black participants</w:t>
      </w:r>
      <w:r w:rsidR="00063057" w:rsidRPr="006325C2">
        <w:t>)</w:t>
      </w:r>
      <w:r w:rsidR="00DF6744" w:rsidRPr="006325C2">
        <w:t xml:space="preserve"> and </w:t>
      </w:r>
      <w:r w:rsidR="00D677AD" w:rsidRPr="006325C2">
        <w:t xml:space="preserve">the analysis </w:t>
      </w:r>
      <w:r w:rsidR="00DF6744" w:rsidRPr="006325C2">
        <w:t>among never smokers</w:t>
      </w:r>
      <w:r w:rsidR="00EE45D9" w:rsidRPr="006325C2">
        <w:t>.</w:t>
      </w:r>
      <w:r w:rsidR="00DF6744" w:rsidRPr="006325C2">
        <w:t xml:space="preserve"> </w:t>
      </w:r>
      <w:r w:rsidR="00035DCE" w:rsidRPr="006325C2">
        <w:t xml:space="preserve">Finally, </w:t>
      </w:r>
      <w:r w:rsidR="00952EAD" w:rsidRPr="006325C2">
        <w:t xml:space="preserve">we </w:t>
      </w:r>
      <w:r w:rsidR="00981509" w:rsidRPr="006325C2">
        <w:t xml:space="preserve">could not separate </w:t>
      </w:r>
      <w:r w:rsidR="0087492A" w:rsidRPr="006325C2">
        <w:t xml:space="preserve">the </w:t>
      </w:r>
      <w:r w:rsidR="00981509" w:rsidRPr="006325C2">
        <w:t>effects of calcium from</w:t>
      </w:r>
      <w:r w:rsidR="00A141B0" w:rsidRPr="006325C2">
        <w:t xml:space="preserve"> related nutrients, </w:t>
      </w:r>
      <w:r w:rsidR="00642512" w:rsidRPr="006325C2">
        <w:t>including</w:t>
      </w:r>
      <w:r w:rsidR="00A141B0" w:rsidRPr="006325C2">
        <w:t xml:space="preserve"> vitamin D, magnesium, phosphorus, </w:t>
      </w:r>
      <w:r w:rsidR="00035DCE" w:rsidRPr="006325C2">
        <w:t>and other nutrients in calcium-rich foods (</w:t>
      </w:r>
      <w:r w:rsidR="00612192" w:rsidRPr="006325C2">
        <w:t xml:space="preserve">dairy products, soy foods, and </w:t>
      </w:r>
      <w:r w:rsidR="00035DCE" w:rsidRPr="006325C2">
        <w:t>green leafy vegetables)</w:t>
      </w:r>
      <w:r w:rsidR="00273808" w:rsidRPr="006325C2">
        <w:t>,</w:t>
      </w:r>
      <w:r w:rsidR="00035DCE" w:rsidRPr="006325C2">
        <w:t xml:space="preserve"> that may contribute to the </w:t>
      </w:r>
      <w:r w:rsidR="00642512" w:rsidRPr="006325C2">
        <w:t>observed associations</w:t>
      </w:r>
      <w:r w:rsidR="00035DCE" w:rsidRPr="006325C2">
        <w:t>.</w:t>
      </w:r>
      <w:r w:rsidR="0056788A" w:rsidRPr="006325C2">
        <w:t xml:space="preserve"> </w:t>
      </w:r>
      <w:r w:rsidR="00612192" w:rsidRPr="006325C2">
        <w:t>Particularly, t</w:t>
      </w:r>
      <w:r w:rsidR="0056788A" w:rsidRPr="006325C2">
        <w:t>he association of prediagnostic gree</w:t>
      </w:r>
      <w:r w:rsidR="004E3984" w:rsidRPr="006325C2">
        <w:t>n leafy vegetable intake with</w:t>
      </w:r>
      <w:r w:rsidR="0056788A" w:rsidRPr="006325C2">
        <w:t xml:space="preserve"> better lung cancer survival is worth further investigation. </w:t>
      </w:r>
      <w:r w:rsidR="00612192" w:rsidRPr="006325C2">
        <w:t>W</w:t>
      </w:r>
      <w:r w:rsidR="001A54C7" w:rsidRPr="006325C2">
        <w:t>e</w:t>
      </w:r>
      <w:r w:rsidR="00612192" w:rsidRPr="006325C2">
        <w:t xml:space="preserve"> also</w:t>
      </w:r>
      <w:r w:rsidR="001A54C7" w:rsidRPr="006325C2">
        <w:t xml:space="preserve"> could not rule out the possibility of residual confounding</w:t>
      </w:r>
      <w:r w:rsidR="00376067" w:rsidRPr="006325C2">
        <w:t xml:space="preserve"> from unknown confounders and imperfectly measured co</w:t>
      </w:r>
      <w:r w:rsidR="00D82F13" w:rsidRPr="006325C2">
        <w:t>variates, which</w:t>
      </w:r>
      <w:r w:rsidR="00376067" w:rsidRPr="006325C2">
        <w:t xml:space="preserve"> may be particularly challenging in pooling projects </w:t>
      </w:r>
      <w:r w:rsidR="00784046" w:rsidRPr="006325C2">
        <w:t xml:space="preserve">that use </w:t>
      </w:r>
      <w:r w:rsidR="00BB61BD" w:rsidRPr="006325C2">
        <w:t>harmoniz</w:t>
      </w:r>
      <w:r w:rsidR="00D82F13" w:rsidRPr="006325C2">
        <w:t xml:space="preserve">ed </w:t>
      </w:r>
      <w:r w:rsidR="00376067" w:rsidRPr="006325C2">
        <w:t xml:space="preserve">data from </w:t>
      </w:r>
      <w:r w:rsidR="0020425C" w:rsidRPr="006325C2">
        <w:t>multiple</w:t>
      </w:r>
      <w:r w:rsidR="00376067" w:rsidRPr="006325C2">
        <w:t xml:space="preserve"> studies.   </w:t>
      </w:r>
      <w:r w:rsidR="001A54C7" w:rsidRPr="006325C2">
        <w:t xml:space="preserve"> </w:t>
      </w:r>
      <w:r w:rsidR="00096397" w:rsidRPr="006325C2">
        <w:t xml:space="preserve">  </w:t>
      </w:r>
    </w:p>
    <w:p w:rsidR="00C955B5" w:rsidRPr="006325C2" w:rsidRDefault="00D82F13" w:rsidP="00434502">
      <w:pPr>
        <w:spacing w:before="60" w:after="0" w:line="480" w:lineRule="auto"/>
        <w:ind w:firstLine="360"/>
      </w:pPr>
      <w:r w:rsidRPr="006325C2">
        <w:t xml:space="preserve">Strengths of our study include its prospective design, large sample size, and pooled </w:t>
      </w:r>
      <w:r w:rsidR="00D677AD" w:rsidRPr="006325C2">
        <w:t xml:space="preserve">data </w:t>
      </w:r>
      <w:r w:rsidRPr="006325C2">
        <w:t>analysis. By including only</w:t>
      </w:r>
      <w:r w:rsidR="0041705F" w:rsidRPr="006325C2">
        <w:t xml:space="preserve"> prospective cohort studies and</w:t>
      </w:r>
      <w:r w:rsidR="00C039C9" w:rsidRPr="006325C2">
        <w:t xml:space="preserve"> </w:t>
      </w:r>
      <w:r w:rsidR="0041705F" w:rsidRPr="006325C2">
        <w:t xml:space="preserve">first primary lung cancer cases, we minimized the reverse causality and </w:t>
      </w:r>
      <w:r w:rsidR="00C42854" w:rsidRPr="006325C2">
        <w:t xml:space="preserve">biases of </w:t>
      </w:r>
      <w:r w:rsidR="0041705F" w:rsidRPr="006325C2">
        <w:t>recall and selection.</w:t>
      </w:r>
      <w:r w:rsidR="00A82C2B" w:rsidRPr="006325C2">
        <w:t xml:space="preserve"> By obtaining </w:t>
      </w:r>
      <w:r w:rsidR="00A4172B" w:rsidRPr="006325C2">
        <w:t xml:space="preserve">individual-level </w:t>
      </w:r>
      <w:r w:rsidR="00A82C2B" w:rsidRPr="006325C2">
        <w:t>data from 12 cohort studies</w:t>
      </w:r>
      <w:r w:rsidR="00273808" w:rsidRPr="006325C2">
        <w:t xml:space="preserve"> in three continents</w:t>
      </w:r>
      <w:r w:rsidR="00A82C2B" w:rsidRPr="006325C2">
        <w:t>, we established one of the largest</w:t>
      </w:r>
      <w:r w:rsidR="002D54F2" w:rsidRPr="006325C2">
        <w:t xml:space="preserve"> </w:t>
      </w:r>
      <w:r w:rsidR="00273808" w:rsidRPr="006325C2">
        <w:t xml:space="preserve">cohort </w:t>
      </w:r>
      <w:r w:rsidR="002D54F2" w:rsidRPr="006325C2">
        <w:t>consorti</w:t>
      </w:r>
      <w:r w:rsidR="0087492A" w:rsidRPr="006325C2">
        <w:t>a</w:t>
      </w:r>
      <w:r w:rsidR="00A82C2B" w:rsidRPr="006325C2">
        <w:t xml:space="preserve"> </w:t>
      </w:r>
      <w:r w:rsidR="002D54F2" w:rsidRPr="006325C2">
        <w:t xml:space="preserve">for investigation of nutrition on </w:t>
      </w:r>
      <w:r w:rsidR="00A82C2B" w:rsidRPr="006325C2">
        <w:t>lung cancer</w:t>
      </w:r>
      <w:r w:rsidR="002D54F2" w:rsidRPr="006325C2">
        <w:t xml:space="preserve"> risk and prognosis</w:t>
      </w:r>
      <w:r w:rsidR="00A82C2B" w:rsidRPr="006325C2">
        <w:t xml:space="preserve">, with </w:t>
      </w:r>
      <w:r w:rsidR="00C039C9" w:rsidRPr="006325C2">
        <w:t xml:space="preserve">common </w:t>
      </w:r>
      <w:r w:rsidR="00A4172B" w:rsidRPr="006325C2">
        <w:t>variables</w:t>
      </w:r>
      <w:r w:rsidR="00A82C2B" w:rsidRPr="006325C2">
        <w:t xml:space="preserve"> on prediagnostic </w:t>
      </w:r>
      <w:r w:rsidR="00D677AD" w:rsidRPr="006325C2">
        <w:t xml:space="preserve">diet </w:t>
      </w:r>
      <w:r w:rsidR="00A82C2B" w:rsidRPr="006325C2">
        <w:t xml:space="preserve">and lifestyle habits, cancer diagnosis, </w:t>
      </w:r>
      <w:r w:rsidR="00406860" w:rsidRPr="006325C2">
        <w:t xml:space="preserve">tumor characteristics, </w:t>
      </w:r>
      <w:r w:rsidR="00A82C2B" w:rsidRPr="006325C2">
        <w:t>and survival status.</w:t>
      </w:r>
      <w:r w:rsidR="0020425C" w:rsidRPr="006325C2">
        <w:t xml:space="preserve"> </w:t>
      </w:r>
      <w:r w:rsidR="008403AD" w:rsidRPr="006325C2">
        <w:t>This enabled us to</w:t>
      </w:r>
      <w:r w:rsidR="0020425C" w:rsidRPr="006325C2">
        <w:t xml:space="preserve"> evaluate the associations among </w:t>
      </w:r>
      <w:r w:rsidR="008403AD" w:rsidRPr="006325C2">
        <w:t xml:space="preserve">populations with </w:t>
      </w:r>
      <w:r w:rsidR="00205EB9" w:rsidRPr="006325C2">
        <w:t xml:space="preserve">a broad range of </w:t>
      </w:r>
      <w:r w:rsidR="008403AD" w:rsidRPr="006325C2">
        <w:t xml:space="preserve">exposures and clinical characteristics </w:t>
      </w:r>
      <w:r w:rsidR="008F6170" w:rsidRPr="006325C2">
        <w:t>(</w:t>
      </w:r>
      <w:r w:rsidR="008403AD" w:rsidRPr="006325C2">
        <w:t>such as extremely low and high calcium intake and early stage of lung cancer</w:t>
      </w:r>
      <w:r w:rsidR="008F6170" w:rsidRPr="006325C2">
        <w:t>)</w:t>
      </w:r>
      <w:r w:rsidR="00273808" w:rsidRPr="006325C2">
        <w:t>, which</w:t>
      </w:r>
      <w:r w:rsidR="0087492A" w:rsidRPr="006325C2">
        <w:t xml:space="preserve"> </w:t>
      </w:r>
      <w:r w:rsidR="00FE75EA" w:rsidRPr="006325C2">
        <w:t xml:space="preserve">would be difficult for </w:t>
      </w:r>
      <w:r w:rsidR="008403AD" w:rsidRPr="006325C2">
        <w:t>any single cohort study</w:t>
      </w:r>
      <w:r w:rsidR="00FE75EA" w:rsidRPr="006325C2">
        <w:t xml:space="preserve"> to investigate</w:t>
      </w:r>
      <w:r w:rsidR="008403AD" w:rsidRPr="006325C2">
        <w:t xml:space="preserve">. Access </w:t>
      </w:r>
      <w:r w:rsidR="0087492A" w:rsidRPr="006325C2">
        <w:t>to</w:t>
      </w:r>
      <w:r w:rsidR="008403AD" w:rsidRPr="006325C2">
        <w:t xml:space="preserve"> ind</w:t>
      </w:r>
      <w:r w:rsidR="00EB3276" w:rsidRPr="006325C2">
        <w:t>ividual</w:t>
      </w:r>
      <w:r w:rsidR="00035DCE" w:rsidRPr="006325C2">
        <w:t>-level</w:t>
      </w:r>
      <w:r w:rsidR="00EB3276" w:rsidRPr="006325C2">
        <w:t xml:space="preserve"> data also allowed us to</w:t>
      </w:r>
      <w:r w:rsidR="00CD0FB7" w:rsidRPr="006325C2">
        <w:t xml:space="preserve"> examine calcium intake</w:t>
      </w:r>
      <w:r w:rsidR="00D85C11" w:rsidRPr="006325C2">
        <w:t xml:space="preserve"> via multiple approaches, i.e.</w:t>
      </w:r>
      <w:r w:rsidR="00CD0FB7" w:rsidRPr="006325C2">
        <w:t xml:space="preserve"> using project-wide cut points</w:t>
      </w:r>
      <w:r w:rsidR="00C42854" w:rsidRPr="006325C2">
        <w:t xml:space="preserve"> </w:t>
      </w:r>
      <w:r w:rsidR="00CD0FB7" w:rsidRPr="006325C2">
        <w:t>as continuous variable</w:t>
      </w:r>
      <w:r w:rsidR="0087492A" w:rsidRPr="006325C2">
        <w:t>s</w:t>
      </w:r>
      <w:r w:rsidR="0098028D" w:rsidRPr="006325C2">
        <w:t xml:space="preserve"> and in a series of sensitivity analyses</w:t>
      </w:r>
      <w:r w:rsidR="00CD0FB7" w:rsidRPr="006325C2">
        <w:t>.</w:t>
      </w:r>
      <w:r w:rsidR="0098028D" w:rsidRPr="006325C2">
        <w:t xml:space="preserve"> </w:t>
      </w:r>
      <w:r w:rsidR="00A243EA" w:rsidRPr="006325C2">
        <w:t xml:space="preserve">Results </w:t>
      </w:r>
      <w:r w:rsidR="005E059E" w:rsidRPr="006325C2">
        <w:t xml:space="preserve">for </w:t>
      </w:r>
      <w:r w:rsidR="00B00308" w:rsidRPr="006325C2">
        <w:t>low dietary calcium intake</w:t>
      </w:r>
      <w:r w:rsidR="005E059E" w:rsidRPr="006325C2">
        <w:t xml:space="preserve"> and </w:t>
      </w:r>
      <w:r w:rsidR="0087492A" w:rsidRPr="006325C2">
        <w:t xml:space="preserve">poorer </w:t>
      </w:r>
      <w:r w:rsidR="00C42854" w:rsidRPr="006325C2">
        <w:t>survival</w:t>
      </w:r>
      <w:r w:rsidR="005E059E" w:rsidRPr="006325C2">
        <w:t xml:space="preserve"> were largely consistent </w:t>
      </w:r>
      <w:r w:rsidR="00E72250" w:rsidRPr="006325C2">
        <w:t>when different statistical approaches</w:t>
      </w:r>
      <w:r w:rsidR="00C039C9" w:rsidRPr="006325C2">
        <w:t xml:space="preserve"> were used</w:t>
      </w:r>
      <w:r w:rsidR="005E059E" w:rsidRPr="006325C2">
        <w:t xml:space="preserve">.  </w:t>
      </w:r>
      <w:r w:rsidR="000D224C" w:rsidRPr="006325C2">
        <w:t xml:space="preserve">  </w:t>
      </w:r>
    </w:p>
    <w:p w:rsidR="00B22BAA" w:rsidRPr="006325C2" w:rsidRDefault="000C190C" w:rsidP="00434502">
      <w:pPr>
        <w:spacing w:before="60" w:after="0" w:line="480" w:lineRule="auto"/>
        <w:ind w:firstLine="360"/>
      </w:pPr>
      <w:r w:rsidRPr="006325C2">
        <w:t xml:space="preserve">In summary, in this pooled analysis of 12 cohort studies, we found that low </w:t>
      </w:r>
      <w:r w:rsidR="00035DCE" w:rsidRPr="006325C2">
        <w:t xml:space="preserve">prediagnostic </w:t>
      </w:r>
      <w:r w:rsidRPr="006325C2">
        <w:t xml:space="preserve">dietary calcium intake (&lt;500-600 mg/d) </w:t>
      </w:r>
      <w:r w:rsidR="00302FC7" w:rsidRPr="006325C2">
        <w:t>was associated with</w:t>
      </w:r>
      <w:r w:rsidR="00724290" w:rsidRPr="006325C2">
        <w:t xml:space="preserve"> </w:t>
      </w:r>
      <w:r w:rsidR="00035DCE" w:rsidRPr="006325C2">
        <w:t>a small</w:t>
      </w:r>
      <w:r w:rsidR="00205EB9" w:rsidRPr="006325C2">
        <w:t xml:space="preserve"> but significantly</w:t>
      </w:r>
      <w:r w:rsidR="00035DCE" w:rsidRPr="006325C2">
        <w:t xml:space="preserve"> </w:t>
      </w:r>
      <w:r w:rsidR="00724290" w:rsidRPr="006325C2">
        <w:t>increase</w:t>
      </w:r>
      <w:r w:rsidR="00205EB9" w:rsidRPr="006325C2">
        <w:t>d</w:t>
      </w:r>
      <w:r w:rsidR="00724290" w:rsidRPr="006325C2">
        <w:t xml:space="preserve"> risk of death </w:t>
      </w:r>
      <w:r w:rsidR="00035DCE" w:rsidRPr="006325C2">
        <w:t xml:space="preserve">among </w:t>
      </w:r>
      <w:r w:rsidR="00724290" w:rsidRPr="006325C2">
        <w:t>localized and regional</w:t>
      </w:r>
      <w:r w:rsidRPr="006325C2">
        <w:t xml:space="preserve"> stage </w:t>
      </w:r>
      <w:r w:rsidR="00573872" w:rsidRPr="006325C2">
        <w:t xml:space="preserve">lung cancer </w:t>
      </w:r>
      <w:r w:rsidRPr="006325C2">
        <w:t xml:space="preserve">patients. </w:t>
      </w:r>
      <w:r w:rsidR="00035DCE" w:rsidRPr="006325C2">
        <w:t>Very</w:t>
      </w:r>
      <w:r w:rsidR="000B1007" w:rsidRPr="006325C2">
        <w:t xml:space="preserve"> </w:t>
      </w:r>
      <w:r w:rsidR="00724290" w:rsidRPr="006325C2">
        <w:t>high calcium intake (&gt;1800 mg/d)</w:t>
      </w:r>
      <w:r w:rsidR="004B7C09" w:rsidRPr="006325C2">
        <w:t>, a possible indication of previous history of calcium deficiency</w:t>
      </w:r>
      <w:r w:rsidR="00A87B51" w:rsidRPr="006325C2">
        <w:t>,</w:t>
      </w:r>
      <w:r w:rsidR="004B7C09" w:rsidRPr="006325C2">
        <w:t xml:space="preserve"> was also</w:t>
      </w:r>
      <w:r w:rsidR="00724290" w:rsidRPr="006325C2">
        <w:t xml:space="preserve"> </w:t>
      </w:r>
      <w:r w:rsidR="00EB253E" w:rsidRPr="006325C2">
        <w:t>associated</w:t>
      </w:r>
      <w:r w:rsidR="00035DCE" w:rsidRPr="006325C2">
        <w:t xml:space="preserve"> with </w:t>
      </w:r>
      <w:r w:rsidR="00FE75EA" w:rsidRPr="006325C2">
        <w:t xml:space="preserve">poorer </w:t>
      </w:r>
      <w:r w:rsidR="00035DCE" w:rsidRPr="006325C2">
        <w:t xml:space="preserve">survival for early-stage </w:t>
      </w:r>
      <w:r w:rsidR="000B387B" w:rsidRPr="006325C2">
        <w:t>female patients</w:t>
      </w:r>
      <w:r w:rsidR="00724290" w:rsidRPr="006325C2">
        <w:t xml:space="preserve">. </w:t>
      </w:r>
      <w:r w:rsidR="00573872" w:rsidRPr="006325C2">
        <w:t xml:space="preserve">More </w:t>
      </w:r>
      <w:r w:rsidR="00B22BAA" w:rsidRPr="006325C2">
        <w:t xml:space="preserve">studies are needed to </w:t>
      </w:r>
      <w:r w:rsidR="00C42854" w:rsidRPr="006325C2">
        <w:t>explore biological mechanisms linking calcium nutrition, calcium homeostasis, bone remodeling, and bone metastasis with lung cancer progression</w:t>
      </w:r>
      <w:r w:rsidR="00984EAF" w:rsidRPr="006325C2">
        <w:t>, as well as</w:t>
      </w:r>
      <w:r w:rsidR="00C42854" w:rsidRPr="006325C2">
        <w:t xml:space="preserve"> to investigate</w:t>
      </w:r>
      <w:r w:rsidR="00B22BAA" w:rsidRPr="006325C2">
        <w:t xml:space="preserve"> </w:t>
      </w:r>
      <w:r w:rsidR="0061788A" w:rsidRPr="006325C2">
        <w:t xml:space="preserve">modifiable </w:t>
      </w:r>
      <w:r w:rsidR="00B22BAA" w:rsidRPr="006325C2">
        <w:t xml:space="preserve">nutrition and lifestyle factors </w:t>
      </w:r>
      <w:r w:rsidR="004B7C09" w:rsidRPr="006325C2">
        <w:t>to reduce</w:t>
      </w:r>
      <w:r w:rsidR="00B22BAA" w:rsidRPr="006325C2">
        <w:t xml:space="preserve"> </w:t>
      </w:r>
      <w:r w:rsidR="00C42854" w:rsidRPr="006325C2">
        <w:t xml:space="preserve">risk and </w:t>
      </w:r>
      <w:r w:rsidR="004B7C09" w:rsidRPr="006325C2">
        <w:t xml:space="preserve">improve </w:t>
      </w:r>
      <w:r w:rsidR="00C42854" w:rsidRPr="006325C2">
        <w:t>survival</w:t>
      </w:r>
      <w:r w:rsidR="004B7C09" w:rsidRPr="006325C2">
        <w:t xml:space="preserve"> for</w:t>
      </w:r>
      <w:r w:rsidR="00C42854" w:rsidRPr="006325C2">
        <w:t xml:space="preserve"> </w:t>
      </w:r>
      <w:r w:rsidR="004B7C09" w:rsidRPr="006325C2">
        <w:t xml:space="preserve">lung cancer, </w:t>
      </w:r>
      <w:r w:rsidR="00B22BAA" w:rsidRPr="006325C2">
        <w:t>the most deadly cancer</w:t>
      </w:r>
      <w:r w:rsidR="00C42854" w:rsidRPr="006325C2">
        <w:t xml:space="preserve"> </w:t>
      </w:r>
      <w:r w:rsidR="00FE75EA" w:rsidRPr="006325C2">
        <w:t>of all</w:t>
      </w:r>
      <w:r w:rsidR="0061788A" w:rsidRPr="006325C2">
        <w:t xml:space="preserve">.   </w:t>
      </w:r>
    </w:p>
    <w:p w:rsidR="00FC11B6" w:rsidRPr="006325C2" w:rsidRDefault="00FC11B6" w:rsidP="00434502">
      <w:pPr>
        <w:spacing w:before="60" w:after="0" w:line="480" w:lineRule="auto"/>
      </w:pPr>
    </w:p>
    <w:p w:rsidR="00FC11B6" w:rsidRPr="006325C2" w:rsidRDefault="00FC11B6" w:rsidP="00434502">
      <w:pPr>
        <w:spacing w:before="60" w:after="0" w:line="480" w:lineRule="auto"/>
      </w:pPr>
      <w:r w:rsidRPr="006325C2">
        <w:br w:type="page"/>
      </w:r>
    </w:p>
    <w:p w:rsidR="00A16BE7" w:rsidRPr="006325C2" w:rsidRDefault="00C575DA" w:rsidP="00434502">
      <w:pPr>
        <w:spacing w:before="60" w:after="0" w:line="480" w:lineRule="auto"/>
        <w:rPr>
          <w:b/>
        </w:rPr>
      </w:pPr>
      <w:r w:rsidRPr="006325C2">
        <w:rPr>
          <w:b/>
        </w:rPr>
        <w:t>Article Information</w:t>
      </w:r>
    </w:p>
    <w:p w:rsidR="00C575DA" w:rsidRPr="006325C2" w:rsidRDefault="00C575DA" w:rsidP="00434502">
      <w:pPr>
        <w:spacing w:before="60" w:after="0" w:line="480" w:lineRule="auto"/>
        <w:rPr>
          <w:b/>
        </w:rPr>
      </w:pPr>
      <w:r w:rsidRPr="006325C2">
        <w:rPr>
          <w:b/>
        </w:rPr>
        <w:t>Corresponding Author:</w:t>
      </w:r>
      <w:r w:rsidR="00B4075D" w:rsidRPr="006325C2">
        <w:t xml:space="preserve"> Xiao-Ou Shu, MD, PhD; Vanderbilt Epidemiology Center, 2525 West End Avenue, Suite 600, Nashville, TN, USA 37203; Tel: 615-936-0713; Email: </w:t>
      </w:r>
      <w:hyperlink r:id="rId9" w:history="1">
        <w:r w:rsidR="00B4075D" w:rsidRPr="006325C2">
          <w:rPr>
            <w:rStyle w:val="Hyperlink"/>
          </w:rPr>
          <w:t>xiao-ou.shu@vanderbilt.edu</w:t>
        </w:r>
      </w:hyperlink>
      <w:r w:rsidR="00B4075D" w:rsidRPr="006325C2">
        <w:t xml:space="preserve"> </w:t>
      </w:r>
    </w:p>
    <w:p w:rsidR="00A16BE7" w:rsidRPr="006325C2" w:rsidRDefault="00A16BE7" w:rsidP="00434502">
      <w:pPr>
        <w:spacing w:before="60" w:after="0" w:line="480" w:lineRule="auto"/>
      </w:pPr>
      <w:r w:rsidRPr="006325C2">
        <w:rPr>
          <w:b/>
        </w:rPr>
        <w:t>Author Contributions:</w:t>
      </w:r>
      <w:r w:rsidR="004B7C09" w:rsidRPr="006325C2">
        <w:rPr>
          <w:b/>
        </w:rPr>
        <w:t xml:space="preserve"> </w:t>
      </w:r>
      <w:r w:rsidR="004B7C09" w:rsidRPr="006325C2">
        <w:t>D Yu and</w:t>
      </w:r>
      <w:r w:rsidRPr="006325C2">
        <w:t xml:space="preserve"> </w:t>
      </w:r>
      <w:r w:rsidR="00437BA2" w:rsidRPr="006325C2">
        <w:t>XO</w:t>
      </w:r>
      <w:r w:rsidRPr="006325C2">
        <w:t xml:space="preserve"> Shu ha</w:t>
      </w:r>
      <w:r w:rsidR="00044834" w:rsidRPr="006325C2">
        <w:t>ve</w:t>
      </w:r>
      <w:r w:rsidRPr="006325C2">
        <w:t xml:space="preserve"> full access to all of</w:t>
      </w:r>
      <w:r w:rsidR="00044834" w:rsidRPr="006325C2">
        <w:t xml:space="preserve"> the data in the study and take</w:t>
      </w:r>
      <w:r w:rsidRPr="006325C2">
        <w:t xml:space="preserve"> responsibility for the integrity of the data and the accuracy of the data analysis. </w:t>
      </w:r>
    </w:p>
    <w:p w:rsidR="00D4419B" w:rsidRPr="006325C2" w:rsidRDefault="00A16BE7" w:rsidP="00434502">
      <w:pPr>
        <w:spacing w:before="60" w:after="0" w:line="480" w:lineRule="auto"/>
      </w:pPr>
      <w:r w:rsidRPr="006325C2">
        <w:rPr>
          <w:i/>
        </w:rPr>
        <w:t>Study concept and design</w:t>
      </w:r>
      <w:r w:rsidRPr="006325C2">
        <w:t>:</w:t>
      </w:r>
      <w:r w:rsidR="005068CF" w:rsidRPr="006325C2">
        <w:t xml:space="preserve"> </w:t>
      </w:r>
      <w:r w:rsidR="004B7C09" w:rsidRPr="006325C2">
        <w:t xml:space="preserve"> Y Takata, XO Shu</w:t>
      </w:r>
    </w:p>
    <w:p w:rsidR="00A16BE7" w:rsidRPr="006325C2" w:rsidRDefault="00A16BE7" w:rsidP="00434502">
      <w:pPr>
        <w:spacing w:before="60" w:after="0" w:line="480" w:lineRule="auto"/>
      </w:pPr>
      <w:r w:rsidRPr="006325C2">
        <w:rPr>
          <w:i/>
        </w:rPr>
        <w:t>Acquisition of data</w:t>
      </w:r>
      <w:r w:rsidRPr="006325C2">
        <w:t>:</w:t>
      </w:r>
      <w:r w:rsidR="007C593D" w:rsidRPr="006325C2">
        <w:t xml:space="preserve"> </w:t>
      </w:r>
      <w:r w:rsidR="004B7C09" w:rsidRPr="006325C2">
        <w:t>All contributing authors</w:t>
      </w:r>
    </w:p>
    <w:p w:rsidR="00A16BE7" w:rsidRPr="006325C2" w:rsidRDefault="00A16BE7" w:rsidP="00434502">
      <w:pPr>
        <w:spacing w:before="60" w:after="0" w:line="480" w:lineRule="auto"/>
      </w:pPr>
      <w:r w:rsidRPr="006325C2">
        <w:rPr>
          <w:i/>
        </w:rPr>
        <w:t>Analysis or interpretation of data</w:t>
      </w:r>
      <w:r w:rsidRPr="006325C2">
        <w:t>:</w:t>
      </w:r>
      <w:r w:rsidR="007C593D" w:rsidRPr="006325C2">
        <w:t xml:space="preserve"> </w:t>
      </w:r>
      <w:r w:rsidR="004B7C09" w:rsidRPr="006325C2">
        <w:t>D Y</w:t>
      </w:r>
      <w:r w:rsidR="00A87B51" w:rsidRPr="006325C2">
        <w:t>u</w:t>
      </w:r>
      <w:r w:rsidR="004B7C09" w:rsidRPr="006325C2">
        <w:t xml:space="preserve">, Y Takata, XO Shu </w:t>
      </w:r>
    </w:p>
    <w:p w:rsidR="00A16BE7" w:rsidRPr="006325C2" w:rsidRDefault="00A16BE7" w:rsidP="00434502">
      <w:pPr>
        <w:spacing w:before="60" w:after="0" w:line="480" w:lineRule="auto"/>
        <w:rPr>
          <w:rStyle w:val="acknowledgements"/>
        </w:rPr>
      </w:pPr>
      <w:r w:rsidRPr="006325C2">
        <w:rPr>
          <w:rStyle w:val="acknowledgements"/>
          <w:i/>
          <w:iCs/>
        </w:rPr>
        <w:t>Drafting of the manuscript</w:t>
      </w:r>
      <w:r w:rsidRPr="006325C2">
        <w:rPr>
          <w:rStyle w:val="acknowledgements"/>
          <w:iCs/>
        </w:rPr>
        <w:t>:</w:t>
      </w:r>
      <w:r w:rsidR="007C593D" w:rsidRPr="006325C2">
        <w:rPr>
          <w:rStyle w:val="acknowledgements"/>
          <w:iCs/>
        </w:rPr>
        <w:t xml:space="preserve"> </w:t>
      </w:r>
      <w:r w:rsidR="00044834" w:rsidRPr="006325C2">
        <w:rPr>
          <w:rStyle w:val="acknowledgements"/>
          <w:iCs/>
        </w:rPr>
        <w:t xml:space="preserve">D </w:t>
      </w:r>
      <w:r w:rsidR="005068CF" w:rsidRPr="006325C2">
        <w:t xml:space="preserve">Yu, </w:t>
      </w:r>
      <w:r w:rsidR="00044834" w:rsidRPr="006325C2">
        <w:t xml:space="preserve">XO </w:t>
      </w:r>
      <w:r w:rsidR="00D4419B" w:rsidRPr="006325C2">
        <w:t>Shu</w:t>
      </w:r>
    </w:p>
    <w:p w:rsidR="00A16BE7" w:rsidRPr="006325C2" w:rsidRDefault="00A16BE7" w:rsidP="00434502">
      <w:pPr>
        <w:spacing w:before="60" w:after="0" w:line="480" w:lineRule="auto"/>
      </w:pPr>
      <w:r w:rsidRPr="006325C2">
        <w:rPr>
          <w:rStyle w:val="acknowledgements"/>
          <w:iCs/>
        </w:rPr>
        <w:t>C</w:t>
      </w:r>
      <w:r w:rsidRPr="006325C2">
        <w:rPr>
          <w:rStyle w:val="acknowledgements"/>
          <w:i/>
          <w:iCs/>
        </w:rPr>
        <w:t>ritical revision of the manuscript for important intellectual content:</w:t>
      </w:r>
      <w:r w:rsidR="00044834" w:rsidRPr="006325C2">
        <w:rPr>
          <w:rStyle w:val="acknowledgements"/>
          <w:i/>
          <w:iCs/>
        </w:rPr>
        <w:t xml:space="preserve"> </w:t>
      </w:r>
      <w:r w:rsidR="00044834" w:rsidRPr="006325C2">
        <w:rPr>
          <w:rStyle w:val="acknowledgements"/>
          <w:iCs/>
        </w:rPr>
        <w:t xml:space="preserve">D Yu, Y Takata, Y Park, L Liao, E </w:t>
      </w:r>
      <w:r w:rsidR="00044834" w:rsidRPr="006325C2">
        <w:t xml:space="preserve">Giovannucci, </w:t>
      </w:r>
      <w:r w:rsidR="00234408" w:rsidRPr="006325C2">
        <w:t xml:space="preserve">S Smith-Warner, X Zhang, R Kim, N Freedman, W Blot, E White, J Mattias, A Langhammer, N Sawada, YB Xiang, G Yang, W Zheng, XO Shu  </w:t>
      </w:r>
      <w:r w:rsidR="00044834" w:rsidRPr="006325C2">
        <w:rPr>
          <w:rStyle w:val="acknowledgements"/>
          <w:iCs/>
        </w:rPr>
        <w:t xml:space="preserve">   </w:t>
      </w:r>
    </w:p>
    <w:p w:rsidR="00A16BE7" w:rsidRPr="006325C2" w:rsidRDefault="00A16BE7" w:rsidP="00434502">
      <w:pPr>
        <w:spacing w:before="60" w:after="0" w:line="480" w:lineRule="auto"/>
      </w:pPr>
      <w:r w:rsidRPr="006325C2">
        <w:rPr>
          <w:rStyle w:val="acknowledgements"/>
          <w:i/>
          <w:iCs/>
        </w:rPr>
        <w:t>Obtained funding:</w:t>
      </w:r>
      <w:r w:rsidR="00437BA2" w:rsidRPr="006325C2">
        <w:rPr>
          <w:rStyle w:val="acknowledgements"/>
          <w:iCs/>
        </w:rPr>
        <w:t xml:space="preserve"> </w:t>
      </w:r>
      <w:r w:rsidR="004B7C09" w:rsidRPr="006325C2">
        <w:rPr>
          <w:rStyle w:val="acknowledgements"/>
          <w:iCs/>
        </w:rPr>
        <w:t>Y Takata, XO Shu</w:t>
      </w:r>
    </w:p>
    <w:p w:rsidR="00A16BE7" w:rsidRPr="006325C2" w:rsidRDefault="00A16BE7" w:rsidP="00434502">
      <w:pPr>
        <w:spacing w:before="60" w:after="0" w:line="480" w:lineRule="auto"/>
      </w:pPr>
      <w:r w:rsidRPr="006325C2">
        <w:rPr>
          <w:rStyle w:val="acknowledgements"/>
          <w:i/>
          <w:iCs/>
        </w:rPr>
        <w:t>Administrative, technical, or material support</w:t>
      </w:r>
      <w:r w:rsidR="00A87B51" w:rsidRPr="006325C2">
        <w:rPr>
          <w:rStyle w:val="acknowledgements"/>
          <w:i/>
          <w:iCs/>
        </w:rPr>
        <w:t xml:space="preserve"> and study supervision</w:t>
      </w:r>
      <w:r w:rsidRPr="006325C2">
        <w:rPr>
          <w:rStyle w:val="acknowledgements"/>
          <w:i/>
          <w:iCs/>
        </w:rPr>
        <w:t>:</w:t>
      </w:r>
      <w:r w:rsidR="00A87B51" w:rsidRPr="006325C2">
        <w:rPr>
          <w:rStyle w:val="acknowledgements"/>
          <w:iCs/>
        </w:rPr>
        <w:t xml:space="preserve"> XO Shu</w:t>
      </w:r>
      <w:r w:rsidRPr="006325C2">
        <w:t xml:space="preserve">. </w:t>
      </w:r>
    </w:p>
    <w:p w:rsidR="00C575DA" w:rsidRPr="006325C2" w:rsidRDefault="00C575DA" w:rsidP="00434502">
      <w:pPr>
        <w:spacing w:before="60" w:after="0" w:line="480" w:lineRule="auto"/>
      </w:pPr>
      <w:r w:rsidRPr="006325C2">
        <w:rPr>
          <w:b/>
        </w:rPr>
        <w:t>Conflict of Interest Disclosures</w:t>
      </w:r>
      <w:r w:rsidRPr="006325C2">
        <w:t>: All authors have completed and submitted the ICMJE Form for Disclosure of Potential Conflicts of Interest and none were reported.</w:t>
      </w:r>
    </w:p>
    <w:p w:rsidR="00C575DA" w:rsidRPr="006325C2" w:rsidRDefault="00C575DA" w:rsidP="00434502">
      <w:pPr>
        <w:spacing w:before="60" w:after="0" w:line="480" w:lineRule="auto"/>
      </w:pPr>
      <w:r w:rsidRPr="006325C2">
        <w:rPr>
          <w:b/>
        </w:rPr>
        <w:t>Funding/Support:</w:t>
      </w:r>
      <w:r w:rsidRPr="006325C2">
        <w:t xml:space="preserve"> This work was supported by </w:t>
      </w:r>
      <w:r w:rsidR="00B119CE" w:rsidRPr="006325C2">
        <w:t xml:space="preserve">a </w:t>
      </w:r>
      <w:r w:rsidRPr="006325C2">
        <w:t>grant from the National Cancer Institute</w:t>
      </w:r>
      <w:r w:rsidR="00A87B51" w:rsidRPr="006325C2">
        <w:t>: R03 CA183021</w:t>
      </w:r>
      <w:r w:rsidRPr="006325C2">
        <w:t xml:space="preserve">. </w:t>
      </w:r>
    </w:p>
    <w:p w:rsidR="00C575DA" w:rsidRPr="006325C2" w:rsidRDefault="00C575DA" w:rsidP="00434502">
      <w:pPr>
        <w:spacing w:before="60" w:after="0" w:line="480" w:lineRule="auto"/>
      </w:pPr>
      <w:r w:rsidRPr="006325C2">
        <w:rPr>
          <w:b/>
        </w:rPr>
        <w:t>Role of Funder/Sponsor:</w:t>
      </w:r>
      <w:r w:rsidRPr="006325C2">
        <w:t xml:space="preserve"> The </w:t>
      </w:r>
      <w:r w:rsidR="00C76B6E" w:rsidRPr="006325C2">
        <w:t>National Cancer Institute</w:t>
      </w:r>
      <w:r w:rsidRPr="006325C2">
        <w:t xml:space="preserve"> had no role in the design and conduct of the study; collection, management, analysis, </w:t>
      </w:r>
      <w:r w:rsidR="00B119CE" w:rsidRPr="006325C2">
        <w:t xml:space="preserve">or </w:t>
      </w:r>
      <w:r w:rsidR="0063236A">
        <w:t>interpretation of the data;</w:t>
      </w:r>
      <w:r w:rsidR="00B119CE" w:rsidRPr="006325C2">
        <w:t xml:space="preserve"> </w:t>
      </w:r>
      <w:r w:rsidRPr="006325C2">
        <w:t xml:space="preserve">preparation, review, or approval of the manuscript; </w:t>
      </w:r>
      <w:r w:rsidR="00B119CE" w:rsidRPr="006325C2">
        <w:t>or</w:t>
      </w:r>
      <w:r w:rsidRPr="006325C2">
        <w:t xml:space="preserve"> decision to submit the manuscript for publication.</w:t>
      </w:r>
    </w:p>
    <w:p w:rsidR="00C76B6E" w:rsidRPr="006325C2" w:rsidRDefault="00C76B6E" w:rsidP="00434502">
      <w:pPr>
        <w:spacing w:before="60" w:after="0" w:line="480" w:lineRule="auto"/>
      </w:pPr>
    </w:p>
    <w:p w:rsidR="00C76B6E" w:rsidRPr="006325C2" w:rsidRDefault="007C593D" w:rsidP="00434502">
      <w:pPr>
        <w:spacing w:before="60" w:after="0" w:line="480" w:lineRule="auto"/>
        <w:rPr>
          <w:b/>
        </w:rPr>
      </w:pPr>
      <w:r w:rsidRPr="006325C2">
        <w:rPr>
          <w:b/>
        </w:rPr>
        <w:t>REFERENCES</w:t>
      </w:r>
    </w:p>
    <w:p w:rsidR="00AB395C" w:rsidRDefault="006E110C" w:rsidP="00AB395C">
      <w:pPr>
        <w:pStyle w:val="Bibliography"/>
      </w:pPr>
      <w:r w:rsidRPr="006325C2">
        <w:rPr>
          <w:b/>
        </w:rPr>
        <w:fldChar w:fldCharType="begin"/>
      </w:r>
      <w:r w:rsidR="00AB395C">
        <w:rPr>
          <w:b/>
        </w:rPr>
        <w:instrText xml:space="preserve"> ADDIN ZOTERO_BIBL {"custom":[]} CSL_BIBLIOGRAPHY </w:instrText>
      </w:r>
      <w:r w:rsidRPr="006325C2">
        <w:rPr>
          <w:b/>
        </w:rPr>
        <w:fldChar w:fldCharType="separate"/>
      </w:r>
      <w:r w:rsidR="00AB395C">
        <w:rPr>
          <w:b/>
          <w:bCs/>
        </w:rPr>
        <w:t>1</w:t>
      </w:r>
      <w:r w:rsidR="00AB395C">
        <w:t>. American Cancer Society: Global Cancer Facts &amp; Figures 3rd Edition. Atlanta: American Cancer Society, 2015</w:t>
      </w:r>
    </w:p>
    <w:p w:rsidR="00AB395C" w:rsidRDefault="00AB395C" w:rsidP="00AB395C">
      <w:pPr>
        <w:pStyle w:val="Bibliography"/>
      </w:pPr>
      <w:r>
        <w:rPr>
          <w:b/>
          <w:bCs/>
        </w:rPr>
        <w:t>2</w:t>
      </w:r>
      <w:r>
        <w:t>. Howlader N, Noone A, Krapcho M, et al: SEER Cancer Statistics Review, 1975-2012. [Internet]. Bethesda, MD, National Cancer Institute, 2015Available from: http://seer.cancer.gov/csr/1975_2012/</w:t>
      </w:r>
    </w:p>
    <w:p w:rsidR="00AB395C" w:rsidRDefault="00AB395C" w:rsidP="00AB395C">
      <w:pPr>
        <w:pStyle w:val="Bibliography"/>
      </w:pPr>
      <w:r>
        <w:rPr>
          <w:b/>
          <w:bCs/>
        </w:rPr>
        <w:t>3</w:t>
      </w:r>
      <w:r>
        <w:t>. Brenner H, Francisci S, de Angelis R, et al: Long-term survival expectations of cancer patients in Europe in 2000–2002. Eur J Cancer 45:1028–1041, 2009</w:t>
      </w:r>
    </w:p>
    <w:p w:rsidR="00AB395C" w:rsidRDefault="00AB395C" w:rsidP="00AB395C">
      <w:pPr>
        <w:pStyle w:val="Bibliography"/>
      </w:pPr>
      <w:r>
        <w:rPr>
          <w:b/>
          <w:bCs/>
        </w:rPr>
        <w:t>4</w:t>
      </w:r>
      <w:r>
        <w:t>. Zeng H, Zheng R, Guo Y, et al: Cancer survival in China, 2003-2005: a population-based study. Int J Cancer J Int Cancer 136:1921–1930, 2015</w:t>
      </w:r>
    </w:p>
    <w:p w:rsidR="00AB395C" w:rsidRDefault="00AB395C" w:rsidP="00AB395C">
      <w:pPr>
        <w:pStyle w:val="Bibliography"/>
      </w:pPr>
      <w:r>
        <w:rPr>
          <w:b/>
          <w:bCs/>
        </w:rPr>
        <w:t>5</w:t>
      </w:r>
      <w:r>
        <w:t>. Sculier J-P, Chansky K, Crowley JJ, et al, International Staging Committee and Participating Institutions: The impact of additional prognostic factors on survival and their relationship with the anatomical extent of disease expressed by the 6th Edition of the TNM Classification of Malignant Tumors and the proposals for the 7th Edition. J Thorac Oncol Off Publ Int Assoc Study Lung Cancer 3:457–466, 2008</w:t>
      </w:r>
    </w:p>
    <w:p w:rsidR="00AB395C" w:rsidRDefault="00AB395C" w:rsidP="00AB395C">
      <w:pPr>
        <w:pStyle w:val="Bibliography"/>
      </w:pPr>
      <w:r>
        <w:rPr>
          <w:b/>
          <w:bCs/>
        </w:rPr>
        <w:t>6</w:t>
      </w:r>
      <w:r>
        <w:t>. Zeng C, Wen W, Morgans AK, et al: Disparities by Race, Age, and Sex in the Improvement of Survival for Major Cancers: Results From the National Cancer Institute Surveillance, Epidemiology, and End Results (SEER) Program in the United States, 1990 to 2010. JAMA Oncol 1:88–96, 2015</w:t>
      </w:r>
    </w:p>
    <w:p w:rsidR="00AB395C" w:rsidRDefault="00AB395C" w:rsidP="00AB395C">
      <w:pPr>
        <w:pStyle w:val="Bibliography"/>
      </w:pPr>
      <w:r>
        <w:rPr>
          <w:b/>
          <w:bCs/>
        </w:rPr>
        <w:t>7</w:t>
      </w:r>
      <w:r>
        <w:t>. Yang G, Shu X-O, Li H-L, et al: Prediagnosis Soy Food Consumption and Lung Cancer Survival in Women. J Clin Oncol 31:1548–1553, 2013</w:t>
      </w:r>
    </w:p>
    <w:p w:rsidR="00AB395C" w:rsidRDefault="00AB395C" w:rsidP="00AB395C">
      <w:pPr>
        <w:pStyle w:val="Bibliography"/>
      </w:pPr>
      <w:r>
        <w:rPr>
          <w:b/>
          <w:bCs/>
        </w:rPr>
        <w:t>8</w:t>
      </w:r>
      <w:r>
        <w:t>. Wu Q-J, Yang G, Zheng W, et al: Pre-diagnostic cruciferous vegetables intake and lung cancer survival among Chinese women. Sci Rep 5:10306, 2015</w:t>
      </w:r>
    </w:p>
    <w:p w:rsidR="00AB395C" w:rsidRDefault="00AB395C" w:rsidP="00AB395C">
      <w:pPr>
        <w:pStyle w:val="Bibliography"/>
      </w:pPr>
      <w:r>
        <w:rPr>
          <w:b/>
          <w:bCs/>
        </w:rPr>
        <w:t>9</w:t>
      </w:r>
      <w:r>
        <w:t>. Hasegawa Y, Ando M, Maemondo M, et al: The role of smoking status on the progression-free survival of non-small cell lung cancer patients harboring activating epidermal growth factor receptor (EGFR) mutations receiving first-line EGFR tyrosine kinase inhibitor versus platinum doublet chemotherapy: a meta-analysis of prospective randomized trials. The Oncologist 20:307–315, 2015</w:t>
      </w:r>
    </w:p>
    <w:p w:rsidR="00AB395C" w:rsidRDefault="00AB395C" w:rsidP="00AB395C">
      <w:pPr>
        <w:pStyle w:val="Bibliography"/>
      </w:pPr>
      <w:r>
        <w:rPr>
          <w:b/>
          <w:bCs/>
        </w:rPr>
        <w:t>10</w:t>
      </w:r>
      <w:r>
        <w:t>. Peterlik M, Grant WB, Cross HS: Calcium, vitamin D and cancer. Anticancer Res 29:3687–3698, 2009</w:t>
      </w:r>
    </w:p>
    <w:p w:rsidR="00AB395C" w:rsidRDefault="00AB395C" w:rsidP="00AB395C">
      <w:pPr>
        <w:pStyle w:val="Bibliography"/>
      </w:pPr>
      <w:r>
        <w:rPr>
          <w:b/>
          <w:bCs/>
        </w:rPr>
        <w:t>11</w:t>
      </w:r>
      <w:r>
        <w:t>. Institute of Medicine (US) Committee to Review Dietary Reference Intakes for Vitamin D and Calcium: Dietary Reference Intakes for Calcium and Vitamin D [Internet]. Washington (DC), National Academies Press (US), 2011[cited 2015 Nov 24] Available from: http://www.ncbi.nlm.nih.gov/books/NBK56070/</w:t>
      </w:r>
    </w:p>
    <w:p w:rsidR="00AB395C" w:rsidRDefault="00AB395C" w:rsidP="00AB395C">
      <w:pPr>
        <w:pStyle w:val="Bibliography"/>
      </w:pPr>
      <w:r>
        <w:rPr>
          <w:b/>
          <w:bCs/>
        </w:rPr>
        <w:t>12</w:t>
      </w:r>
      <w:r>
        <w:t>. Peterlik M, Kállay E, Cross HS: Calcium nutrition and extracellular calcium sensing: relevance for the pathogenesis of osteoporosis, cancer and cardiovascular diseases. Nutrients 5:302–327, 2013</w:t>
      </w:r>
    </w:p>
    <w:p w:rsidR="00AB395C" w:rsidRDefault="00AB395C" w:rsidP="00AB395C">
      <w:pPr>
        <w:pStyle w:val="Bibliography"/>
      </w:pPr>
      <w:r>
        <w:rPr>
          <w:b/>
          <w:bCs/>
        </w:rPr>
        <w:t>13</w:t>
      </w:r>
      <w:r>
        <w:t>. Park Y, Leitzmann MF, Subar AF, et al: Dairy food, calcium, and risk of cancer in the NIH-AARP Diet and Health Study. Arch Intern Med 169:391–401, 2009</w:t>
      </w:r>
    </w:p>
    <w:p w:rsidR="00AB395C" w:rsidRDefault="00AB395C" w:rsidP="00AB395C">
      <w:pPr>
        <w:pStyle w:val="Bibliography"/>
      </w:pPr>
      <w:r>
        <w:rPr>
          <w:b/>
          <w:bCs/>
        </w:rPr>
        <w:t>14</w:t>
      </w:r>
      <w:r>
        <w:t>. Cho E, Smith-Warner SA, Spiegelman D, et al: Dairy foods, calcium, and colorectal cancer: a pooled analysis of 10 cohort studies. J Natl Cancer Inst 96:1015–1022, 2004</w:t>
      </w:r>
    </w:p>
    <w:p w:rsidR="00AB395C" w:rsidRDefault="00AB395C" w:rsidP="00AB395C">
      <w:pPr>
        <w:pStyle w:val="Bibliography"/>
      </w:pPr>
      <w:r>
        <w:rPr>
          <w:b/>
          <w:bCs/>
        </w:rPr>
        <w:t>15</w:t>
      </w:r>
      <w:r>
        <w:t>. Huncharek M, Muscat J, Kupelnick B: Colorectal cancer risk and dietary intake of calcium, vitamin D, and dairy products: a meta-analysis of 26,335 cases from 60 observational studies. Nutr Cancer 61:47–69, 2009</w:t>
      </w:r>
    </w:p>
    <w:p w:rsidR="00AB395C" w:rsidRDefault="00AB395C" w:rsidP="00AB395C">
      <w:pPr>
        <w:pStyle w:val="Bibliography"/>
      </w:pPr>
      <w:r>
        <w:rPr>
          <w:b/>
          <w:bCs/>
        </w:rPr>
        <w:t>16</w:t>
      </w:r>
      <w:r>
        <w:t>. Lin J, Manson JE, Lee I-M, et al: Intakes of calcium and vitamin D and breast cancer risk in women. Arch Intern Med 167:1050–1059, 2007</w:t>
      </w:r>
    </w:p>
    <w:p w:rsidR="00AB395C" w:rsidRDefault="00AB395C" w:rsidP="00AB395C">
      <w:pPr>
        <w:pStyle w:val="Bibliography"/>
      </w:pPr>
      <w:r>
        <w:rPr>
          <w:b/>
          <w:bCs/>
        </w:rPr>
        <w:t>17</w:t>
      </w:r>
      <w:r>
        <w:t>. Chen P, Hu P, Xie D, et al: Meta-analysis of vitamin D, calcium and the prevention of breast cancer. Breast Cancer Res Treat 121:469–477, 2010</w:t>
      </w:r>
    </w:p>
    <w:p w:rsidR="00AB395C" w:rsidRDefault="00AB395C" w:rsidP="00AB395C">
      <w:pPr>
        <w:pStyle w:val="Bibliography"/>
      </w:pPr>
      <w:r>
        <w:rPr>
          <w:b/>
          <w:bCs/>
        </w:rPr>
        <w:t>18</w:t>
      </w:r>
      <w:r>
        <w:t>. Wilson KM, Shui IM, Mucci LA, et al: Calcium and phosphorus intake and prostate cancer risk: a 24-y follow-up study. Am J Clin Nutr 101:173–183, 2015</w:t>
      </w:r>
    </w:p>
    <w:p w:rsidR="00AB395C" w:rsidRDefault="00AB395C" w:rsidP="00AB395C">
      <w:pPr>
        <w:pStyle w:val="Bibliography"/>
      </w:pPr>
      <w:r>
        <w:rPr>
          <w:b/>
          <w:bCs/>
        </w:rPr>
        <w:t>19</w:t>
      </w:r>
      <w:r>
        <w:t>. Aune D, Navarro Rosenblatt DA, Chan DSM, et al: Dairy products, calcium, and prostate cancer risk: a systematic review and meta-analysis of cohort studies. Am J Clin Nutr 101:87–117, 2015</w:t>
      </w:r>
    </w:p>
    <w:p w:rsidR="00AB395C" w:rsidRDefault="00AB395C" w:rsidP="00AB395C">
      <w:pPr>
        <w:pStyle w:val="Bibliography"/>
      </w:pPr>
      <w:r>
        <w:rPr>
          <w:b/>
          <w:bCs/>
        </w:rPr>
        <w:t>20</w:t>
      </w:r>
      <w:r>
        <w:t>. Mahabir S, Forman MR, Dong YQ, et al: Mineral intake and lung cancer risk in the NIH-American Association of Retired Persons Diet and Health study. Cancer Epidemiol Biomark Prev Publ Am Assoc Cancer Res Cosponsored Am Soc Prev Oncol 19:1976–1983, 2010</w:t>
      </w:r>
    </w:p>
    <w:p w:rsidR="00AB395C" w:rsidRDefault="00AB395C" w:rsidP="00AB395C">
      <w:pPr>
        <w:pStyle w:val="Bibliography"/>
      </w:pPr>
      <w:r>
        <w:rPr>
          <w:b/>
          <w:bCs/>
        </w:rPr>
        <w:t>21</w:t>
      </w:r>
      <w:r>
        <w:t>. Li K, Kaaks R, Linseisen J, et al: Dietary calcium and magnesium intake in relation to cancer incidence and mortality in a German prospective cohort (EPIC-Heidelberg). Cancer Causes Control CCC 22:1375–1382, 2011</w:t>
      </w:r>
    </w:p>
    <w:p w:rsidR="00AB395C" w:rsidRDefault="00AB395C" w:rsidP="00AB395C">
      <w:pPr>
        <w:pStyle w:val="Bibliography"/>
      </w:pPr>
      <w:r>
        <w:rPr>
          <w:b/>
          <w:bCs/>
        </w:rPr>
        <w:t>22</w:t>
      </w:r>
      <w:r>
        <w:t>. Takata Y, Shu X-O, Yang G, et al: Calcium intake and lung cancer risk among female nonsmokers: a report from the Shanghai Women’s Health Study. Cancer Epidemiol Biomark Prev Publ Am Assoc Cancer Res Cosponsored Am Soc Prev Oncol 22:50–57, 2013</w:t>
      </w:r>
    </w:p>
    <w:p w:rsidR="00AB395C" w:rsidRDefault="00AB395C" w:rsidP="00AB395C">
      <w:pPr>
        <w:pStyle w:val="Bibliography"/>
      </w:pPr>
      <w:r>
        <w:rPr>
          <w:b/>
          <w:bCs/>
        </w:rPr>
        <w:t>23</w:t>
      </w:r>
      <w:r>
        <w:t>. Dik VK, Murphy N, Siersema PD, et al: Prediagnostic intake of dairy products and dietary calcium and colorectal cancer survival--results from the EPIC cohort study. Cancer Epidemiol Biomark Prev Publ Am Assoc Cancer Res Cosponsored Am Soc Prev Oncol 23:1813–1823, 2014</w:t>
      </w:r>
    </w:p>
    <w:p w:rsidR="00AB395C" w:rsidRDefault="00AB395C" w:rsidP="00AB395C">
      <w:pPr>
        <w:pStyle w:val="Bibliography"/>
      </w:pPr>
      <w:r>
        <w:rPr>
          <w:b/>
          <w:bCs/>
        </w:rPr>
        <w:t>24</w:t>
      </w:r>
      <w:r>
        <w:t>. Yang B, McCullough ML, Gapstur SM, et al: Calcium, vitamin D, dairy products, and mortality among colorectal cancer survivors: the Cancer Prevention Study-II Nutrition Cohort. J Clin Oncol Off J Am Soc Clin Oncol 32:2335–2343, 2014</w:t>
      </w:r>
    </w:p>
    <w:p w:rsidR="00AB395C" w:rsidRDefault="00AB395C" w:rsidP="00AB395C">
      <w:pPr>
        <w:pStyle w:val="Bibliography"/>
      </w:pPr>
      <w:r>
        <w:rPr>
          <w:b/>
          <w:bCs/>
        </w:rPr>
        <w:t>25</w:t>
      </w:r>
      <w:r>
        <w:t>. Schatzkin A, Subar AF, Thompson FE, et al: Design and serendipity in establishing a large cohort with wide dietary intake distributions : the National Institutes of Health-American Association of Retired Persons Diet and Health Study. Am J Epidemiol 154:1119–1125, 2001</w:t>
      </w:r>
    </w:p>
    <w:p w:rsidR="00AB395C" w:rsidRDefault="00AB395C" w:rsidP="00AB395C">
      <w:pPr>
        <w:pStyle w:val="Bibliography"/>
      </w:pPr>
      <w:r>
        <w:rPr>
          <w:b/>
          <w:bCs/>
        </w:rPr>
        <w:t>26</w:t>
      </w:r>
      <w:r>
        <w:t>. Michaud DS, Liu Y, Meyer M, et al: Periodontal disease, tooth loss, and cancer risk in male health professionals: a prospective cohort study. Lancet Oncol 9:550–558, 2008</w:t>
      </w:r>
    </w:p>
    <w:p w:rsidR="00AB395C" w:rsidRDefault="00AB395C" w:rsidP="00AB395C">
      <w:pPr>
        <w:pStyle w:val="Bibliography"/>
      </w:pPr>
      <w:r>
        <w:rPr>
          <w:b/>
          <w:bCs/>
        </w:rPr>
        <w:t>27</w:t>
      </w:r>
      <w:r>
        <w:t>. Baik CS, Strauss GM, Speizer FE, et al: Reproductive factors, hormone use, and risk for lung cancer in postmenopausal women, the Nurses’ Health Study. Cancer Epidemiol Biomark Prev Publ Am Assoc Cancer Res Cosponsored Am Soc Prev Oncol 19:2525–2533, 2010</w:t>
      </w:r>
    </w:p>
    <w:p w:rsidR="00AB395C" w:rsidRDefault="00AB395C" w:rsidP="00AB395C">
      <w:pPr>
        <w:pStyle w:val="Bibliography"/>
      </w:pPr>
      <w:r>
        <w:rPr>
          <w:b/>
          <w:bCs/>
        </w:rPr>
        <w:t>28</w:t>
      </w:r>
      <w:r>
        <w:t>. Sinner P, Folsom AR, Harnack L, et al: The association of physical activity with lung cancer incidence in a cohort of older women: the Iowa Women’s Health Study. Cancer Epidemiol Biomark Prev Publ Am Assoc Cancer Res Cosponsored Am Soc Prev Oncol 15:2359–2363, 2006</w:t>
      </w:r>
    </w:p>
    <w:p w:rsidR="00AB395C" w:rsidRDefault="00AB395C" w:rsidP="00AB395C">
      <w:pPr>
        <w:pStyle w:val="Bibliography"/>
      </w:pPr>
      <w:r>
        <w:rPr>
          <w:b/>
          <w:bCs/>
        </w:rPr>
        <w:t>29</w:t>
      </w:r>
      <w:r>
        <w:t>. Zhu CS, Pinsky PF, Kramer BS, et al: The prostate, lung, colorectal, and ovarian cancer screening trial and its associated research resource. J Natl Cancer Inst 105:1684–1693, 2013</w:t>
      </w:r>
    </w:p>
    <w:p w:rsidR="00AB395C" w:rsidRDefault="00AB395C" w:rsidP="00AB395C">
      <w:pPr>
        <w:pStyle w:val="Bibliography"/>
      </w:pPr>
      <w:r>
        <w:rPr>
          <w:b/>
          <w:bCs/>
        </w:rPr>
        <w:t>30</w:t>
      </w:r>
      <w:r>
        <w:t>. Signorello LB, Hargreaves MK, Blot WJ: The Southern Community Cohort Study: Investigating Health Disparities. J Health Care Poor Underserved 21:26–37, 2010</w:t>
      </w:r>
    </w:p>
    <w:p w:rsidR="00AB395C" w:rsidRDefault="00AB395C" w:rsidP="00AB395C">
      <w:pPr>
        <w:pStyle w:val="Bibliography"/>
      </w:pPr>
      <w:r>
        <w:rPr>
          <w:b/>
          <w:bCs/>
        </w:rPr>
        <w:t>31</w:t>
      </w:r>
      <w:r>
        <w:t>. White E, Patterson RE, Kristal AR, et al: VITamins And Lifestyle cohort study: study design and characteristics of supplement users. Am J Epidemiol 159:83–93, 2004</w:t>
      </w:r>
    </w:p>
    <w:p w:rsidR="00AB395C" w:rsidRDefault="00AB395C" w:rsidP="00AB395C">
      <w:pPr>
        <w:pStyle w:val="Bibliography"/>
      </w:pPr>
      <w:r>
        <w:rPr>
          <w:b/>
          <w:bCs/>
        </w:rPr>
        <w:t>32</w:t>
      </w:r>
      <w:r>
        <w:t>. Langer RD, White E, Lewis CE, et al: The women’s health initiative observational study: baseline characteristics of participants and reliability of baseline measures. Ann Epidemiol 13:S107–S121, 2003</w:t>
      </w:r>
    </w:p>
    <w:p w:rsidR="00AB395C" w:rsidRDefault="00AB395C" w:rsidP="00AB395C">
      <w:pPr>
        <w:pStyle w:val="Bibliography"/>
      </w:pPr>
      <w:r>
        <w:rPr>
          <w:b/>
          <w:bCs/>
        </w:rPr>
        <w:t>33</w:t>
      </w:r>
      <w:r>
        <w:t>. Riboli E, Hunt KJ, Slimani N, et al: European Prospective Investigation into Cancer and Nutrition (EPIC): study populations and data collection. Public Health Nutr 5:1113–1124, 2002</w:t>
      </w:r>
    </w:p>
    <w:p w:rsidR="00AB395C" w:rsidRDefault="00AB395C" w:rsidP="00AB395C">
      <w:pPr>
        <w:pStyle w:val="Bibliography"/>
      </w:pPr>
      <w:r>
        <w:rPr>
          <w:b/>
          <w:bCs/>
        </w:rPr>
        <w:t>34</w:t>
      </w:r>
      <w:r>
        <w:t>. Tsugane S, Sawada N: The JPHC study: design and some findings on the typical Japanese diet. Jpn J Clin Oncol 44:777–782, 2014</w:t>
      </w:r>
    </w:p>
    <w:p w:rsidR="00AB395C" w:rsidRDefault="00AB395C" w:rsidP="00AB395C">
      <w:pPr>
        <w:pStyle w:val="Bibliography"/>
      </w:pPr>
      <w:r>
        <w:rPr>
          <w:b/>
          <w:bCs/>
        </w:rPr>
        <w:t>35</w:t>
      </w:r>
      <w:r>
        <w:t>. Shu X-O, Li H, Yang G, et al: Cohort Profile: The Shanghai Men’s Health Study. Int J Epidemiol dyv013, 2015</w:t>
      </w:r>
    </w:p>
    <w:p w:rsidR="00AB395C" w:rsidRDefault="00AB395C" w:rsidP="00AB395C">
      <w:pPr>
        <w:pStyle w:val="Bibliography"/>
      </w:pPr>
      <w:r>
        <w:rPr>
          <w:b/>
          <w:bCs/>
        </w:rPr>
        <w:t>36</w:t>
      </w:r>
      <w:r>
        <w:t>. Zheng W, Chow W-H, Yang G, et al: The Shanghai Women’s Health Study: rationale, study design, and baseline characteristics. Am J Epidemiol 162:1123–1131, 2005</w:t>
      </w:r>
    </w:p>
    <w:p w:rsidR="00AB395C" w:rsidRDefault="00AB395C" w:rsidP="00AB395C">
      <w:pPr>
        <w:pStyle w:val="Bibliography"/>
      </w:pPr>
      <w:r>
        <w:rPr>
          <w:b/>
          <w:bCs/>
        </w:rPr>
        <w:t>37</w:t>
      </w:r>
      <w:r>
        <w:t>. Thompson FE, Kipnis V, Midthune D, et al: Performance of a food-frequency questionnaire in the US NIH-AARP (National Institutes of Health-American Association of Retired Persons) Diet and Health Study. Public Health Nutr 11:183–195, 2008</w:t>
      </w:r>
    </w:p>
    <w:p w:rsidR="00AB395C" w:rsidRDefault="00AB395C" w:rsidP="00AB395C">
      <w:pPr>
        <w:pStyle w:val="Bibliography"/>
      </w:pPr>
      <w:r>
        <w:rPr>
          <w:b/>
          <w:bCs/>
        </w:rPr>
        <w:t>38</w:t>
      </w:r>
      <w:r>
        <w:t>. Willett WC, Sampson L, Stampfer MJ, et al: Reproducibility and validity of a semiquantitative food frequency questionnaire. Am J Epidemiol 122:51–65, 1985</w:t>
      </w:r>
    </w:p>
    <w:p w:rsidR="00AB395C" w:rsidRDefault="00AB395C" w:rsidP="00AB395C">
      <w:pPr>
        <w:pStyle w:val="Bibliography"/>
      </w:pPr>
      <w:r>
        <w:rPr>
          <w:b/>
          <w:bCs/>
        </w:rPr>
        <w:t>39</w:t>
      </w:r>
      <w:r>
        <w:t>. Rimm EB, Giovannucci EL, Stampfer MJ, et al: Reproducibility and validity of an expanded self-administered semiquantitative food frequency questionnaire among male health professionals. Am J Epidemiol 135:1114–1126; discussion 1127–1136, 1992</w:t>
      </w:r>
    </w:p>
    <w:p w:rsidR="00AB395C" w:rsidRDefault="00AB395C" w:rsidP="00AB395C">
      <w:pPr>
        <w:pStyle w:val="Bibliography"/>
      </w:pPr>
      <w:r>
        <w:rPr>
          <w:b/>
          <w:bCs/>
        </w:rPr>
        <w:t>40</w:t>
      </w:r>
      <w:r>
        <w:t>. Munger RG, Folsom AR, Kushi LH, et al: Dietary Assessment of Older Iowa Women with a Food Frequency Questionnaire: Nutrient Intake, Reproducibility, and Comparison with 24-Hour Dietary Recall Interviews. Am J Epidemiol 136:192–200, 1992</w:t>
      </w:r>
    </w:p>
    <w:p w:rsidR="00AB395C" w:rsidRDefault="00AB395C" w:rsidP="00AB395C">
      <w:pPr>
        <w:pStyle w:val="Bibliography"/>
      </w:pPr>
      <w:r>
        <w:rPr>
          <w:b/>
          <w:bCs/>
        </w:rPr>
        <w:t>41</w:t>
      </w:r>
      <w:r>
        <w:t>. Subar AF, Thompson FE, Kipnis V, et al: Comparative Validation of the Block, Willett, and National Cancer Institute Food Frequency Questionnaires The Eating at America’s Table Study. Am J Epidemiol 154:1089–1099, 2001</w:t>
      </w:r>
    </w:p>
    <w:p w:rsidR="00AB395C" w:rsidRDefault="00AB395C" w:rsidP="00AB395C">
      <w:pPr>
        <w:pStyle w:val="Bibliography"/>
      </w:pPr>
      <w:r>
        <w:rPr>
          <w:b/>
          <w:bCs/>
        </w:rPr>
        <w:t>42</w:t>
      </w:r>
      <w:r>
        <w:t>. Signorello LB, Munro HM, Buchowski MS, et al: Estimating nutrient intake from a food frequency questionnaire: incorporating the elements of race and geographic region. Am J Epidemiol 170:104–111, 2009</w:t>
      </w:r>
    </w:p>
    <w:p w:rsidR="00AB395C" w:rsidRDefault="00AB395C" w:rsidP="00AB395C">
      <w:pPr>
        <w:pStyle w:val="Bibliography"/>
      </w:pPr>
      <w:r>
        <w:rPr>
          <w:b/>
          <w:bCs/>
        </w:rPr>
        <w:t>43</w:t>
      </w:r>
      <w:r>
        <w:t>. Patterson RE, Kristal AR, Tinker LF, et al: Measurement characteristics of the Women’s Health Initiative food frequency questionnaire. Ann Epidemiol 9:178–187, 1999</w:t>
      </w:r>
    </w:p>
    <w:p w:rsidR="00AB395C" w:rsidRDefault="00AB395C" w:rsidP="00AB395C">
      <w:pPr>
        <w:pStyle w:val="Bibliography"/>
      </w:pPr>
      <w:r>
        <w:rPr>
          <w:b/>
          <w:bCs/>
        </w:rPr>
        <w:t>44</w:t>
      </w:r>
      <w:r>
        <w:t>. Slimani N, Ferrari P, Ocké M, et al: Standardization of the 24-hour diet recall calibration method used in the european prospective investigation into cancer and nutrition (EPIC): general concepts and preliminary results. Eur J Clin Nutr 54:900–917, 2000</w:t>
      </w:r>
    </w:p>
    <w:p w:rsidR="00AB395C" w:rsidRDefault="00AB395C" w:rsidP="00AB395C">
      <w:pPr>
        <w:pStyle w:val="Bibliography"/>
      </w:pPr>
      <w:r>
        <w:rPr>
          <w:b/>
          <w:bCs/>
        </w:rPr>
        <w:t>45</w:t>
      </w:r>
      <w:r>
        <w:t>. Ishihara J, Sobue T, Yamamoto S, et al, JPHC: Validity and reproducibility of a self-administered food frequency questionnaire in the JPHC Study Cohort II: study design, participant profile and results in comparison with Cohort I. J Epidemiol Jpn Epidemiol Assoc 13:S134–147, 2003</w:t>
      </w:r>
    </w:p>
    <w:p w:rsidR="00AB395C" w:rsidRDefault="00AB395C" w:rsidP="00AB395C">
      <w:pPr>
        <w:pStyle w:val="Bibliography"/>
      </w:pPr>
      <w:r>
        <w:rPr>
          <w:b/>
          <w:bCs/>
        </w:rPr>
        <w:t>46</w:t>
      </w:r>
      <w:r>
        <w:t>. Tsubono Y, Kobayashi M, Sasaki S, et al, JPHC: Validity and reproducibility of a self-administered food frequency questionnaire used in the baseline survey of the JPHC Study Cohort I. J Epidemiol Jpn Epidemiol Assoc 13:S125–133, 2003</w:t>
      </w:r>
    </w:p>
    <w:p w:rsidR="00AB395C" w:rsidRDefault="00AB395C" w:rsidP="00AB395C">
      <w:pPr>
        <w:pStyle w:val="Bibliography"/>
      </w:pPr>
      <w:r>
        <w:rPr>
          <w:b/>
          <w:bCs/>
        </w:rPr>
        <w:t>47</w:t>
      </w:r>
      <w:r>
        <w:t>. Villegas R, Yang G, Liu D, et al: Validity and reproducibility of the food-frequency questionnaire used in the Shanghai men’s health study. Br J Nutr 97:993–1000, 2007</w:t>
      </w:r>
    </w:p>
    <w:p w:rsidR="00AB395C" w:rsidRDefault="00AB395C" w:rsidP="00AB395C">
      <w:pPr>
        <w:pStyle w:val="Bibliography"/>
      </w:pPr>
      <w:r>
        <w:rPr>
          <w:b/>
          <w:bCs/>
        </w:rPr>
        <w:t>48</w:t>
      </w:r>
      <w:r>
        <w:t>. Shu XO, Yang G, Jin F, et al: Validity and reproducibility of the food frequency questionnaire used in the Shanghai Women’s Health Study. Eur J Clin Nutr 58:17–23, 2004</w:t>
      </w:r>
    </w:p>
    <w:p w:rsidR="00AB395C" w:rsidRDefault="00AB395C" w:rsidP="00AB395C">
      <w:pPr>
        <w:pStyle w:val="Bibliography"/>
      </w:pPr>
      <w:r>
        <w:rPr>
          <w:b/>
          <w:bCs/>
        </w:rPr>
        <w:t>49</w:t>
      </w:r>
      <w:r>
        <w:t>. Willett WC, Howe GR, Kushi LH: Adjustment for total energy intake in epidemiologic studies. Am J Clin Nutr 65:1220S–1228S, 1997</w:t>
      </w:r>
    </w:p>
    <w:p w:rsidR="00AB395C" w:rsidRDefault="00AB395C" w:rsidP="00AB395C">
      <w:pPr>
        <w:pStyle w:val="Bibliography"/>
      </w:pPr>
      <w:r>
        <w:rPr>
          <w:b/>
          <w:bCs/>
        </w:rPr>
        <w:t>50</w:t>
      </w:r>
      <w:r>
        <w:t>. Mehlen P, Puisieux A: Metastasis: a question of life or death. Nat Rev Cancer 6:449–458, 2006</w:t>
      </w:r>
    </w:p>
    <w:p w:rsidR="00AB395C" w:rsidRDefault="00AB395C" w:rsidP="00AB395C">
      <w:pPr>
        <w:pStyle w:val="Bibliography"/>
      </w:pPr>
      <w:r>
        <w:rPr>
          <w:b/>
          <w:bCs/>
        </w:rPr>
        <w:t>51</w:t>
      </w:r>
      <w:r>
        <w:t>. Coleman RE: Clinical features of metastatic bone disease and risk of skeletal morbidity. Clin Cancer Res Off J Am Assoc Cancer Res 12:6243s–6249s, 2006</w:t>
      </w:r>
    </w:p>
    <w:p w:rsidR="00AB395C" w:rsidRDefault="00AB395C" w:rsidP="00AB395C">
      <w:pPr>
        <w:pStyle w:val="Bibliography"/>
      </w:pPr>
      <w:r>
        <w:rPr>
          <w:b/>
          <w:bCs/>
        </w:rPr>
        <w:t>52</w:t>
      </w:r>
      <w:r>
        <w:t>. Brodowicz T, O’Byrne K, Manegold C: Bone matters in lung cancer. Ann Oncol Off J Eur Soc Med Oncol ESMO 23:2215–2222, 2012</w:t>
      </w:r>
    </w:p>
    <w:p w:rsidR="00AB395C" w:rsidRDefault="00AB395C" w:rsidP="00AB395C">
      <w:pPr>
        <w:pStyle w:val="Bibliography"/>
      </w:pPr>
      <w:r>
        <w:rPr>
          <w:b/>
          <w:bCs/>
        </w:rPr>
        <w:t>53</w:t>
      </w:r>
      <w:r>
        <w:t>. Riihimäki M, Hemminki A, Fallah M, et al: Metastatic sites and survival in lung cancer. Lung Cancer Amst Neth 86:78–84, 2014</w:t>
      </w:r>
    </w:p>
    <w:p w:rsidR="00AB395C" w:rsidRDefault="00AB395C" w:rsidP="00AB395C">
      <w:pPr>
        <w:pStyle w:val="Bibliography"/>
      </w:pPr>
      <w:r>
        <w:rPr>
          <w:b/>
          <w:bCs/>
        </w:rPr>
        <w:t>54</w:t>
      </w:r>
      <w:r>
        <w:t>. Yang H, Zhang Q, He J, et al: Regulation of calcium signaling in lung cancer. J Thorac Dis 2:52–56, 2010</w:t>
      </w:r>
    </w:p>
    <w:p w:rsidR="00AB395C" w:rsidRDefault="00AB395C" w:rsidP="00AB395C">
      <w:pPr>
        <w:pStyle w:val="Bibliography"/>
      </w:pPr>
      <w:r>
        <w:rPr>
          <w:b/>
          <w:bCs/>
        </w:rPr>
        <w:t>55</w:t>
      </w:r>
      <w:r>
        <w:t>. Roodman GD: Mechanisms of bone metastasis. N Engl J Med 350:1655–1664, 2004</w:t>
      </w:r>
    </w:p>
    <w:p w:rsidR="00AB395C" w:rsidRDefault="00AB395C" w:rsidP="00AB395C">
      <w:pPr>
        <w:pStyle w:val="Bibliography"/>
      </w:pPr>
      <w:r>
        <w:rPr>
          <w:b/>
          <w:bCs/>
        </w:rPr>
        <w:t>56</w:t>
      </w:r>
      <w:r>
        <w:t>. Cetin K, Christiansen CF, Jacobsen JB, et al: Bone metastasis, skeletal-related events, and mortality in lung cancer patients: a Danish population-based cohort study. Lung Cancer Amst Neth 86:247–254, 2014</w:t>
      </w:r>
    </w:p>
    <w:p w:rsidR="00AB395C" w:rsidRDefault="00AB395C" w:rsidP="00AB395C">
      <w:pPr>
        <w:pStyle w:val="Bibliography"/>
      </w:pPr>
      <w:r>
        <w:rPr>
          <w:b/>
          <w:bCs/>
        </w:rPr>
        <w:t>57</w:t>
      </w:r>
      <w:r>
        <w:t>. Mountzios G, Ramfidis V, Terpos E, et al: Prognostic significance of bone markers in patients with lung cancer metastatic to the skeleton: a review of published data. Clin Lung Cancer 12:341–349, 2011</w:t>
      </w:r>
    </w:p>
    <w:p w:rsidR="00AB395C" w:rsidRDefault="00AB395C" w:rsidP="00AB395C">
      <w:pPr>
        <w:pStyle w:val="Bibliography"/>
      </w:pPr>
      <w:r>
        <w:rPr>
          <w:b/>
          <w:bCs/>
        </w:rPr>
        <w:t>58</w:t>
      </w:r>
      <w:r>
        <w:t>. Lopez-Olivo MA, Shah NA, Pratt G, et al: Bisphosphonates in the treatment of patients with lung cancer and metastatic bone disease: a systematic review and meta-analysis. Support Care Cancer Off J Multinatl Assoc Support Care Cancer 20:2985–2998, 2012</w:t>
      </w:r>
    </w:p>
    <w:p w:rsidR="00AB395C" w:rsidRDefault="00AB395C" w:rsidP="00AB395C">
      <w:pPr>
        <w:pStyle w:val="Bibliography"/>
      </w:pPr>
      <w:r>
        <w:rPr>
          <w:b/>
          <w:bCs/>
        </w:rPr>
        <w:t>59</w:t>
      </w:r>
      <w:r>
        <w:t>. De Castro J, García R, Garrido P, et al: Therapeutic Potential of Denosumab in Patients With Lung Cancer: Beyond Prevention of Skeletal Complications. Clin Lung Cancer 16:431–446, 2015</w:t>
      </w:r>
    </w:p>
    <w:p w:rsidR="00AB395C" w:rsidRDefault="00AB395C" w:rsidP="00AB395C">
      <w:pPr>
        <w:pStyle w:val="Bibliography"/>
      </w:pPr>
      <w:r>
        <w:rPr>
          <w:b/>
          <w:bCs/>
        </w:rPr>
        <w:t>60</w:t>
      </w:r>
      <w:r>
        <w:t>. De Marinis F, Eberhardt W, Harper PG, et al: Bisphosphonate use in patients with lung cancer and bone metastases: recommendations of a European expert panel. J Thorac Oncol Off Publ Int Assoc Study Lung Cancer 4:1280–1288, 2009</w:t>
      </w:r>
    </w:p>
    <w:p w:rsidR="00AB395C" w:rsidRDefault="00AB395C" w:rsidP="00AB395C">
      <w:pPr>
        <w:pStyle w:val="Bibliography"/>
      </w:pPr>
      <w:r>
        <w:rPr>
          <w:b/>
          <w:bCs/>
        </w:rPr>
        <w:t>61</w:t>
      </w:r>
      <w:r>
        <w:t>. Langer C, Hirsh V: Skeletal morbidity in lung cancer patients with bone metastases: demonstrating the need for early diagnosis and treatment with bisphosphonates. Lung Cancer Amst Neth 67:4–11, 2010</w:t>
      </w:r>
    </w:p>
    <w:p w:rsidR="00AB395C" w:rsidRDefault="00AB395C" w:rsidP="00AB395C">
      <w:pPr>
        <w:pStyle w:val="Bibliography"/>
      </w:pPr>
      <w:r>
        <w:rPr>
          <w:b/>
          <w:bCs/>
        </w:rPr>
        <w:t>62</w:t>
      </w:r>
      <w:r>
        <w:t>. Wang X, Chen H, Ouyang Y, et al: Dietary calcium intake and mortality risk from cardiovascular disease and all causes: a meta-analysis of prospective cohort studies. BMC Med 12:158, 2014</w:t>
      </w:r>
    </w:p>
    <w:p w:rsidR="00AB395C" w:rsidRDefault="00AB395C" w:rsidP="00AB395C">
      <w:pPr>
        <w:pStyle w:val="Bibliography"/>
      </w:pPr>
      <w:r>
        <w:rPr>
          <w:b/>
          <w:bCs/>
        </w:rPr>
        <w:t>63</w:t>
      </w:r>
      <w:r>
        <w:t>. Asemi Z, Saneei P, Sabihi S-S, et al: Total, dietary, and supplemental calcium intake and mortality from all-causes, cardiovascular disease, and cancer: A meta-analysis of observational studies. Nutr Metab Cardiovasc Dis 25:623–634, 2015</w:t>
      </w:r>
    </w:p>
    <w:p w:rsidR="00AB395C" w:rsidRDefault="00AB395C" w:rsidP="00AB395C">
      <w:pPr>
        <w:pStyle w:val="Bibliography"/>
      </w:pPr>
      <w:r>
        <w:rPr>
          <w:b/>
          <w:bCs/>
        </w:rPr>
        <w:t>64</w:t>
      </w:r>
      <w:r>
        <w:t>. Chakraborty S, Ganti AK, Marr A, et al: Lung cancer in women: role of estrogens. Expert Rev Respir Med 4:509–518, 2010</w:t>
      </w:r>
    </w:p>
    <w:p w:rsidR="00AB395C" w:rsidRDefault="00AB395C" w:rsidP="00AB395C">
      <w:pPr>
        <w:pStyle w:val="Bibliography"/>
      </w:pPr>
      <w:r>
        <w:rPr>
          <w:b/>
          <w:bCs/>
        </w:rPr>
        <w:t>65</w:t>
      </w:r>
      <w:r>
        <w:t>. Brunner RL, Wactawski-Wende J, Caan BJ, et al: The effect of calcium plus vitamin D on risk for invasive cancer: results of the Women’s Health Initiative (WHI) calcium plus vitamin D randomized clinical trial. Nutr Cancer 63:827–841, 2011</w:t>
      </w:r>
    </w:p>
    <w:p w:rsidR="00AB395C" w:rsidRDefault="00AB395C" w:rsidP="00AB395C">
      <w:pPr>
        <w:pStyle w:val="Bibliography"/>
      </w:pPr>
      <w:r>
        <w:rPr>
          <w:b/>
          <w:bCs/>
        </w:rPr>
        <w:t>66</w:t>
      </w:r>
      <w:r>
        <w:t>. Avenell A, MacLennan GS, Jenkinson DJ, et al, RECORD Trial Group: Long-term follow-up for mortality and cancer in a randomized placebo-controlled trial of vitamin D(3) and/or calcium (RECORD trial). J Clin Endocrinol Metab 97:614–622, 2012</w:t>
      </w:r>
    </w:p>
    <w:p w:rsidR="00AB395C" w:rsidRDefault="00AB395C" w:rsidP="00AB395C">
      <w:pPr>
        <w:pStyle w:val="Bibliography"/>
      </w:pPr>
      <w:r>
        <w:rPr>
          <w:b/>
          <w:bCs/>
        </w:rPr>
        <w:t>67</w:t>
      </w:r>
      <w:r>
        <w:t>. Bolland MJ, Grey A, Gamble GD, et al: The effect of vitamin D supplementation on skeletal, vascular, or cancer outcomes: a trial sequential meta-analysis. Lancet Diabetes Endocrinol 2:307–320, 2014</w:t>
      </w:r>
    </w:p>
    <w:p w:rsidR="00C76B6E" w:rsidRPr="006325C2" w:rsidRDefault="006E110C" w:rsidP="00434502">
      <w:pPr>
        <w:spacing w:before="60" w:after="0" w:line="480" w:lineRule="auto"/>
      </w:pPr>
      <w:r w:rsidRPr="006325C2">
        <w:rPr>
          <w:b/>
        </w:rPr>
        <w:fldChar w:fldCharType="end"/>
      </w:r>
      <w:r w:rsidR="00C76B6E" w:rsidRPr="006325C2">
        <w:br w:type="page"/>
      </w:r>
    </w:p>
    <w:p w:rsidR="00C76B6E" w:rsidRPr="006325C2" w:rsidRDefault="00C76B6E" w:rsidP="00434502">
      <w:pPr>
        <w:spacing w:before="60" w:after="0" w:line="480" w:lineRule="auto"/>
        <w:rPr>
          <w:b/>
        </w:rPr>
      </w:pPr>
      <w:r w:rsidRPr="006325C2">
        <w:rPr>
          <w:b/>
        </w:rPr>
        <w:t>Figure legend</w:t>
      </w:r>
    </w:p>
    <w:p w:rsidR="006F62ED" w:rsidRPr="006325C2" w:rsidRDefault="006F62ED" w:rsidP="006F62ED">
      <w:pPr>
        <w:spacing w:line="480" w:lineRule="auto"/>
        <w:rPr>
          <w:b/>
        </w:rPr>
      </w:pPr>
      <w:r w:rsidRPr="006325C2">
        <w:rPr>
          <w:b/>
        </w:rPr>
        <w:t xml:space="preserve">Figure 1. </w:t>
      </w:r>
      <w:r w:rsidRPr="006325C2">
        <w:t xml:space="preserve">Risk of death by prediagnostic dietary calcium intake (low vs. recommended intake) in subgroups of the Calcium and Lung Cancer Pooling Project. Low intake was defined as </w:t>
      </w:r>
      <w:r w:rsidRPr="006325C2">
        <w:rPr>
          <w:rFonts w:hint="eastAsia"/>
        </w:rPr>
        <w:t xml:space="preserve">calcium intake less than half of the recommended dietary allowance (RDA), which is </w:t>
      </w:r>
      <w:r w:rsidRPr="006325C2">
        <w:t xml:space="preserve">less than </w:t>
      </w:r>
      <w:r w:rsidRPr="006325C2">
        <w:rPr>
          <w:rFonts w:hint="eastAsia"/>
        </w:rPr>
        <w:t xml:space="preserve">500 mg/d for men </w:t>
      </w:r>
      <w:r w:rsidRPr="006325C2">
        <w:t>≤</w:t>
      </w:r>
      <w:r w:rsidRPr="006325C2">
        <w:rPr>
          <w:rFonts w:hint="eastAsia"/>
        </w:rPr>
        <w:t xml:space="preserve">70 y and women </w:t>
      </w:r>
      <w:r w:rsidRPr="006325C2">
        <w:t>≤</w:t>
      </w:r>
      <w:r w:rsidRPr="006325C2">
        <w:rPr>
          <w:rFonts w:hint="eastAsia"/>
        </w:rPr>
        <w:t>50 y</w:t>
      </w:r>
      <w:r w:rsidR="007E162D" w:rsidRPr="006325C2">
        <w:t>,</w:t>
      </w:r>
      <w:r w:rsidRPr="006325C2">
        <w:rPr>
          <w:rFonts w:hint="eastAsia"/>
        </w:rPr>
        <w:t xml:space="preserve"> </w:t>
      </w:r>
      <w:r w:rsidRPr="006325C2">
        <w:t>or</w:t>
      </w:r>
      <w:r w:rsidRPr="006325C2">
        <w:rPr>
          <w:rFonts w:hint="eastAsia"/>
        </w:rPr>
        <w:t xml:space="preserve"> </w:t>
      </w:r>
      <w:r w:rsidRPr="006325C2">
        <w:t xml:space="preserve">less than </w:t>
      </w:r>
      <w:r w:rsidRPr="006325C2">
        <w:rPr>
          <w:rFonts w:hint="eastAsia"/>
        </w:rPr>
        <w:t xml:space="preserve">600 mg/d for men &gt;70 y and women &gt;50 y. Recommended intake was defined as calcium intake between </w:t>
      </w:r>
      <w:r w:rsidR="00D82832" w:rsidRPr="006325C2">
        <w:t xml:space="preserve">the </w:t>
      </w:r>
      <w:r w:rsidRPr="006325C2">
        <w:rPr>
          <w:rFonts w:hint="eastAsia"/>
        </w:rPr>
        <w:t xml:space="preserve">estimated average requirement (EAR) and RDA, which is 800-1000 mg/d for men </w:t>
      </w:r>
      <w:r w:rsidRPr="006325C2">
        <w:t>≤</w:t>
      </w:r>
      <w:r w:rsidRPr="006325C2">
        <w:rPr>
          <w:rFonts w:hint="eastAsia"/>
        </w:rPr>
        <w:t xml:space="preserve">70 y and women </w:t>
      </w:r>
      <w:r w:rsidRPr="006325C2">
        <w:t>≤</w:t>
      </w:r>
      <w:r w:rsidRPr="006325C2">
        <w:rPr>
          <w:rFonts w:hint="eastAsia"/>
        </w:rPr>
        <w:t>50 y</w:t>
      </w:r>
      <w:r w:rsidR="007E162D" w:rsidRPr="006325C2">
        <w:t>,</w:t>
      </w:r>
      <w:r w:rsidRPr="006325C2">
        <w:rPr>
          <w:rFonts w:hint="eastAsia"/>
        </w:rPr>
        <w:t xml:space="preserve"> </w:t>
      </w:r>
      <w:r w:rsidR="0047506B" w:rsidRPr="006325C2">
        <w:t>or</w:t>
      </w:r>
      <w:r w:rsidRPr="006325C2">
        <w:rPr>
          <w:rFonts w:hint="eastAsia"/>
        </w:rPr>
        <w:t xml:space="preserve"> 1000-1200 mg/d for men &gt;70 y and women &gt;50 y.</w:t>
      </w:r>
      <w:r w:rsidRPr="006325C2">
        <w:t xml:space="preserve"> The same </w:t>
      </w:r>
      <w:r w:rsidR="0047506B" w:rsidRPr="006325C2">
        <w:t xml:space="preserve">stratified, </w:t>
      </w:r>
      <w:r w:rsidRPr="006325C2">
        <w:t>multivariable-adjusted Cox model was used as shown in the footnote of Table 2.</w:t>
      </w:r>
    </w:p>
    <w:p w:rsidR="00FE761F" w:rsidRPr="00AB395C" w:rsidRDefault="008B4DAD" w:rsidP="00AB395C">
      <w:pPr>
        <w:spacing w:before="60" w:after="0" w:line="480" w:lineRule="auto"/>
        <w:sectPr w:rsidR="00FE761F" w:rsidRPr="00AB395C" w:rsidSect="007C593D">
          <w:footerReference w:type="default" r:id="rId10"/>
          <w:pgSz w:w="12240" w:h="15840"/>
          <w:pgMar w:top="1440" w:right="1440" w:bottom="1440" w:left="1440" w:header="720" w:footer="720" w:gutter="0"/>
          <w:cols w:space="720"/>
          <w:docGrid w:linePitch="360"/>
        </w:sectPr>
      </w:pPr>
      <w:r w:rsidRPr="006325C2">
        <w:rPr>
          <w:b/>
        </w:rPr>
        <w:t xml:space="preserve">Figure </w:t>
      </w:r>
      <w:r w:rsidR="006F62ED" w:rsidRPr="006325C2">
        <w:rPr>
          <w:b/>
        </w:rPr>
        <w:t>2</w:t>
      </w:r>
      <w:r w:rsidRPr="006325C2">
        <w:rPr>
          <w:b/>
        </w:rPr>
        <w:t>.</w:t>
      </w:r>
      <w:r w:rsidRPr="006325C2">
        <w:t xml:space="preserve"> Risk of death by prediagnostic dietary calcium intake </w:t>
      </w:r>
      <w:r w:rsidR="00F022DC" w:rsidRPr="006325C2">
        <w:t xml:space="preserve">in the Calcium and Lung Cancer Pooling Project </w:t>
      </w:r>
      <w:r w:rsidRPr="006325C2">
        <w:t>(</w:t>
      </w:r>
      <w:r w:rsidR="008D4CF9" w:rsidRPr="006325C2">
        <w:t>solid line:</w:t>
      </w:r>
      <w:r w:rsidRPr="006325C2">
        <w:t xml:space="preserve"> hazard ratio, </w:t>
      </w:r>
      <w:r w:rsidR="008D4CF9" w:rsidRPr="006325C2">
        <w:t>dashed line: 95% confidence interval</w:t>
      </w:r>
      <w:r w:rsidRPr="006325C2">
        <w:t>)</w:t>
      </w:r>
      <w:r w:rsidR="00A10784" w:rsidRPr="006325C2">
        <w:t xml:space="preserve"> </w:t>
      </w:r>
      <w:r w:rsidR="00ED51D9" w:rsidRPr="006325C2">
        <w:t>among</w:t>
      </w:r>
      <w:r w:rsidR="007E162D" w:rsidRPr="006325C2">
        <w:t xml:space="preserve">: </w:t>
      </w:r>
      <w:r w:rsidR="00ED51D9" w:rsidRPr="006325C2">
        <w:t xml:space="preserve"> </w:t>
      </w:r>
      <w:r w:rsidR="00A10784" w:rsidRPr="006325C2">
        <w:t>a.</w:t>
      </w:r>
      <w:r w:rsidR="008D4CF9" w:rsidRPr="006325C2">
        <w:t xml:space="preserve"> </w:t>
      </w:r>
      <w:r w:rsidR="00A10784" w:rsidRPr="006325C2">
        <w:t>early</w:t>
      </w:r>
      <w:r w:rsidR="00442A9E" w:rsidRPr="006325C2">
        <w:t>-</w:t>
      </w:r>
      <w:r w:rsidR="00A10784" w:rsidRPr="006325C2">
        <w:t>stage lung cancer patients (</w:t>
      </w:r>
      <w:r w:rsidR="00A10784" w:rsidRPr="006325C2">
        <w:rPr>
          <w:i/>
        </w:rPr>
        <w:t>P</w:t>
      </w:r>
      <w:r w:rsidR="00A10784" w:rsidRPr="006325C2">
        <w:t xml:space="preserve"> = 0.03); </w:t>
      </w:r>
      <w:r w:rsidR="00E63F1A" w:rsidRPr="006325C2">
        <w:t>b</w:t>
      </w:r>
      <w:r w:rsidR="00A10784" w:rsidRPr="006325C2">
        <w:t>. early</w:t>
      </w:r>
      <w:r w:rsidR="00442A9E" w:rsidRPr="006325C2">
        <w:t>-</w:t>
      </w:r>
      <w:r w:rsidR="00A10784" w:rsidRPr="006325C2">
        <w:t>stage female patients (</w:t>
      </w:r>
      <w:r w:rsidR="00A10784" w:rsidRPr="006325C2">
        <w:rPr>
          <w:i/>
        </w:rPr>
        <w:t>P</w:t>
      </w:r>
      <w:r w:rsidR="00A10784" w:rsidRPr="006325C2">
        <w:t xml:space="preserve"> = 0.39); </w:t>
      </w:r>
      <w:r w:rsidR="00ED51D9" w:rsidRPr="006325C2">
        <w:t xml:space="preserve">and </w:t>
      </w:r>
      <w:r w:rsidR="00E63F1A" w:rsidRPr="006325C2">
        <w:t>c</w:t>
      </w:r>
      <w:r w:rsidR="00A10784" w:rsidRPr="006325C2">
        <w:t>. early</w:t>
      </w:r>
      <w:r w:rsidR="00442A9E" w:rsidRPr="006325C2">
        <w:t>-</w:t>
      </w:r>
      <w:r w:rsidR="00A10784" w:rsidRPr="006325C2">
        <w:t>stage male patients (</w:t>
      </w:r>
      <w:r w:rsidR="00A10784" w:rsidRPr="006325C2">
        <w:rPr>
          <w:i/>
        </w:rPr>
        <w:t>P</w:t>
      </w:r>
      <w:r w:rsidR="00A10784" w:rsidRPr="006325C2">
        <w:t xml:space="preserve"> = 0.02)</w:t>
      </w:r>
      <w:r w:rsidR="00ED51D9" w:rsidRPr="006325C2">
        <w:t>.</w:t>
      </w:r>
      <w:r w:rsidR="00CD38CD" w:rsidRPr="006325C2">
        <w:t xml:space="preserve"> The same </w:t>
      </w:r>
      <w:r w:rsidR="0047506B" w:rsidRPr="006325C2">
        <w:t xml:space="preserve">stratified, </w:t>
      </w:r>
      <w:r w:rsidR="00CD38CD" w:rsidRPr="006325C2">
        <w:t>multivariable-adjusted Cox model was used as sho</w:t>
      </w:r>
      <w:r w:rsidR="00AB395C">
        <w:t>wn in the footnote of Table 2.</w:t>
      </w:r>
    </w:p>
    <w:p w:rsidR="00291D1B" w:rsidRPr="006325C2" w:rsidRDefault="00AB395C" w:rsidP="001B1C0D">
      <w:pPr>
        <w:spacing w:after="0" w:line="240" w:lineRule="auto"/>
        <w:rPr>
          <w:b/>
        </w:rPr>
      </w:pPr>
      <w:r>
        <w:rPr>
          <w:noProof/>
          <w:lang w:val="nb-NO" w:eastAsia="nb-NO"/>
        </w:rPr>
        <w:drawing>
          <wp:inline distT="0" distB="0" distL="0" distR="0" wp14:anchorId="43E70B77" wp14:editId="11AFAB27">
            <wp:extent cx="7212567" cy="5684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212567" cy="5684520"/>
                    </a:xfrm>
                    <a:prstGeom prst="rect">
                      <a:avLst/>
                    </a:prstGeom>
                  </pic:spPr>
                </pic:pic>
              </a:graphicData>
            </a:graphic>
          </wp:inline>
        </w:drawing>
      </w:r>
    </w:p>
    <w:p w:rsidR="00291D1B" w:rsidRPr="006325C2" w:rsidRDefault="00291D1B" w:rsidP="00434502">
      <w:pPr>
        <w:spacing w:before="60" w:after="0" w:line="480" w:lineRule="auto"/>
        <w:rPr>
          <w:b/>
        </w:rPr>
      </w:pPr>
    </w:p>
    <w:p w:rsidR="002537D1" w:rsidRPr="006325C2" w:rsidRDefault="002537D1" w:rsidP="00434502">
      <w:pPr>
        <w:spacing w:before="60" w:after="0" w:line="480" w:lineRule="auto"/>
        <w:rPr>
          <w:b/>
        </w:rPr>
        <w:sectPr w:rsidR="002537D1" w:rsidRPr="006325C2" w:rsidSect="00FE761F">
          <w:pgSz w:w="15840" w:h="12240" w:orient="landscape"/>
          <w:pgMar w:top="1440" w:right="1440" w:bottom="1440" w:left="1440" w:header="720" w:footer="720" w:gutter="0"/>
          <w:cols w:space="720"/>
          <w:docGrid w:linePitch="360"/>
        </w:sectPr>
      </w:pPr>
    </w:p>
    <w:p w:rsidR="006F62ED" w:rsidRPr="006325C2" w:rsidRDefault="006F62ED" w:rsidP="006F62ED">
      <w:pPr>
        <w:spacing w:before="60" w:after="0" w:line="480" w:lineRule="auto"/>
        <w:rPr>
          <w:b/>
        </w:rPr>
      </w:pPr>
      <w:r w:rsidRPr="006325C2">
        <w:rPr>
          <w:b/>
        </w:rPr>
        <w:t>Figure 2</w:t>
      </w:r>
    </w:p>
    <w:p w:rsidR="006F62ED" w:rsidRPr="006325C2" w:rsidRDefault="00AF549E" w:rsidP="006F62ED">
      <w:pPr>
        <w:spacing w:before="60" w:after="0" w:line="480" w:lineRule="auto"/>
        <w:rPr>
          <w:b/>
        </w:rPr>
      </w:pPr>
      <w:r w:rsidRPr="006325C2">
        <w:rPr>
          <w:b/>
          <w:noProof/>
          <w:lang w:val="nb-NO" w:eastAsia="nb-NO"/>
        </w:rPr>
        <w:drawing>
          <wp:inline distT="0" distB="0" distL="0" distR="0" wp14:anchorId="1B459F42" wp14:editId="58FB6145">
            <wp:extent cx="3879273" cy="77585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spline_ca2k_900_early st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82688" cy="7765375"/>
                    </a:xfrm>
                    <a:prstGeom prst="rect">
                      <a:avLst/>
                    </a:prstGeom>
                  </pic:spPr>
                </pic:pic>
              </a:graphicData>
            </a:graphic>
          </wp:inline>
        </w:drawing>
      </w:r>
      <w:r w:rsidR="006F62ED" w:rsidRPr="006325C2">
        <w:rPr>
          <w:b/>
        </w:rPr>
        <w:br w:type="page"/>
      </w:r>
    </w:p>
    <w:p w:rsidR="006F62ED" w:rsidRPr="006325C2" w:rsidRDefault="006F62ED" w:rsidP="008255B4">
      <w:pPr>
        <w:spacing w:before="60" w:after="0" w:line="288" w:lineRule="auto"/>
        <w:rPr>
          <w:b/>
        </w:rPr>
        <w:sectPr w:rsidR="006F62ED" w:rsidRPr="006325C2" w:rsidSect="006F62ED">
          <w:footerReference w:type="default" r:id="rId13"/>
          <w:pgSz w:w="12240" w:h="15840"/>
          <w:pgMar w:top="1440" w:right="1440" w:bottom="1440" w:left="1440" w:header="720" w:footer="720" w:gutter="0"/>
          <w:cols w:space="720"/>
          <w:docGrid w:linePitch="360"/>
        </w:sectPr>
      </w:pPr>
    </w:p>
    <w:p w:rsidR="002537D1" w:rsidRPr="006325C2" w:rsidRDefault="002537D1" w:rsidP="008255B4">
      <w:pPr>
        <w:spacing w:before="60" w:after="0" w:line="288" w:lineRule="auto"/>
        <w:rPr>
          <w:b/>
        </w:rPr>
      </w:pPr>
      <w:r w:rsidRPr="006325C2">
        <w:rPr>
          <w:b/>
        </w:rPr>
        <w:t>Table 1. Characteristics, dietary calcium intake, and 5-year survival rate of lung cancer cases (</w:t>
      </w:r>
      <w:r w:rsidRPr="00CD7214">
        <w:rPr>
          <w:b/>
          <w:i/>
        </w:rPr>
        <w:t>n</w:t>
      </w:r>
      <w:r w:rsidRPr="006325C2">
        <w:rPr>
          <w:b/>
        </w:rPr>
        <w:t>=23,882)</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262"/>
        <w:gridCol w:w="1260"/>
        <w:gridCol w:w="1710"/>
        <w:gridCol w:w="1257"/>
        <w:gridCol w:w="1982"/>
        <w:gridCol w:w="1457"/>
      </w:tblGrid>
      <w:tr w:rsidR="002537D1" w:rsidRPr="006325C2" w:rsidTr="00CD7214">
        <w:trPr>
          <w:trHeight w:val="773"/>
        </w:trPr>
        <w:tc>
          <w:tcPr>
            <w:tcW w:w="1612" w:type="pct"/>
            <w:tcBorders>
              <w:top w:val="single" w:sz="4" w:space="0" w:color="auto"/>
              <w:bottom w:val="single" w:sz="4" w:space="0" w:color="auto"/>
            </w:tcBorders>
            <w:vAlign w:val="center"/>
          </w:tcPr>
          <w:p w:rsidR="002537D1" w:rsidRPr="006325C2" w:rsidRDefault="002537D1" w:rsidP="008255B4">
            <w:pPr>
              <w:spacing w:before="60" w:line="288" w:lineRule="auto"/>
            </w:pPr>
            <w:r w:rsidRPr="006325C2">
              <w:t>Characteristics</w:t>
            </w:r>
          </w:p>
        </w:tc>
        <w:tc>
          <w:tcPr>
            <w:tcW w:w="479" w:type="pct"/>
            <w:tcBorders>
              <w:top w:val="single" w:sz="4" w:space="0" w:color="auto"/>
              <w:bottom w:val="single" w:sz="4" w:space="0" w:color="auto"/>
            </w:tcBorders>
            <w:vAlign w:val="center"/>
          </w:tcPr>
          <w:p w:rsidR="002537D1" w:rsidRPr="006325C2" w:rsidRDefault="002537D1" w:rsidP="008255B4">
            <w:pPr>
              <w:spacing w:before="60" w:line="288" w:lineRule="auto"/>
            </w:pPr>
            <w:r w:rsidRPr="006325C2">
              <w:t xml:space="preserve">Cases, </w:t>
            </w:r>
            <w:r w:rsidRPr="00CD7214">
              <w:rPr>
                <w:i/>
              </w:rPr>
              <w:t>n</w:t>
            </w:r>
          </w:p>
        </w:tc>
        <w:tc>
          <w:tcPr>
            <w:tcW w:w="478" w:type="pct"/>
            <w:tcBorders>
              <w:top w:val="single" w:sz="4" w:space="0" w:color="auto"/>
              <w:bottom w:val="single" w:sz="4" w:space="0" w:color="auto"/>
            </w:tcBorders>
            <w:vAlign w:val="center"/>
          </w:tcPr>
          <w:p w:rsidR="002537D1" w:rsidRPr="006325C2" w:rsidRDefault="002537D1" w:rsidP="008255B4">
            <w:pPr>
              <w:spacing w:before="60" w:line="288" w:lineRule="auto"/>
            </w:pPr>
            <w:r w:rsidRPr="006325C2">
              <w:t xml:space="preserve">Deaths, </w:t>
            </w:r>
            <w:r w:rsidRPr="00CD7214">
              <w:rPr>
                <w:i/>
              </w:rPr>
              <w:t>n</w:t>
            </w:r>
          </w:p>
        </w:tc>
        <w:tc>
          <w:tcPr>
            <w:tcW w:w="649" w:type="pct"/>
            <w:tcBorders>
              <w:top w:val="single" w:sz="4" w:space="0" w:color="auto"/>
              <w:bottom w:val="single" w:sz="4" w:space="0" w:color="auto"/>
            </w:tcBorders>
            <w:vAlign w:val="center"/>
          </w:tcPr>
          <w:p w:rsidR="002537D1" w:rsidRPr="006325C2" w:rsidRDefault="002537D1" w:rsidP="008255B4">
            <w:pPr>
              <w:spacing w:before="60" w:line="288" w:lineRule="auto"/>
            </w:pPr>
            <w:r w:rsidRPr="006325C2">
              <w:t xml:space="preserve">Dietary calcium intake, </w:t>
            </w:r>
            <w:r w:rsidR="00B11DEB" w:rsidRPr="006325C2">
              <w:t>mg/d</w:t>
            </w:r>
            <w:r w:rsidRPr="006325C2">
              <w:rPr>
                <w:vertAlign w:val="superscript"/>
              </w:rPr>
              <w:t>1</w:t>
            </w:r>
          </w:p>
        </w:tc>
        <w:tc>
          <w:tcPr>
            <w:tcW w:w="477" w:type="pct"/>
            <w:tcBorders>
              <w:top w:val="single" w:sz="4" w:space="0" w:color="auto"/>
              <w:bottom w:val="single" w:sz="4" w:space="0" w:color="auto"/>
            </w:tcBorders>
            <w:vAlign w:val="center"/>
          </w:tcPr>
          <w:p w:rsidR="002537D1" w:rsidRPr="006325C2" w:rsidRDefault="002537D1" w:rsidP="008255B4">
            <w:pPr>
              <w:spacing w:before="60" w:line="288" w:lineRule="auto"/>
            </w:pPr>
            <w:r w:rsidRPr="00CD7214">
              <w:rPr>
                <w:i/>
              </w:rPr>
              <w:t>P</w:t>
            </w:r>
            <w:r w:rsidRPr="006325C2">
              <w:t xml:space="preserve"> for calcium intake</w:t>
            </w:r>
            <w:r w:rsidRPr="006325C2">
              <w:rPr>
                <w:vertAlign w:val="superscript"/>
              </w:rPr>
              <w:t>2</w:t>
            </w:r>
          </w:p>
        </w:tc>
        <w:tc>
          <w:tcPr>
            <w:tcW w:w="752" w:type="pct"/>
            <w:tcBorders>
              <w:top w:val="single" w:sz="4" w:space="0" w:color="auto"/>
              <w:bottom w:val="single" w:sz="4" w:space="0" w:color="auto"/>
            </w:tcBorders>
            <w:vAlign w:val="center"/>
          </w:tcPr>
          <w:p w:rsidR="002537D1" w:rsidRPr="006325C2" w:rsidRDefault="002537D1" w:rsidP="008255B4">
            <w:pPr>
              <w:spacing w:before="60" w:line="288" w:lineRule="auto"/>
            </w:pPr>
            <w:r w:rsidRPr="006325C2">
              <w:t>5-year survival rate</w:t>
            </w:r>
            <w:r w:rsidR="002A6134" w:rsidRPr="006325C2">
              <w:t xml:space="preserve"> (95% CI)</w:t>
            </w:r>
            <w:r w:rsidRPr="006325C2">
              <w:t>, %</w:t>
            </w:r>
          </w:p>
        </w:tc>
        <w:tc>
          <w:tcPr>
            <w:tcW w:w="553" w:type="pct"/>
            <w:tcBorders>
              <w:top w:val="single" w:sz="4" w:space="0" w:color="auto"/>
              <w:bottom w:val="single" w:sz="4" w:space="0" w:color="auto"/>
            </w:tcBorders>
            <w:vAlign w:val="center"/>
          </w:tcPr>
          <w:p w:rsidR="002537D1" w:rsidRPr="006325C2" w:rsidRDefault="002537D1" w:rsidP="008255B4">
            <w:pPr>
              <w:spacing w:before="60" w:line="288" w:lineRule="auto"/>
            </w:pPr>
            <w:r w:rsidRPr="00CD7214">
              <w:rPr>
                <w:i/>
              </w:rPr>
              <w:t>P</w:t>
            </w:r>
            <w:r w:rsidRPr="006325C2">
              <w:t xml:space="preserve"> for survival</w:t>
            </w:r>
            <w:r w:rsidR="00092B89" w:rsidRPr="006325C2">
              <w:t xml:space="preserve"> rate</w:t>
            </w:r>
            <w:r w:rsidRPr="006325C2">
              <w:rPr>
                <w:vertAlign w:val="superscript"/>
              </w:rPr>
              <w:t>2</w:t>
            </w:r>
          </w:p>
        </w:tc>
      </w:tr>
      <w:tr w:rsidR="002537D1" w:rsidRPr="006325C2" w:rsidTr="00CD7214">
        <w:tc>
          <w:tcPr>
            <w:tcW w:w="1612" w:type="pct"/>
            <w:tcBorders>
              <w:top w:val="single" w:sz="4" w:space="0" w:color="auto"/>
            </w:tcBorders>
            <w:vAlign w:val="center"/>
          </w:tcPr>
          <w:p w:rsidR="002537D1" w:rsidRPr="006325C2" w:rsidRDefault="002537D1" w:rsidP="008255B4">
            <w:pPr>
              <w:spacing w:before="60" w:line="288" w:lineRule="auto"/>
            </w:pPr>
            <w:r w:rsidRPr="006325C2">
              <w:t>Age at diagnosis</w:t>
            </w:r>
          </w:p>
        </w:tc>
        <w:tc>
          <w:tcPr>
            <w:tcW w:w="479" w:type="pct"/>
            <w:tcBorders>
              <w:top w:val="single" w:sz="4" w:space="0" w:color="auto"/>
            </w:tcBorders>
            <w:vAlign w:val="center"/>
          </w:tcPr>
          <w:p w:rsidR="002537D1" w:rsidRPr="006325C2" w:rsidRDefault="002537D1" w:rsidP="008255B4">
            <w:pPr>
              <w:spacing w:before="60" w:line="288" w:lineRule="auto"/>
              <w:jc w:val="right"/>
            </w:pPr>
          </w:p>
        </w:tc>
        <w:tc>
          <w:tcPr>
            <w:tcW w:w="478" w:type="pct"/>
            <w:tcBorders>
              <w:top w:val="single" w:sz="4" w:space="0" w:color="auto"/>
            </w:tcBorders>
            <w:vAlign w:val="center"/>
          </w:tcPr>
          <w:p w:rsidR="002537D1" w:rsidRPr="006325C2" w:rsidRDefault="002537D1" w:rsidP="008255B4">
            <w:pPr>
              <w:spacing w:before="60" w:line="288" w:lineRule="auto"/>
              <w:jc w:val="right"/>
            </w:pPr>
          </w:p>
        </w:tc>
        <w:tc>
          <w:tcPr>
            <w:tcW w:w="649" w:type="pct"/>
            <w:tcBorders>
              <w:top w:val="single" w:sz="4" w:space="0" w:color="auto"/>
            </w:tcBorders>
            <w:vAlign w:val="center"/>
          </w:tcPr>
          <w:p w:rsidR="002537D1" w:rsidRPr="006325C2" w:rsidRDefault="002537D1" w:rsidP="008255B4">
            <w:pPr>
              <w:spacing w:before="60" w:line="288" w:lineRule="auto"/>
              <w:jc w:val="center"/>
            </w:pPr>
          </w:p>
        </w:tc>
        <w:tc>
          <w:tcPr>
            <w:tcW w:w="477" w:type="pct"/>
            <w:tcBorders>
              <w:top w:val="single" w:sz="4" w:space="0" w:color="auto"/>
            </w:tcBorders>
            <w:vAlign w:val="center"/>
          </w:tcPr>
          <w:p w:rsidR="002537D1" w:rsidRPr="006325C2" w:rsidRDefault="002537D1" w:rsidP="008255B4">
            <w:pPr>
              <w:spacing w:before="60" w:line="288" w:lineRule="auto"/>
            </w:pPr>
          </w:p>
        </w:tc>
        <w:tc>
          <w:tcPr>
            <w:tcW w:w="752" w:type="pct"/>
            <w:tcBorders>
              <w:top w:val="single" w:sz="4" w:space="0" w:color="auto"/>
            </w:tcBorders>
            <w:vAlign w:val="center"/>
          </w:tcPr>
          <w:p w:rsidR="002537D1" w:rsidRPr="006325C2" w:rsidRDefault="002537D1" w:rsidP="008255B4">
            <w:pPr>
              <w:spacing w:before="60" w:line="288" w:lineRule="auto"/>
              <w:jc w:val="center"/>
            </w:pPr>
          </w:p>
        </w:tc>
        <w:tc>
          <w:tcPr>
            <w:tcW w:w="553" w:type="pct"/>
            <w:tcBorders>
              <w:top w:val="single" w:sz="4" w:space="0" w:color="auto"/>
            </w:tcBorders>
            <w:vAlign w:val="center"/>
          </w:tcPr>
          <w:p w:rsidR="002537D1" w:rsidRPr="006325C2" w:rsidRDefault="002537D1" w:rsidP="008255B4">
            <w:pPr>
              <w:spacing w:before="60" w:line="288" w:lineRule="auto"/>
            </w:pP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&lt; 65 years</w:t>
            </w:r>
          </w:p>
        </w:tc>
        <w:tc>
          <w:tcPr>
            <w:tcW w:w="479" w:type="pct"/>
            <w:vAlign w:val="center"/>
          </w:tcPr>
          <w:p w:rsidR="005C539A" w:rsidRPr="006325C2" w:rsidRDefault="005C539A" w:rsidP="008255B4">
            <w:pPr>
              <w:spacing w:before="60" w:line="288" w:lineRule="auto"/>
              <w:jc w:val="right"/>
            </w:pPr>
            <w:r w:rsidRPr="006325C2">
              <w:t>6,439</w:t>
            </w:r>
          </w:p>
        </w:tc>
        <w:tc>
          <w:tcPr>
            <w:tcW w:w="478" w:type="pct"/>
            <w:vAlign w:val="center"/>
          </w:tcPr>
          <w:p w:rsidR="005C539A" w:rsidRPr="006325C2" w:rsidRDefault="005C539A" w:rsidP="008255B4">
            <w:pPr>
              <w:spacing w:before="60" w:line="288" w:lineRule="auto"/>
              <w:jc w:val="right"/>
            </w:pPr>
            <w:r w:rsidRPr="006325C2">
              <w:t>5,087</w:t>
            </w:r>
          </w:p>
        </w:tc>
        <w:tc>
          <w:tcPr>
            <w:tcW w:w="649" w:type="pct"/>
            <w:vAlign w:val="center"/>
          </w:tcPr>
          <w:p w:rsidR="005C539A" w:rsidRPr="006325C2" w:rsidRDefault="005C539A" w:rsidP="008255B4">
            <w:pPr>
              <w:spacing w:before="60" w:line="288" w:lineRule="auto"/>
              <w:jc w:val="center"/>
            </w:pPr>
            <w:r w:rsidRPr="006325C2">
              <w:t>883 ± 413</w:t>
            </w:r>
          </w:p>
        </w:tc>
        <w:tc>
          <w:tcPr>
            <w:tcW w:w="477" w:type="pct"/>
            <w:vAlign w:val="center"/>
          </w:tcPr>
          <w:p w:rsidR="005C539A" w:rsidRPr="006325C2" w:rsidRDefault="005C539A" w:rsidP="008255B4">
            <w:pPr>
              <w:spacing w:before="60" w:line="288" w:lineRule="auto"/>
            </w:pPr>
            <w:r w:rsidRPr="006325C2">
              <w:t>ref</w:t>
            </w:r>
          </w:p>
        </w:tc>
        <w:tc>
          <w:tcPr>
            <w:tcW w:w="752" w:type="pct"/>
            <w:vAlign w:val="center"/>
          </w:tcPr>
          <w:p w:rsidR="005C539A" w:rsidRPr="006325C2" w:rsidRDefault="005C539A" w:rsidP="008255B4">
            <w:pPr>
              <w:spacing w:before="60" w:line="288" w:lineRule="auto"/>
              <w:jc w:val="center"/>
            </w:pPr>
            <w:r w:rsidRPr="006325C2">
              <w:t>23.8 (22.8, 24.9)</w:t>
            </w:r>
          </w:p>
        </w:tc>
        <w:tc>
          <w:tcPr>
            <w:tcW w:w="553" w:type="pct"/>
            <w:vAlign w:val="center"/>
          </w:tcPr>
          <w:p w:rsidR="005C539A" w:rsidRPr="006325C2" w:rsidRDefault="005C539A" w:rsidP="008255B4">
            <w:pPr>
              <w:spacing w:before="60" w:line="288" w:lineRule="auto"/>
            </w:pPr>
            <w:r w:rsidRPr="006325C2">
              <w:t>ref</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65-75 years</w:t>
            </w:r>
          </w:p>
        </w:tc>
        <w:tc>
          <w:tcPr>
            <w:tcW w:w="479" w:type="pct"/>
            <w:vAlign w:val="center"/>
          </w:tcPr>
          <w:p w:rsidR="005C539A" w:rsidRPr="006325C2" w:rsidRDefault="005C539A" w:rsidP="008255B4">
            <w:pPr>
              <w:spacing w:before="60" w:line="288" w:lineRule="auto"/>
              <w:jc w:val="right"/>
            </w:pPr>
            <w:r w:rsidRPr="006325C2">
              <w:t>13,263</w:t>
            </w:r>
          </w:p>
        </w:tc>
        <w:tc>
          <w:tcPr>
            <w:tcW w:w="478" w:type="pct"/>
            <w:vAlign w:val="center"/>
          </w:tcPr>
          <w:p w:rsidR="005C539A" w:rsidRPr="006325C2" w:rsidRDefault="005C539A" w:rsidP="008255B4">
            <w:pPr>
              <w:spacing w:before="60" w:line="288" w:lineRule="auto"/>
              <w:jc w:val="right"/>
            </w:pPr>
            <w:r w:rsidRPr="006325C2">
              <w:t>11,039</w:t>
            </w:r>
          </w:p>
        </w:tc>
        <w:tc>
          <w:tcPr>
            <w:tcW w:w="649" w:type="pct"/>
            <w:vAlign w:val="center"/>
          </w:tcPr>
          <w:p w:rsidR="005C539A" w:rsidRPr="006325C2" w:rsidRDefault="005C539A" w:rsidP="008255B4">
            <w:pPr>
              <w:spacing w:before="60" w:line="288" w:lineRule="auto"/>
              <w:jc w:val="center"/>
            </w:pPr>
            <w:r w:rsidRPr="006325C2">
              <w:t>930 ± 412</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21.0 (20.3, 21.7)</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&gt; 75 years</w:t>
            </w:r>
          </w:p>
        </w:tc>
        <w:tc>
          <w:tcPr>
            <w:tcW w:w="479" w:type="pct"/>
            <w:vAlign w:val="center"/>
          </w:tcPr>
          <w:p w:rsidR="005C539A" w:rsidRPr="006325C2" w:rsidRDefault="005C539A" w:rsidP="008255B4">
            <w:pPr>
              <w:spacing w:before="60" w:line="288" w:lineRule="auto"/>
              <w:jc w:val="right"/>
            </w:pPr>
            <w:r w:rsidRPr="006325C2">
              <w:t>4,180</w:t>
            </w:r>
          </w:p>
        </w:tc>
        <w:tc>
          <w:tcPr>
            <w:tcW w:w="478" w:type="pct"/>
            <w:vAlign w:val="center"/>
          </w:tcPr>
          <w:p w:rsidR="005C539A" w:rsidRPr="006325C2" w:rsidRDefault="005C539A" w:rsidP="008255B4">
            <w:pPr>
              <w:spacing w:before="60" w:line="288" w:lineRule="auto"/>
              <w:jc w:val="right"/>
            </w:pPr>
            <w:r w:rsidRPr="006325C2">
              <w:t>3,412</w:t>
            </w:r>
          </w:p>
        </w:tc>
        <w:tc>
          <w:tcPr>
            <w:tcW w:w="649" w:type="pct"/>
            <w:vAlign w:val="center"/>
          </w:tcPr>
          <w:p w:rsidR="005C539A" w:rsidRPr="006325C2" w:rsidRDefault="005C539A" w:rsidP="008255B4">
            <w:pPr>
              <w:spacing w:before="60" w:line="288" w:lineRule="auto"/>
              <w:jc w:val="center"/>
            </w:pPr>
            <w:r w:rsidRPr="006325C2">
              <w:t>947 ± 412</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18.0 (16.8, 19.2)</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pPr>
            <w:r w:rsidRPr="006325C2">
              <w:t>Sex</w:t>
            </w:r>
          </w:p>
        </w:tc>
        <w:tc>
          <w:tcPr>
            <w:tcW w:w="479" w:type="pct"/>
            <w:vAlign w:val="center"/>
          </w:tcPr>
          <w:p w:rsidR="005C539A" w:rsidRPr="006325C2" w:rsidRDefault="005C539A" w:rsidP="008255B4">
            <w:pPr>
              <w:spacing w:before="60" w:line="288" w:lineRule="auto"/>
              <w:jc w:val="right"/>
            </w:pPr>
          </w:p>
        </w:tc>
        <w:tc>
          <w:tcPr>
            <w:tcW w:w="478" w:type="pct"/>
            <w:vAlign w:val="center"/>
          </w:tcPr>
          <w:p w:rsidR="005C539A" w:rsidRPr="006325C2" w:rsidRDefault="005C539A" w:rsidP="008255B4">
            <w:pPr>
              <w:spacing w:before="60" w:line="288" w:lineRule="auto"/>
              <w:jc w:val="right"/>
            </w:pPr>
          </w:p>
        </w:tc>
        <w:tc>
          <w:tcPr>
            <w:tcW w:w="649" w:type="pct"/>
            <w:vAlign w:val="center"/>
          </w:tcPr>
          <w:p w:rsidR="005C539A" w:rsidRPr="006325C2" w:rsidRDefault="005C539A" w:rsidP="008255B4">
            <w:pPr>
              <w:spacing w:before="60" w:line="288" w:lineRule="auto"/>
              <w:jc w:val="center"/>
            </w:pPr>
          </w:p>
        </w:tc>
        <w:tc>
          <w:tcPr>
            <w:tcW w:w="477" w:type="pct"/>
            <w:vAlign w:val="center"/>
          </w:tcPr>
          <w:p w:rsidR="005C539A" w:rsidRPr="006325C2" w:rsidRDefault="005C539A" w:rsidP="008255B4">
            <w:pPr>
              <w:spacing w:before="60" w:line="288" w:lineRule="auto"/>
            </w:pPr>
          </w:p>
        </w:tc>
        <w:tc>
          <w:tcPr>
            <w:tcW w:w="752" w:type="pct"/>
            <w:vAlign w:val="center"/>
          </w:tcPr>
          <w:p w:rsidR="005C539A" w:rsidRPr="006325C2" w:rsidRDefault="005C539A" w:rsidP="008255B4">
            <w:pPr>
              <w:spacing w:before="60" w:line="288" w:lineRule="auto"/>
              <w:jc w:val="center"/>
            </w:pPr>
          </w:p>
        </w:tc>
        <w:tc>
          <w:tcPr>
            <w:tcW w:w="553" w:type="pct"/>
            <w:vAlign w:val="center"/>
          </w:tcPr>
          <w:p w:rsidR="005C539A" w:rsidRPr="006325C2" w:rsidRDefault="005C539A" w:rsidP="008255B4">
            <w:pPr>
              <w:spacing w:before="60" w:line="288" w:lineRule="auto"/>
            </w:pPr>
          </w:p>
        </w:tc>
      </w:tr>
      <w:tr w:rsidR="005C539A" w:rsidRPr="006325C2" w:rsidTr="00CD7214">
        <w:tc>
          <w:tcPr>
            <w:tcW w:w="1612" w:type="pct"/>
            <w:vAlign w:val="center"/>
          </w:tcPr>
          <w:p w:rsidR="005C539A" w:rsidRPr="006325C2" w:rsidRDefault="005C539A" w:rsidP="008255B4">
            <w:pPr>
              <w:spacing w:before="60" w:line="288" w:lineRule="auto"/>
              <w:ind w:firstLine="180"/>
            </w:pPr>
            <w:r w:rsidRPr="006325C2">
              <w:t>Female</w:t>
            </w:r>
          </w:p>
        </w:tc>
        <w:tc>
          <w:tcPr>
            <w:tcW w:w="479" w:type="pct"/>
            <w:vAlign w:val="center"/>
          </w:tcPr>
          <w:p w:rsidR="005C539A" w:rsidRPr="006325C2" w:rsidRDefault="005C539A" w:rsidP="008255B4">
            <w:pPr>
              <w:spacing w:before="60" w:line="288" w:lineRule="auto"/>
              <w:jc w:val="right"/>
            </w:pPr>
            <w:r w:rsidRPr="006325C2">
              <w:t>11,574</w:t>
            </w:r>
          </w:p>
        </w:tc>
        <w:tc>
          <w:tcPr>
            <w:tcW w:w="478" w:type="pct"/>
            <w:vAlign w:val="center"/>
          </w:tcPr>
          <w:p w:rsidR="005C539A" w:rsidRPr="006325C2" w:rsidRDefault="005C539A" w:rsidP="008255B4">
            <w:pPr>
              <w:spacing w:before="60" w:line="288" w:lineRule="auto"/>
              <w:jc w:val="right"/>
            </w:pPr>
            <w:r w:rsidRPr="006325C2">
              <w:t>9,021</w:t>
            </w:r>
          </w:p>
        </w:tc>
        <w:tc>
          <w:tcPr>
            <w:tcW w:w="649" w:type="pct"/>
            <w:vAlign w:val="center"/>
          </w:tcPr>
          <w:p w:rsidR="005C539A" w:rsidRPr="006325C2" w:rsidRDefault="005C539A" w:rsidP="008255B4">
            <w:pPr>
              <w:spacing w:before="60" w:line="288" w:lineRule="auto"/>
              <w:jc w:val="center"/>
            </w:pPr>
            <w:r w:rsidRPr="006325C2">
              <w:t xml:space="preserve">897 ± </w:t>
            </w:r>
            <w:r w:rsidR="001F5FD4" w:rsidRPr="006325C2">
              <w:t>425</w:t>
            </w:r>
          </w:p>
        </w:tc>
        <w:tc>
          <w:tcPr>
            <w:tcW w:w="477" w:type="pct"/>
            <w:vAlign w:val="center"/>
          </w:tcPr>
          <w:p w:rsidR="005C539A" w:rsidRPr="006325C2" w:rsidRDefault="005C539A" w:rsidP="008255B4">
            <w:pPr>
              <w:spacing w:before="60" w:line="288" w:lineRule="auto"/>
            </w:pPr>
            <w:r w:rsidRPr="006325C2">
              <w:t>ref</w:t>
            </w:r>
          </w:p>
        </w:tc>
        <w:tc>
          <w:tcPr>
            <w:tcW w:w="752" w:type="pct"/>
            <w:vAlign w:val="center"/>
          </w:tcPr>
          <w:p w:rsidR="005C539A" w:rsidRPr="006325C2" w:rsidRDefault="005C539A" w:rsidP="008255B4">
            <w:pPr>
              <w:spacing w:before="60" w:line="288" w:lineRule="auto"/>
              <w:jc w:val="center"/>
            </w:pPr>
            <w:r w:rsidRPr="006325C2">
              <w:t>25.3 (24.5, 26.2)</w:t>
            </w:r>
          </w:p>
        </w:tc>
        <w:tc>
          <w:tcPr>
            <w:tcW w:w="553" w:type="pct"/>
            <w:vAlign w:val="center"/>
          </w:tcPr>
          <w:p w:rsidR="005C539A" w:rsidRPr="006325C2" w:rsidRDefault="005C539A" w:rsidP="008255B4">
            <w:pPr>
              <w:spacing w:before="60" w:line="288" w:lineRule="auto"/>
            </w:pPr>
            <w:r w:rsidRPr="006325C2">
              <w:t>ref</w:t>
            </w:r>
          </w:p>
        </w:tc>
      </w:tr>
      <w:tr w:rsidR="005C539A" w:rsidRPr="006325C2" w:rsidTr="00CD7214">
        <w:tc>
          <w:tcPr>
            <w:tcW w:w="1612" w:type="pct"/>
            <w:vAlign w:val="center"/>
          </w:tcPr>
          <w:p w:rsidR="005C539A" w:rsidRPr="006325C2" w:rsidRDefault="005C539A" w:rsidP="008255B4">
            <w:pPr>
              <w:spacing w:before="60" w:line="288" w:lineRule="auto"/>
              <w:ind w:firstLine="180"/>
            </w:pPr>
            <w:r w:rsidRPr="006325C2">
              <w:t>Male</w:t>
            </w:r>
          </w:p>
        </w:tc>
        <w:tc>
          <w:tcPr>
            <w:tcW w:w="479" w:type="pct"/>
            <w:vAlign w:val="center"/>
          </w:tcPr>
          <w:p w:rsidR="005C539A" w:rsidRPr="006325C2" w:rsidRDefault="005C539A" w:rsidP="008255B4">
            <w:pPr>
              <w:spacing w:before="60" w:line="288" w:lineRule="auto"/>
              <w:jc w:val="right"/>
            </w:pPr>
            <w:r w:rsidRPr="006325C2">
              <w:t>12,308</w:t>
            </w:r>
          </w:p>
        </w:tc>
        <w:tc>
          <w:tcPr>
            <w:tcW w:w="478" w:type="pct"/>
            <w:vAlign w:val="center"/>
          </w:tcPr>
          <w:p w:rsidR="005C539A" w:rsidRPr="006325C2" w:rsidRDefault="005C539A" w:rsidP="008255B4">
            <w:pPr>
              <w:spacing w:before="60" w:line="288" w:lineRule="auto"/>
              <w:jc w:val="right"/>
            </w:pPr>
            <w:r w:rsidRPr="006325C2">
              <w:t>10,517</w:t>
            </w:r>
          </w:p>
        </w:tc>
        <w:tc>
          <w:tcPr>
            <w:tcW w:w="649" w:type="pct"/>
            <w:vAlign w:val="center"/>
          </w:tcPr>
          <w:p w:rsidR="005C539A" w:rsidRPr="006325C2" w:rsidRDefault="001F5FD4" w:rsidP="008255B4">
            <w:pPr>
              <w:spacing w:before="60" w:line="288" w:lineRule="auto"/>
              <w:jc w:val="center"/>
            </w:pPr>
            <w:r w:rsidRPr="006325C2">
              <w:t>944</w:t>
            </w:r>
            <w:r w:rsidR="005C539A" w:rsidRPr="006325C2">
              <w:t xml:space="preserve"> ± </w:t>
            </w:r>
            <w:r w:rsidRPr="006325C2">
              <w:t>424</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17.5 (16.8, 18.2)</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pPr>
            <w:r w:rsidRPr="006325C2">
              <w:t>Race</w:t>
            </w:r>
          </w:p>
        </w:tc>
        <w:tc>
          <w:tcPr>
            <w:tcW w:w="479" w:type="pct"/>
            <w:vAlign w:val="center"/>
          </w:tcPr>
          <w:p w:rsidR="005C539A" w:rsidRPr="006325C2" w:rsidRDefault="005C539A" w:rsidP="008255B4">
            <w:pPr>
              <w:spacing w:before="60" w:line="288" w:lineRule="auto"/>
              <w:jc w:val="right"/>
            </w:pPr>
          </w:p>
        </w:tc>
        <w:tc>
          <w:tcPr>
            <w:tcW w:w="478" w:type="pct"/>
            <w:vAlign w:val="center"/>
          </w:tcPr>
          <w:p w:rsidR="005C539A" w:rsidRPr="006325C2" w:rsidRDefault="005C539A" w:rsidP="008255B4">
            <w:pPr>
              <w:spacing w:before="60" w:line="288" w:lineRule="auto"/>
              <w:jc w:val="right"/>
            </w:pPr>
          </w:p>
        </w:tc>
        <w:tc>
          <w:tcPr>
            <w:tcW w:w="649" w:type="pct"/>
            <w:vAlign w:val="center"/>
          </w:tcPr>
          <w:p w:rsidR="005C539A" w:rsidRPr="006325C2" w:rsidRDefault="005C539A" w:rsidP="008255B4">
            <w:pPr>
              <w:spacing w:before="60" w:line="288" w:lineRule="auto"/>
              <w:jc w:val="center"/>
            </w:pPr>
          </w:p>
        </w:tc>
        <w:tc>
          <w:tcPr>
            <w:tcW w:w="477" w:type="pct"/>
            <w:vAlign w:val="center"/>
          </w:tcPr>
          <w:p w:rsidR="005C539A" w:rsidRPr="006325C2" w:rsidRDefault="005C539A" w:rsidP="008255B4">
            <w:pPr>
              <w:spacing w:before="60" w:line="288" w:lineRule="auto"/>
            </w:pPr>
          </w:p>
        </w:tc>
        <w:tc>
          <w:tcPr>
            <w:tcW w:w="752" w:type="pct"/>
            <w:vAlign w:val="center"/>
          </w:tcPr>
          <w:p w:rsidR="005C539A" w:rsidRPr="006325C2" w:rsidRDefault="005C539A" w:rsidP="008255B4">
            <w:pPr>
              <w:spacing w:before="60" w:line="288" w:lineRule="auto"/>
              <w:jc w:val="center"/>
            </w:pPr>
          </w:p>
        </w:tc>
        <w:tc>
          <w:tcPr>
            <w:tcW w:w="553" w:type="pct"/>
            <w:vAlign w:val="center"/>
          </w:tcPr>
          <w:p w:rsidR="005C539A" w:rsidRPr="006325C2" w:rsidRDefault="005C539A" w:rsidP="008255B4">
            <w:pPr>
              <w:spacing w:before="60" w:line="288" w:lineRule="auto"/>
            </w:pPr>
          </w:p>
        </w:tc>
      </w:tr>
      <w:tr w:rsidR="005C539A" w:rsidRPr="006325C2" w:rsidTr="00CD7214">
        <w:tc>
          <w:tcPr>
            <w:tcW w:w="1612" w:type="pct"/>
            <w:vAlign w:val="center"/>
          </w:tcPr>
          <w:p w:rsidR="005C539A" w:rsidRPr="006325C2" w:rsidRDefault="005C539A" w:rsidP="008255B4">
            <w:pPr>
              <w:spacing w:before="60" w:line="288" w:lineRule="auto"/>
              <w:ind w:firstLine="180"/>
            </w:pPr>
            <w:r w:rsidRPr="006325C2">
              <w:t>White</w:t>
            </w:r>
          </w:p>
        </w:tc>
        <w:tc>
          <w:tcPr>
            <w:tcW w:w="479" w:type="pct"/>
            <w:vAlign w:val="center"/>
          </w:tcPr>
          <w:p w:rsidR="005C539A" w:rsidRPr="006325C2" w:rsidRDefault="005C539A" w:rsidP="008255B4">
            <w:pPr>
              <w:spacing w:before="60" w:line="288" w:lineRule="auto"/>
              <w:jc w:val="right"/>
            </w:pPr>
            <w:r w:rsidRPr="006325C2">
              <w:t>19,448</w:t>
            </w:r>
          </w:p>
        </w:tc>
        <w:tc>
          <w:tcPr>
            <w:tcW w:w="478" w:type="pct"/>
            <w:vAlign w:val="center"/>
          </w:tcPr>
          <w:p w:rsidR="005C539A" w:rsidRPr="006325C2" w:rsidRDefault="005C539A" w:rsidP="008255B4">
            <w:pPr>
              <w:spacing w:before="60" w:line="288" w:lineRule="auto"/>
              <w:jc w:val="right"/>
            </w:pPr>
            <w:r w:rsidRPr="006325C2">
              <w:t>16,137</w:t>
            </w:r>
          </w:p>
        </w:tc>
        <w:tc>
          <w:tcPr>
            <w:tcW w:w="649" w:type="pct"/>
            <w:vAlign w:val="center"/>
          </w:tcPr>
          <w:p w:rsidR="005C539A" w:rsidRPr="006325C2" w:rsidRDefault="001F5FD4" w:rsidP="008255B4">
            <w:pPr>
              <w:spacing w:before="60" w:line="288" w:lineRule="auto"/>
              <w:jc w:val="center"/>
            </w:pPr>
            <w:r w:rsidRPr="006325C2">
              <w:t>979</w:t>
            </w:r>
            <w:r w:rsidR="005C539A" w:rsidRPr="006325C2">
              <w:t xml:space="preserve"> ± 3</w:t>
            </w:r>
            <w:r w:rsidRPr="006325C2">
              <w:t>89</w:t>
            </w:r>
          </w:p>
        </w:tc>
        <w:tc>
          <w:tcPr>
            <w:tcW w:w="477" w:type="pct"/>
            <w:vAlign w:val="center"/>
          </w:tcPr>
          <w:p w:rsidR="005C539A" w:rsidRPr="006325C2" w:rsidRDefault="005C539A" w:rsidP="008255B4">
            <w:pPr>
              <w:spacing w:before="60" w:line="288" w:lineRule="auto"/>
            </w:pPr>
            <w:r w:rsidRPr="006325C2">
              <w:t>ref</w:t>
            </w:r>
          </w:p>
        </w:tc>
        <w:tc>
          <w:tcPr>
            <w:tcW w:w="752" w:type="pct"/>
            <w:vAlign w:val="center"/>
          </w:tcPr>
          <w:p w:rsidR="005C539A" w:rsidRPr="006325C2" w:rsidRDefault="005C539A" w:rsidP="008255B4">
            <w:pPr>
              <w:spacing w:before="60" w:line="288" w:lineRule="auto"/>
              <w:jc w:val="center"/>
            </w:pPr>
            <w:r w:rsidRPr="006325C2">
              <w:t>21.1 (20.6, 21.7)</w:t>
            </w:r>
          </w:p>
        </w:tc>
        <w:tc>
          <w:tcPr>
            <w:tcW w:w="553" w:type="pct"/>
            <w:vAlign w:val="center"/>
          </w:tcPr>
          <w:p w:rsidR="005C539A" w:rsidRPr="006325C2" w:rsidRDefault="005C539A" w:rsidP="008255B4">
            <w:pPr>
              <w:spacing w:before="60" w:line="288" w:lineRule="auto"/>
            </w:pPr>
            <w:r w:rsidRPr="006325C2">
              <w:t>ref</w:t>
            </w:r>
          </w:p>
        </w:tc>
      </w:tr>
      <w:tr w:rsidR="005C539A" w:rsidRPr="006325C2" w:rsidTr="00CD7214">
        <w:tc>
          <w:tcPr>
            <w:tcW w:w="1612" w:type="pct"/>
            <w:vAlign w:val="center"/>
          </w:tcPr>
          <w:p w:rsidR="005C539A" w:rsidRPr="006325C2" w:rsidRDefault="005C539A" w:rsidP="008255B4">
            <w:pPr>
              <w:spacing w:before="60" w:line="288" w:lineRule="auto"/>
              <w:ind w:firstLine="180"/>
            </w:pPr>
            <w:r w:rsidRPr="006325C2">
              <w:t>Black</w:t>
            </w:r>
          </w:p>
        </w:tc>
        <w:tc>
          <w:tcPr>
            <w:tcW w:w="479" w:type="pct"/>
            <w:vAlign w:val="center"/>
          </w:tcPr>
          <w:p w:rsidR="005C539A" w:rsidRPr="006325C2" w:rsidRDefault="005C539A" w:rsidP="008255B4">
            <w:pPr>
              <w:spacing w:before="60" w:line="288" w:lineRule="auto"/>
              <w:jc w:val="right"/>
            </w:pPr>
            <w:r w:rsidRPr="006325C2">
              <w:t>1,037</w:t>
            </w:r>
          </w:p>
        </w:tc>
        <w:tc>
          <w:tcPr>
            <w:tcW w:w="478" w:type="pct"/>
            <w:vAlign w:val="center"/>
          </w:tcPr>
          <w:p w:rsidR="005C539A" w:rsidRPr="006325C2" w:rsidRDefault="005C539A" w:rsidP="008255B4">
            <w:pPr>
              <w:spacing w:before="60" w:line="288" w:lineRule="auto"/>
              <w:jc w:val="right"/>
            </w:pPr>
            <w:r w:rsidRPr="006325C2">
              <w:t>780</w:t>
            </w:r>
          </w:p>
        </w:tc>
        <w:tc>
          <w:tcPr>
            <w:tcW w:w="649" w:type="pct"/>
            <w:vAlign w:val="center"/>
          </w:tcPr>
          <w:p w:rsidR="005C539A" w:rsidRPr="006325C2" w:rsidRDefault="005C539A" w:rsidP="008255B4">
            <w:pPr>
              <w:spacing w:before="60" w:line="288" w:lineRule="auto"/>
              <w:jc w:val="center"/>
            </w:pPr>
            <w:r w:rsidRPr="006325C2">
              <w:t>7</w:t>
            </w:r>
            <w:r w:rsidR="001F5FD4" w:rsidRPr="006325C2">
              <w:t>89</w:t>
            </w:r>
            <w:r w:rsidRPr="006325C2">
              <w:t xml:space="preserve"> ± 3</w:t>
            </w:r>
            <w:r w:rsidR="001F5FD4" w:rsidRPr="006325C2">
              <w:t>92</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22.5 (19.9, 25.2)</w:t>
            </w:r>
          </w:p>
        </w:tc>
        <w:tc>
          <w:tcPr>
            <w:tcW w:w="553" w:type="pct"/>
            <w:vAlign w:val="center"/>
          </w:tcPr>
          <w:p w:rsidR="005C539A" w:rsidRPr="006325C2" w:rsidRDefault="005C539A" w:rsidP="008255B4">
            <w:pPr>
              <w:spacing w:before="60" w:line="288" w:lineRule="auto"/>
            </w:pPr>
            <w:r w:rsidRPr="006325C2">
              <w:t>0.99</w:t>
            </w:r>
          </w:p>
        </w:tc>
      </w:tr>
      <w:tr w:rsidR="005C539A" w:rsidRPr="006325C2" w:rsidTr="00CD7214">
        <w:tc>
          <w:tcPr>
            <w:tcW w:w="1612" w:type="pct"/>
            <w:vAlign w:val="center"/>
          </w:tcPr>
          <w:p w:rsidR="005C539A" w:rsidRPr="006325C2" w:rsidRDefault="005C539A" w:rsidP="008255B4">
            <w:pPr>
              <w:spacing w:before="60" w:line="288" w:lineRule="auto"/>
              <w:ind w:firstLine="180"/>
            </w:pPr>
            <w:r w:rsidRPr="006325C2">
              <w:t>Asian</w:t>
            </w:r>
          </w:p>
        </w:tc>
        <w:tc>
          <w:tcPr>
            <w:tcW w:w="479" w:type="pct"/>
            <w:vAlign w:val="center"/>
          </w:tcPr>
          <w:p w:rsidR="005C539A" w:rsidRPr="006325C2" w:rsidRDefault="005C539A" w:rsidP="008255B4">
            <w:pPr>
              <w:spacing w:before="60" w:line="288" w:lineRule="auto"/>
              <w:jc w:val="right"/>
            </w:pPr>
            <w:r w:rsidRPr="006325C2">
              <w:t>3,140</w:t>
            </w:r>
          </w:p>
        </w:tc>
        <w:tc>
          <w:tcPr>
            <w:tcW w:w="478" w:type="pct"/>
            <w:vAlign w:val="center"/>
          </w:tcPr>
          <w:p w:rsidR="005C539A" w:rsidRPr="006325C2" w:rsidRDefault="005C539A" w:rsidP="008255B4">
            <w:pPr>
              <w:spacing w:before="60" w:line="288" w:lineRule="auto"/>
              <w:jc w:val="right"/>
            </w:pPr>
            <w:r w:rsidRPr="006325C2">
              <w:t>2,408</w:t>
            </w:r>
          </w:p>
        </w:tc>
        <w:tc>
          <w:tcPr>
            <w:tcW w:w="649" w:type="pct"/>
            <w:vAlign w:val="center"/>
          </w:tcPr>
          <w:p w:rsidR="005C539A" w:rsidRPr="006325C2" w:rsidRDefault="005C539A" w:rsidP="008255B4">
            <w:pPr>
              <w:spacing w:before="60" w:line="288" w:lineRule="auto"/>
              <w:jc w:val="center"/>
            </w:pPr>
            <w:r w:rsidRPr="006325C2">
              <w:t>5</w:t>
            </w:r>
            <w:r w:rsidR="001F5FD4" w:rsidRPr="006325C2">
              <w:t>93</w:t>
            </w:r>
            <w:r w:rsidRPr="006325C2">
              <w:t xml:space="preserve"> ± 3</w:t>
            </w:r>
            <w:r w:rsidR="001F5FD4" w:rsidRPr="006325C2">
              <w:t>96</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21.8 (20.3, 23.3)</w:t>
            </w:r>
          </w:p>
        </w:tc>
        <w:tc>
          <w:tcPr>
            <w:tcW w:w="553" w:type="pct"/>
            <w:vAlign w:val="center"/>
          </w:tcPr>
          <w:p w:rsidR="005C539A" w:rsidRPr="006325C2" w:rsidRDefault="005C539A" w:rsidP="008255B4">
            <w:pPr>
              <w:spacing w:before="60" w:line="288" w:lineRule="auto"/>
            </w:pPr>
            <w:r w:rsidRPr="006325C2">
              <w:t>0.76</w:t>
            </w:r>
          </w:p>
        </w:tc>
      </w:tr>
      <w:tr w:rsidR="005C539A" w:rsidRPr="006325C2" w:rsidTr="00CD7214">
        <w:tc>
          <w:tcPr>
            <w:tcW w:w="1612" w:type="pct"/>
            <w:vAlign w:val="center"/>
          </w:tcPr>
          <w:p w:rsidR="005C539A" w:rsidRPr="006325C2" w:rsidRDefault="005C539A" w:rsidP="008255B4">
            <w:pPr>
              <w:spacing w:before="60" w:line="288" w:lineRule="auto"/>
              <w:ind w:firstLine="180"/>
            </w:pPr>
            <w:r w:rsidRPr="006325C2">
              <w:t xml:space="preserve">Other </w:t>
            </w:r>
          </w:p>
        </w:tc>
        <w:tc>
          <w:tcPr>
            <w:tcW w:w="479" w:type="pct"/>
            <w:vAlign w:val="center"/>
          </w:tcPr>
          <w:p w:rsidR="005C539A" w:rsidRPr="006325C2" w:rsidRDefault="005C539A" w:rsidP="008255B4">
            <w:pPr>
              <w:spacing w:before="60" w:line="288" w:lineRule="auto"/>
              <w:jc w:val="right"/>
            </w:pPr>
            <w:r w:rsidRPr="006325C2">
              <w:t>257</w:t>
            </w:r>
          </w:p>
        </w:tc>
        <w:tc>
          <w:tcPr>
            <w:tcW w:w="478" w:type="pct"/>
            <w:vAlign w:val="center"/>
          </w:tcPr>
          <w:p w:rsidR="005C539A" w:rsidRPr="006325C2" w:rsidRDefault="005C539A" w:rsidP="008255B4">
            <w:pPr>
              <w:spacing w:before="60" w:line="288" w:lineRule="auto"/>
              <w:jc w:val="right"/>
            </w:pPr>
            <w:r w:rsidRPr="006325C2">
              <w:t>213</w:t>
            </w:r>
          </w:p>
        </w:tc>
        <w:tc>
          <w:tcPr>
            <w:tcW w:w="649" w:type="pct"/>
            <w:vAlign w:val="center"/>
          </w:tcPr>
          <w:p w:rsidR="005C539A" w:rsidRPr="006325C2" w:rsidRDefault="00E268C1" w:rsidP="008255B4">
            <w:pPr>
              <w:spacing w:before="60" w:line="288" w:lineRule="auto"/>
              <w:jc w:val="center"/>
            </w:pPr>
            <w:r w:rsidRPr="006325C2">
              <w:t>924</w:t>
            </w:r>
            <w:r w:rsidR="005C539A" w:rsidRPr="006325C2">
              <w:t xml:space="preserve"> ± 3</w:t>
            </w:r>
            <w:r w:rsidRPr="006325C2">
              <w:t>88</w:t>
            </w:r>
          </w:p>
        </w:tc>
        <w:tc>
          <w:tcPr>
            <w:tcW w:w="477" w:type="pct"/>
            <w:vAlign w:val="center"/>
          </w:tcPr>
          <w:p w:rsidR="005C539A" w:rsidRPr="006325C2" w:rsidRDefault="005C539A" w:rsidP="008255B4">
            <w:pPr>
              <w:spacing w:before="60" w:line="288" w:lineRule="auto"/>
            </w:pPr>
            <w:r w:rsidRPr="006325C2">
              <w:t>0.</w:t>
            </w:r>
            <w:r w:rsidR="00E268C1" w:rsidRPr="006325C2">
              <w:t>1</w:t>
            </w:r>
            <w:r w:rsidRPr="006325C2">
              <w:t>4</w:t>
            </w:r>
          </w:p>
        </w:tc>
        <w:tc>
          <w:tcPr>
            <w:tcW w:w="752" w:type="pct"/>
            <w:vAlign w:val="center"/>
          </w:tcPr>
          <w:p w:rsidR="005C539A" w:rsidRPr="006325C2" w:rsidRDefault="005C539A" w:rsidP="008255B4">
            <w:pPr>
              <w:spacing w:before="60" w:line="288" w:lineRule="auto"/>
              <w:jc w:val="center"/>
            </w:pPr>
            <w:r w:rsidRPr="006325C2">
              <w:t>20.0 (15.3, 25.2)</w:t>
            </w:r>
          </w:p>
        </w:tc>
        <w:tc>
          <w:tcPr>
            <w:tcW w:w="553" w:type="pct"/>
            <w:vAlign w:val="center"/>
          </w:tcPr>
          <w:p w:rsidR="005C539A" w:rsidRPr="006325C2" w:rsidRDefault="005C539A" w:rsidP="008255B4">
            <w:pPr>
              <w:spacing w:before="60" w:line="288" w:lineRule="auto"/>
            </w:pPr>
            <w:r w:rsidRPr="006325C2">
              <w:t>0.99</w:t>
            </w:r>
          </w:p>
        </w:tc>
      </w:tr>
      <w:tr w:rsidR="005C539A" w:rsidRPr="006325C2" w:rsidTr="00CD7214">
        <w:tc>
          <w:tcPr>
            <w:tcW w:w="1612" w:type="pct"/>
            <w:vAlign w:val="center"/>
          </w:tcPr>
          <w:p w:rsidR="005C539A" w:rsidRPr="006325C2" w:rsidRDefault="005C539A" w:rsidP="008255B4">
            <w:pPr>
              <w:spacing w:before="60" w:line="288" w:lineRule="auto"/>
            </w:pPr>
            <w:r w:rsidRPr="006325C2">
              <w:t>Education</w:t>
            </w:r>
          </w:p>
        </w:tc>
        <w:tc>
          <w:tcPr>
            <w:tcW w:w="479" w:type="pct"/>
            <w:vAlign w:val="center"/>
          </w:tcPr>
          <w:p w:rsidR="005C539A" w:rsidRPr="006325C2" w:rsidRDefault="005C539A" w:rsidP="008255B4">
            <w:pPr>
              <w:spacing w:before="60" w:line="288" w:lineRule="auto"/>
              <w:jc w:val="right"/>
            </w:pPr>
          </w:p>
        </w:tc>
        <w:tc>
          <w:tcPr>
            <w:tcW w:w="478" w:type="pct"/>
            <w:vAlign w:val="center"/>
          </w:tcPr>
          <w:p w:rsidR="005C539A" w:rsidRPr="006325C2" w:rsidRDefault="005C539A" w:rsidP="008255B4">
            <w:pPr>
              <w:spacing w:before="60" w:line="288" w:lineRule="auto"/>
              <w:jc w:val="right"/>
            </w:pPr>
          </w:p>
        </w:tc>
        <w:tc>
          <w:tcPr>
            <w:tcW w:w="649" w:type="pct"/>
            <w:vAlign w:val="center"/>
          </w:tcPr>
          <w:p w:rsidR="005C539A" w:rsidRPr="006325C2" w:rsidRDefault="005C539A" w:rsidP="008255B4">
            <w:pPr>
              <w:spacing w:before="60" w:line="288" w:lineRule="auto"/>
              <w:jc w:val="center"/>
            </w:pPr>
          </w:p>
        </w:tc>
        <w:tc>
          <w:tcPr>
            <w:tcW w:w="477" w:type="pct"/>
            <w:vAlign w:val="center"/>
          </w:tcPr>
          <w:p w:rsidR="005C539A" w:rsidRPr="006325C2" w:rsidRDefault="005C539A" w:rsidP="008255B4">
            <w:pPr>
              <w:spacing w:before="60" w:line="288" w:lineRule="auto"/>
            </w:pPr>
          </w:p>
        </w:tc>
        <w:tc>
          <w:tcPr>
            <w:tcW w:w="752" w:type="pct"/>
            <w:vAlign w:val="center"/>
          </w:tcPr>
          <w:p w:rsidR="005C539A" w:rsidRPr="006325C2" w:rsidRDefault="005C539A" w:rsidP="008255B4">
            <w:pPr>
              <w:spacing w:before="60" w:line="288" w:lineRule="auto"/>
              <w:jc w:val="center"/>
            </w:pPr>
          </w:p>
        </w:tc>
        <w:tc>
          <w:tcPr>
            <w:tcW w:w="553" w:type="pct"/>
            <w:vAlign w:val="center"/>
          </w:tcPr>
          <w:p w:rsidR="005C539A" w:rsidRPr="006325C2" w:rsidRDefault="005C539A" w:rsidP="008255B4">
            <w:pPr>
              <w:spacing w:before="60" w:line="288" w:lineRule="auto"/>
            </w:pP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High school</w:t>
            </w:r>
          </w:p>
        </w:tc>
        <w:tc>
          <w:tcPr>
            <w:tcW w:w="479" w:type="pct"/>
            <w:vAlign w:val="center"/>
          </w:tcPr>
          <w:p w:rsidR="005C539A" w:rsidRPr="006325C2" w:rsidRDefault="005C539A" w:rsidP="008255B4">
            <w:pPr>
              <w:spacing w:before="60" w:line="288" w:lineRule="auto"/>
              <w:jc w:val="right"/>
            </w:pPr>
            <w:r w:rsidRPr="006325C2">
              <w:t>9,947</w:t>
            </w:r>
          </w:p>
        </w:tc>
        <w:tc>
          <w:tcPr>
            <w:tcW w:w="478" w:type="pct"/>
            <w:vAlign w:val="center"/>
          </w:tcPr>
          <w:p w:rsidR="005C539A" w:rsidRPr="006325C2" w:rsidRDefault="005C539A" w:rsidP="008255B4">
            <w:pPr>
              <w:spacing w:before="60" w:line="288" w:lineRule="auto"/>
              <w:jc w:val="right"/>
            </w:pPr>
            <w:r w:rsidRPr="006325C2">
              <w:t>8,181</w:t>
            </w:r>
          </w:p>
        </w:tc>
        <w:tc>
          <w:tcPr>
            <w:tcW w:w="649" w:type="pct"/>
            <w:vAlign w:val="center"/>
          </w:tcPr>
          <w:p w:rsidR="005C539A" w:rsidRPr="006325C2" w:rsidRDefault="00E268C1" w:rsidP="008255B4">
            <w:pPr>
              <w:spacing w:before="60" w:line="288" w:lineRule="auto"/>
              <w:jc w:val="center"/>
            </w:pPr>
            <w:r w:rsidRPr="006325C2">
              <w:t>889</w:t>
            </w:r>
            <w:r w:rsidR="005C539A" w:rsidRPr="006325C2">
              <w:t xml:space="preserve"> ± </w:t>
            </w:r>
            <w:r w:rsidRPr="006325C2">
              <w:t>409</w:t>
            </w:r>
          </w:p>
        </w:tc>
        <w:tc>
          <w:tcPr>
            <w:tcW w:w="477" w:type="pct"/>
            <w:vAlign w:val="center"/>
          </w:tcPr>
          <w:p w:rsidR="005C539A" w:rsidRPr="006325C2" w:rsidRDefault="005C539A" w:rsidP="008255B4">
            <w:pPr>
              <w:spacing w:before="60" w:line="288" w:lineRule="auto"/>
            </w:pPr>
            <w:r w:rsidRPr="006325C2">
              <w:t>ref</w:t>
            </w:r>
          </w:p>
        </w:tc>
        <w:tc>
          <w:tcPr>
            <w:tcW w:w="752" w:type="pct"/>
            <w:vAlign w:val="center"/>
          </w:tcPr>
          <w:p w:rsidR="005C539A" w:rsidRPr="006325C2" w:rsidRDefault="005C539A" w:rsidP="008255B4">
            <w:pPr>
              <w:spacing w:before="60" w:line="288" w:lineRule="auto"/>
              <w:jc w:val="center"/>
            </w:pPr>
            <w:r w:rsidRPr="006325C2">
              <w:t>18.8 (18.0, 19.6)</w:t>
            </w:r>
          </w:p>
        </w:tc>
        <w:tc>
          <w:tcPr>
            <w:tcW w:w="553" w:type="pct"/>
            <w:vAlign w:val="center"/>
          </w:tcPr>
          <w:p w:rsidR="005C539A" w:rsidRPr="006325C2" w:rsidRDefault="005C539A" w:rsidP="008255B4">
            <w:pPr>
              <w:spacing w:before="60" w:line="288" w:lineRule="auto"/>
            </w:pPr>
            <w:r w:rsidRPr="006325C2">
              <w:t>ref</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Vocational school and some college</w:t>
            </w:r>
          </w:p>
        </w:tc>
        <w:tc>
          <w:tcPr>
            <w:tcW w:w="479" w:type="pct"/>
            <w:vAlign w:val="center"/>
          </w:tcPr>
          <w:p w:rsidR="005C539A" w:rsidRPr="006325C2" w:rsidRDefault="005C539A" w:rsidP="008255B4">
            <w:pPr>
              <w:spacing w:before="60" w:line="288" w:lineRule="auto"/>
              <w:jc w:val="right"/>
            </w:pPr>
            <w:r w:rsidRPr="006325C2">
              <w:t>8,140</w:t>
            </w:r>
          </w:p>
        </w:tc>
        <w:tc>
          <w:tcPr>
            <w:tcW w:w="478" w:type="pct"/>
            <w:vAlign w:val="center"/>
          </w:tcPr>
          <w:p w:rsidR="005C539A" w:rsidRPr="006325C2" w:rsidRDefault="005C539A" w:rsidP="008255B4">
            <w:pPr>
              <w:spacing w:before="60" w:line="288" w:lineRule="auto"/>
              <w:jc w:val="right"/>
            </w:pPr>
            <w:r w:rsidRPr="006325C2">
              <w:t>6,668</w:t>
            </w:r>
          </w:p>
        </w:tc>
        <w:tc>
          <w:tcPr>
            <w:tcW w:w="649" w:type="pct"/>
            <w:vAlign w:val="center"/>
          </w:tcPr>
          <w:p w:rsidR="005C539A" w:rsidRPr="006325C2" w:rsidRDefault="00E268C1" w:rsidP="008255B4">
            <w:pPr>
              <w:spacing w:before="60" w:line="288" w:lineRule="auto"/>
              <w:jc w:val="center"/>
            </w:pPr>
            <w:r w:rsidRPr="006325C2">
              <w:t>963</w:t>
            </w:r>
            <w:r w:rsidR="005C539A" w:rsidRPr="006325C2">
              <w:t xml:space="preserve"> ± </w:t>
            </w:r>
            <w:r w:rsidRPr="006325C2">
              <w:t>410</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22.2 (21.2, 23.1)</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College and graduate school</w:t>
            </w:r>
          </w:p>
        </w:tc>
        <w:tc>
          <w:tcPr>
            <w:tcW w:w="479" w:type="pct"/>
            <w:vAlign w:val="center"/>
          </w:tcPr>
          <w:p w:rsidR="005C539A" w:rsidRPr="006325C2" w:rsidRDefault="005C539A" w:rsidP="008255B4">
            <w:pPr>
              <w:spacing w:before="60" w:line="288" w:lineRule="auto"/>
              <w:jc w:val="right"/>
            </w:pPr>
            <w:r w:rsidRPr="006325C2">
              <w:t>5,795</w:t>
            </w:r>
          </w:p>
        </w:tc>
        <w:tc>
          <w:tcPr>
            <w:tcW w:w="478" w:type="pct"/>
            <w:vAlign w:val="center"/>
          </w:tcPr>
          <w:p w:rsidR="005C539A" w:rsidRPr="006325C2" w:rsidRDefault="005C539A" w:rsidP="008255B4">
            <w:pPr>
              <w:spacing w:before="60" w:line="288" w:lineRule="auto"/>
              <w:jc w:val="right"/>
            </w:pPr>
            <w:r w:rsidRPr="006325C2">
              <w:t>4,689</w:t>
            </w:r>
          </w:p>
        </w:tc>
        <w:tc>
          <w:tcPr>
            <w:tcW w:w="649" w:type="pct"/>
            <w:vAlign w:val="center"/>
          </w:tcPr>
          <w:p w:rsidR="005C539A" w:rsidRPr="006325C2" w:rsidRDefault="00E268C1" w:rsidP="008255B4">
            <w:pPr>
              <w:spacing w:before="60" w:line="288" w:lineRule="auto"/>
              <w:jc w:val="center"/>
            </w:pPr>
            <w:r w:rsidRPr="006325C2">
              <w:t>912</w:t>
            </w:r>
            <w:r w:rsidR="005C539A" w:rsidRPr="006325C2">
              <w:t xml:space="preserve"> ± </w:t>
            </w:r>
            <w:r w:rsidRPr="006325C2">
              <w:t>414</w:t>
            </w:r>
          </w:p>
        </w:tc>
        <w:tc>
          <w:tcPr>
            <w:tcW w:w="477" w:type="pct"/>
            <w:vAlign w:val="center"/>
          </w:tcPr>
          <w:p w:rsidR="005C539A" w:rsidRPr="006325C2" w:rsidRDefault="005C539A" w:rsidP="008255B4">
            <w:pPr>
              <w:spacing w:before="60" w:line="288" w:lineRule="auto"/>
            </w:pPr>
            <w:r w:rsidRPr="006325C2">
              <w:t>0.</w:t>
            </w:r>
            <w:r w:rsidR="00E268C1" w:rsidRPr="006325C2">
              <w:t>002</w:t>
            </w:r>
          </w:p>
        </w:tc>
        <w:tc>
          <w:tcPr>
            <w:tcW w:w="752" w:type="pct"/>
            <w:vAlign w:val="center"/>
          </w:tcPr>
          <w:p w:rsidR="005C539A" w:rsidRPr="006325C2" w:rsidRDefault="005C539A" w:rsidP="008255B4">
            <w:pPr>
              <w:spacing w:before="60" w:line="288" w:lineRule="auto"/>
              <w:jc w:val="center"/>
            </w:pPr>
            <w:r w:rsidRPr="006325C2">
              <w:t>23.6 (22.5, 24.6)</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pPr>
            <w:r w:rsidRPr="006325C2">
              <w:t>Tobacco smoking</w:t>
            </w:r>
          </w:p>
        </w:tc>
        <w:tc>
          <w:tcPr>
            <w:tcW w:w="479" w:type="pct"/>
            <w:vAlign w:val="center"/>
          </w:tcPr>
          <w:p w:rsidR="005C539A" w:rsidRPr="006325C2" w:rsidRDefault="005C539A" w:rsidP="008255B4">
            <w:pPr>
              <w:spacing w:before="60" w:line="288" w:lineRule="auto"/>
              <w:jc w:val="right"/>
            </w:pPr>
          </w:p>
        </w:tc>
        <w:tc>
          <w:tcPr>
            <w:tcW w:w="478" w:type="pct"/>
            <w:vAlign w:val="center"/>
          </w:tcPr>
          <w:p w:rsidR="005C539A" w:rsidRPr="006325C2" w:rsidRDefault="005C539A" w:rsidP="008255B4">
            <w:pPr>
              <w:spacing w:before="60" w:line="288" w:lineRule="auto"/>
              <w:jc w:val="right"/>
            </w:pPr>
          </w:p>
        </w:tc>
        <w:tc>
          <w:tcPr>
            <w:tcW w:w="649" w:type="pct"/>
            <w:vAlign w:val="center"/>
          </w:tcPr>
          <w:p w:rsidR="005C539A" w:rsidRPr="006325C2" w:rsidRDefault="005C539A" w:rsidP="008255B4">
            <w:pPr>
              <w:spacing w:before="60" w:line="288" w:lineRule="auto"/>
              <w:jc w:val="center"/>
            </w:pPr>
          </w:p>
        </w:tc>
        <w:tc>
          <w:tcPr>
            <w:tcW w:w="477" w:type="pct"/>
            <w:vAlign w:val="center"/>
          </w:tcPr>
          <w:p w:rsidR="005C539A" w:rsidRPr="006325C2" w:rsidRDefault="005C539A" w:rsidP="008255B4">
            <w:pPr>
              <w:spacing w:before="60" w:line="288" w:lineRule="auto"/>
            </w:pPr>
          </w:p>
        </w:tc>
        <w:tc>
          <w:tcPr>
            <w:tcW w:w="752" w:type="pct"/>
            <w:vAlign w:val="center"/>
          </w:tcPr>
          <w:p w:rsidR="005C539A" w:rsidRPr="006325C2" w:rsidRDefault="005C539A" w:rsidP="008255B4">
            <w:pPr>
              <w:spacing w:before="60" w:line="288" w:lineRule="auto"/>
              <w:jc w:val="center"/>
            </w:pPr>
          </w:p>
        </w:tc>
        <w:tc>
          <w:tcPr>
            <w:tcW w:w="553" w:type="pct"/>
            <w:vAlign w:val="center"/>
          </w:tcPr>
          <w:p w:rsidR="005C539A" w:rsidRPr="006325C2" w:rsidRDefault="005C539A" w:rsidP="008255B4">
            <w:pPr>
              <w:spacing w:before="60" w:line="288" w:lineRule="auto"/>
            </w:pP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Never</w:t>
            </w:r>
          </w:p>
        </w:tc>
        <w:tc>
          <w:tcPr>
            <w:tcW w:w="479" w:type="pct"/>
            <w:vAlign w:val="center"/>
          </w:tcPr>
          <w:p w:rsidR="005C539A" w:rsidRPr="006325C2" w:rsidRDefault="005C539A" w:rsidP="008255B4">
            <w:pPr>
              <w:spacing w:before="60" w:line="288" w:lineRule="auto"/>
              <w:jc w:val="right"/>
            </w:pPr>
            <w:r w:rsidRPr="006325C2">
              <w:t>2,948</w:t>
            </w:r>
          </w:p>
        </w:tc>
        <w:tc>
          <w:tcPr>
            <w:tcW w:w="478" w:type="pct"/>
            <w:vAlign w:val="center"/>
          </w:tcPr>
          <w:p w:rsidR="005C539A" w:rsidRPr="006325C2" w:rsidRDefault="005C539A" w:rsidP="008255B4">
            <w:pPr>
              <w:spacing w:before="60" w:line="288" w:lineRule="auto"/>
              <w:jc w:val="right"/>
            </w:pPr>
            <w:r w:rsidRPr="006325C2">
              <w:t>2,063</w:t>
            </w:r>
          </w:p>
        </w:tc>
        <w:tc>
          <w:tcPr>
            <w:tcW w:w="649" w:type="pct"/>
            <w:vAlign w:val="center"/>
          </w:tcPr>
          <w:p w:rsidR="005C539A" w:rsidRPr="006325C2" w:rsidRDefault="005C539A" w:rsidP="008255B4">
            <w:pPr>
              <w:spacing w:before="60" w:line="288" w:lineRule="auto"/>
              <w:jc w:val="center"/>
            </w:pPr>
            <w:r w:rsidRPr="006325C2">
              <w:t>8</w:t>
            </w:r>
            <w:r w:rsidR="00E268C1" w:rsidRPr="006325C2">
              <w:t>67</w:t>
            </w:r>
            <w:r w:rsidRPr="006325C2">
              <w:t xml:space="preserve"> ± </w:t>
            </w:r>
            <w:r w:rsidR="00E268C1" w:rsidRPr="006325C2">
              <w:t>415</w:t>
            </w:r>
          </w:p>
        </w:tc>
        <w:tc>
          <w:tcPr>
            <w:tcW w:w="477" w:type="pct"/>
            <w:vAlign w:val="center"/>
          </w:tcPr>
          <w:p w:rsidR="005C539A" w:rsidRPr="006325C2" w:rsidRDefault="005C539A" w:rsidP="008255B4">
            <w:pPr>
              <w:spacing w:before="60" w:line="288" w:lineRule="auto"/>
            </w:pPr>
            <w:r w:rsidRPr="006325C2">
              <w:t>ref</w:t>
            </w:r>
          </w:p>
        </w:tc>
        <w:tc>
          <w:tcPr>
            <w:tcW w:w="752" w:type="pct"/>
            <w:vAlign w:val="center"/>
          </w:tcPr>
          <w:p w:rsidR="005C539A" w:rsidRPr="006325C2" w:rsidRDefault="005C539A" w:rsidP="008255B4">
            <w:pPr>
              <w:spacing w:before="60" w:line="288" w:lineRule="auto"/>
              <w:jc w:val="center"/>
            </w:pPr>
            <w:r w:rsidRPr="006325C2">
              <w:t>31.6 (29.8, 33.3)</w:t>
            </w:r>
          </w:p>
        </w:tc>
        <w:tc>
          <w:tcPr>
            <w:tcW w:w="553" w:type="pct"/>
            <w:vAlign w:val="center"/>
          </w:tcPr>
          <w:p w:rsidR="005C539A" w:rsidRPr="006325C2" w:rsidRDefault="005C539A" w:rsidP="008255B4">
            <w:pPr>
              <w:spacing w:before="60" w:line="288" w:lineRule="auto"/>
            </w:pPr>
            <w:r w:rsidRPr="006325C2">
              <w:t>ref</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Former</w:t>
            </w:r>
          </w:p>
        </w:tc>
        <w:tc>
          <w:tcPr>
            <w:tcW w:w="479" w:type="pct"/>
            <w:vAlign w:val="center"/>
          </w:tcPr>
          <w:p w:rsidR="005C539A" w:rsidRPr="006325C2" w:rsidRDefault="005C539A" w:rsidP="008255B4">
            <w:pPr>
              <w:spacing w:before="60" w:line="288" w:lineRule="auto"/>
              <w:jc w:val="right"/>
            </w:pPr>
            <w:r w:rsidRPr="006325C2">
              <w:t>9,589</w:t>
            </w:r>
          </w:p>
        </w:tc>
        <w:tc>
          <w:tcPr>
            <w:tcW w:w="478" w:type="pct"/>
            <w:vAlign w:val="center"/>
          </w:tcPr>
          <w:p w:rsidR="005C539A" w:rsidRPr="006325C2" w:rsidRDefault="005C539A" w:rsidP="008255B4">
            <w:pPr>
              <w:spacing w:before="60" w:line="288" w:lineRule="auto"/>
              <w:jc w:val="right"/>
            </w:pPr>
            <w:r w:rsidRPr="006325C2">
              <w:t>7,972</w:t>
            </w:r>
          </w:p>
        </w:tc>
        <w:tc>
          <w:tcPr>
            <w:tcW w:w="649" w:type="pct"/>
            <w:vAlign w:val="center"/>
          </w:tcPr>
          <w:p w:rsidR="005C539A" w:rsidRPr="006325C2" w:rsidRDefault="00E268C1" w:rsidP="008255B4">
            <w:pPr>
              <w:spacing w:before="60" w:line="288" w:lineRule="auto"/>
              <w:jc w:val="center"/>
            </w:pPr>
            <w:r w:rsidRPr="006325C2">
              <w:t>975</w:t>
            </w:r>
            <w:r w:rsidR="005C539A" w:rsidRPr="006325C2">
              <w:t xml:space="preserve"> ± </w:t>
            </w:r>
            <w:r w:rsidRPr="006325C2">
              <w:t>420</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21.4 (20.6, 22.2)</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Current</w:t>
            </w:r>
          </w:p>
        </w:tc>
        <w:tc>
          <w:tcPr>
            <w:tcW w:w="479" w:type="pct"/>
            <w:vAlign w:val="center"/>
          </w:tcPr>
          <w:p w:rsidR="005C539A" w:rsidRPr="006325C2" w:rsidRDefault="005C539A" w:rsidP="008255B4">
            <w:pPr>
              <w:spacing w:before="60" w:line="288" w:lineRule="auto"/>
              <w:jc w:val="right"/>
            </w:pPr>
            <w:r w:rsidRPr="006325C2">
              <w:t>11,345</w:t>
            </w:r>
          </w:p>
        </w:tc>
        <w:tc>
          <w:tcPr>
            <w:tcW w:w="478" w:type="pct"/>
            <w:vAlign w:val="center"/>
          </w:tcPr>
          <w:p w:rsidR="005C539A" w:rsidRPr="006325C2" w:rsidRDefault="005C539A" w:rsidP="008255B4">
            <w:pPr>
              <w:spacing w:before="60" w:line="288" w:lineRule="auto"/>
              <w:jc w:val="right"/>
            </w:pPr>
            <w:r w:rsidRPr="006325C2">
              <w:t>9,503</w:t>
            </w:r>
          </w:p>
        </w:tc>
        <w:tc>
          <w:tcPr>
            <w:tcW w:w="649" w:type="pct"/>
            <w:vAlign w:val="center"/>
          </w:tcPr>
          <w:p w:rsidR="005C539A" w:rsidRPr="006325C2" w:rsidRDefault="00E268C1" w:rsidP="008255B4">
            <w:pPr>
              <w:spacing w:before="60" w:line="288" w:lineRule="auto"/>
              <w:jc w:val="center"/>
            </w:pPr>
            <w:r w:rsidRPr="006325C2">
              <w:t>889</w:t>
            </w:r>
            <w:r w:rsidR="005C539A" w:rsidRPr="006325C2">
              <w:t xml:space="preserve"> ± </w:t>
            </w:r>
            <w:r w:rsidRPr="006325C2">
              <w:t>415</w:t>
            </w:r>
          </w:p>
        </w:tc>
        <w:tc>
          <w:tcPr>
            <w:tcW w:w="477" w:type="pct"/>
            <w:vAlign w:val="center"/>
          </w:tcPr>
          <w:p w:rsidR="005C539A" w:rsidRPr="006325C2" w:rsidRDefault="005C539A" w:rsidP="008255B4">
            <w:pPr>
              <w:spacing w:before="60" w:line="288" w:lineRule="auto"/>
            </w:pPr>
            <w:r w:rsidRPr="006325C2">
              <w:t>0.0</w:t>
            </w:r>
            <w:r w:rsidR="00E268C1" w:rsidRPr="006325C2">
              <w:t>4</w:t>
            </w:r>
          </w:p>
        </w:tc>
        <w:tc>
          <w:tcPr>
            <w:tcW w:w="752" w:type="pct"/>
            <w:vAlign w:val="center"/>
          </w:tcPr>
          <w:p w:rsidR="005C539A" w:rsidRPr="006325C2" w:rsidRDefault="005C539A" w:rsidP="008255B4">
            <w:pPr>
              <w:spacing w:before="60" w:line="288" w:lineRule="auto"/>
              <w:jc w:val="center"/>
            </w:pPr>
            <w:r w:rsidRPr="006325C2">
              <w:t>18.6 (17.8, 19.3)</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pPr>
            <w:r w:rsidRPr="006325C2">
              <w:t>Smoking pack-years in cigarette smokers</w:t>
            </w:r>
          </w:p>
        </w:tc>
        <w:tc>
          <w:tcPr>
            <w:tcW w:w="479" w:type="pct"/>
            <w:vAlign w:val="center"/>
          </w:tcPr>
          <w:p w:rsidR="005C539A" w:rsidRPr="006325C2" w:rsidRDefault="005C539A" w:rsidP="008255B4">
            <w:pPr>
              <w:spacing w:before="60" w:line="288" w:lineRule="auto"/>
              <w:jc w:val="right"/>
            </w:pPr>
          </w:p>
        </w:tc>
        <w:tc>
          <w:tcPr>
            <w:tcW w:w="478" w:type="pct"/>
            <w:vAlign w:val="center"/>
          </w:tcPr>
          <w:p w:rsidR="005C539A" w:rsidRPr="006325C2" w:rsidRDefault="005C539A" w:rsidP="008255B4">
            <w:pPr>
              <w:spacing w:before="60" w:line="288" w:lineRule="auto"/>
              <w:jc w:val="right"/>
            </w:pPr>
          </w:p>
        </w:tc>
        <w:tc>
          <w:tcPr>
            <w:tcW w:w="649" w:type="pct"/>
            <w:vAlign w:val="center"/>
          </w:tcPr>
          <w:p w:rsidR="005C539A" w:rsidRPr="006325C2" w:rsidRDefault="005C539A" w:rsidP="008255B4">
            <w:pPr>
              <w:spacing w:before="60" w:line="288" w:lineRule="auto"/>
              <w:jc w:val="center"/>
            </w:pPr>
          </w:p>
        </w:tc>
        <w:tc>
          <w:tcPr>
            <w:tcW w:w="477" w:type="pct"/>
            <w:vAlign w:val="center"/>
          </w:tcPr>
          <w:p w:rsidR="005C539A" w:rsidRPr="006325C2" w:rsidRDefault="005C539A" w:rsidP="008255B4">
            <w:pPr>
              <w:spacing w:before="60" w:line="288" w:lineRule="auto"/>
            </w:pPr>
          </w:p>
        </w:tc>
        <w:tc>
          <w:tcPr>
            <w:tcW w:w="752" w:type="pct"/>
            <w:vAlign w:val="center"/>
          </w:tcPr>
          <w:p w:rsidR="005C539A" w:rsidRPr="006325C2" w:rsidRDefault="005C539A" w:rsidP="008255B4">
            <w:pPr>
              <w:spacing w:before="60" w:line="288" w:lineRule="auto"/>
              <w:jc w:val="center"/>
            </w:pPr>
          </w:p>
        </w:tc>
        <w:tc>
          <w:tcPr>
            <w:tcW w:w="553" w:type="pct"/>
            <w:vAlign w:val="center"/>
          </w:tcPr>
          <w:p w:rsidR="005C539A" w:rsidRPr="006325C2" w:rsidRDefault="005C539A" w:rsidP="008255B4">
            <w:pPr>
              <w:spacing w:before="60" w:line="288" w:lineRule="auto"/>
            </w:pP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&lt; 30 pack-years</w:t>
            </w:r>
          </w:p>
        </w:tc>
        <w:tc>
          <w:tcPr>
            <w:tcW w:w="479" w:type="pct"/>
            <w:vAlign w:val="center"/>
          </w:tcPr>
          <w:p w:rsidR="005C539A" w:rsidRPr="006325C2" w:rsidRDefault="005C539A" w:rsidP="008255B4">
            <w:pPr>
              <w:spacing w:before="60" w:line="288" w:lineRule="auto"/>
              <w:jc w:val="right"/>
            </w:pPr>
            <w:r w:rsidRPr="006325C2">
              <w:t>6,187</w:t>
            </w:r>
          </w:p>
        </w:tc>
        <w:tc>
          <w:tcPr>
            <w:tcW w:w="478" w:type="pct"/>
            <w:vAlign w:val="center"/>
          </w:tcPr>
          <w:p w:rsidR="005C539A" w:rsidRPr="006325C2" w:rsidRDefault="005C539A" w:rsidP="008255B4">
            <w:pPr>
              <w:spacing w:before="60" w:line="288" w:lineRule="auto"/>
              <w:jc w:val="right"/>
            </w:pPr>
            <w:r w:rsidRPr="006325C2">
              <w:t>4,876</w:t>
            </w:r>
          </w:p>
        </w:tc>
        <w:tc>
          <w:tcPr>
            <w:tcW w:w="649" w:type="pct"/>
            <w:vAlign w:val="center"/>
          </w:tcPr>
          <w:p w:rsidR="005C539A" w:rsidRPr="006325C2" w:rsidRDefault="00E268C1" w:rsidP="008255B4">
            <w:pPr>
              <w:spacing w:before="60" w:line="288" w:lineRule="auto"/>
              <w:jc w:val="center"/>
            </w:pPr>
            <w:r w:rsidRPr="006325C2">
              <w:t>946</w:t>
            </w:r>
            <w:r w:rsidR="005C539A" w:rsidRPr="006325C2">
              <w:t xml:space="preserve"> ± </w:t>
            </w:r>
            <w:r w:rsidRPr="006325C2">
              <w:t>412</w:t>
            </w:r>
          </w:p>
        </w:tc>
        <w:tc>
          <w:tcPr>
            <w:tcW w:w="477" w:type="pct"/>
            <w:vAlign w:val="center"/>
          </w:tcPr>
          <w:p w:rsidR="005C539A" w:rsidRPr="006325C2" w:rsidRDefault="005C539A" w:rsidP="008255B4">
            <w:pPr>
              <w:spacing w:before="60" w:line="288" w:lineRule="auto"/>
            </w:pPr>
            <w:r w:rsidRPr="006325C2">
              <w:t>ref</w:t>
            </w:r>
          </w:p>
        </w:tc>
        <w:tc>
          <w:tcPr>
            <w:tcW w:w="752" w:type="pct"/>
            <w:vAlign w:val="center"/>
          </w:tcPr>
          <w:p w:rsidR="005C539A" w:rsidRPr="006325C2" w:rsidRDefault="005C539A" w:rsidP="008255B4">
            <w:pPr>
              <w:spacing w:before="60" w:line="288" w:lineRule="auto"/>
              <w:jc w:val="center"/>
            </w:pPr>
            <w:r w:rsidRPr="006325C2">
              <w:t>22.8 (21.7, 23.9)</w:t>
            </w:r>
          </w:p>
        </w:tc>
        <w:tc>
          <w:tcPr>
            <w:tcW w:w="553" w:type="pct"/>
            <w:vAlign w:val="center"/>
          </w:tcPr>
          <w:p w:rsidR="005C539A" w:rsidRPr="006325C2" w:rsidRDefault="005C539A" w:rsidP="008255B4">
            <w:pPr>
              <w:spacing w:before="60" w:line="288" w:lineRule="auto"/>
            </w:pPr>
            <w:r w:rsidRPr="006325C2">
              <w:t>ref</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30-50 pack-years</w:t>
            </w:r>
          </w:p>
        </w:tc>
        <w:tc>
          <w:tcPr>
            <w:tcW w:w="479" w:type="pct"/>
            <w:vAlign w:val="center"/>
          </w:tcPr>
          <w:p w:rsidR="005C539A" w:rsidRPr="006325C2" w:rsidRDefault="005C539A" w:rsidP="008255B4">
            <w:pPr>
              <w:spacing w:before="60" w:line="288" w:lineRule="auto"/>
              <w:jc w:val="right"/>
            </w:pPr>
            <w:r w:rsidRPr="006325C2">
              <w:t>7,442</w:t>
            </w:r>
          </w:p>
        </w:tc>
        <w:tc>
          <w:tcPr>
            <w:tcW w:w="478" w:type="pct"/>
            <w:vAlign w:val="center"/>
          </w:tcPr>
          <w:p w:rsidR="005C539A" w:rsidRPr="006325C2" w:rsidRDefault="005C539A" w:rsidP="008255B4">
            <w:pPr>
              <w:spacing w:before="60" w:line="288" w:lineRule="auto"/>
              <w:jc w:val="right"/>
            </w:pPr>
            <w:r w:rsidRPr="006325C2">
              <w:t>6,275</w:t>
            </w:r>
          </w:p>
        </w:tc>
        <w:tc>
          <w:tcPr>
            <w:tcW w:w="649" w:type="pct"/>
            <w:vAlign w:val="center"/>
          </w:tcPr>
          <w:p w:rsidR="005C539A" w:rsidRPr="006325C2" w:rsidRDefault="00E268C1" w:rsidP="008255B4">
            <w:pPr>
              <w:spacing w:before="60" w:line="288" w:lineRule="auto"/>
              <w:jc w:val="center"/>
            </w:pPr>
            <w:r w:rsidRPr="006325C2">
              <w:t>917</w:t>
            </w:r>
            <w:r w:rsidR="005C539A" w:rsidRPr="006325C2">
              <w:t xml:space="preserve"> ± </w:t>
            </w:r>
            <w:r w:rsidRPr="006325C2">
              <w:t>410</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19.4 (18.5, 20.3)</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&gt; 50 pack-years</w:t>
            </w:r>
          </w:p>
        </w:tc>
        <w:tc>
          <w:tcPr>
            <w:tcW w:w="479" w:type="pct"/>
            <w:vAlign w:val="center"/>
          </w:tcPr>
          <w:p w:rsidR="005C539A" w:rsidRPr="006325C2" w:rsidRDefault="005C539A" w:rsidP="008255B4">
            <w:pPr>
              <w:spacing w:before="60" w:line="288" w:lineRule="auto"/>
              <w:jc w:val="right"/>
            </w:pPr>
            <w:r w:rsidRPr="006325C2">
              <w:t>7,134</w:t>
            </w:r>
          </w:p>
        </w:tc>
        <w:tc>
          <w:tcPr>
            <w:tcW w:w="478" w:type="pct"/>
            <w:vAlign w:val="center"/>
          </w:tcPr>
          <w:p w:rsidR="005C539A" w:rsidRPr="006325C2" w:rsidRDefault="005C539A" w:rsidP="008255B4">
            <w:pPr>
              <w:spacing w:before="60" w:line="288" w:lineRule="auto"/>
              <w:jc w:val="right"/>
            </w:pPr>
            <w:r w:rsidRPr="006325C2">
              <w:t>6,173</w:t>
            </w:r>
          </w:p>
        </w:tc>
        <w:tc>
          <w:tcPr>
            <w:tcW w:w="649" w:type="pct"/>
            <w:vAlign w:val="center"/>
          </w:tcPr>
          <w:p w:rsidR="005C539A" w:rsidRPr="006325C2" w:rsidRDefault="00E268C1" w:rsidP="008255B4">
            <w:pPr>
              <w:spacing w:before="60" w:line="288" w:lineRule="auto"/>
              <w:jc w:val="center"/>
            </w:pPr>
            <w:r w:rsidRPr="006325C2">
              <w:t>923</w:t>
            </w:r>
            <w:r w:rsidR="005C539A" w:rsidRPr="006325C2">
              <w:t xml:space="preserve"> ± </w:t>
            </w:r>
            <w:r w:rsidRPr="006325C2">
              <w:t>418</w:t>
            </w:r>
          </w:p>
        </w:tc>
        <w:tc>
          <w:tcPr>
            <w:tcW w:w="477" w:type="pct"/>
            <w:vAlign w:val="center"/>
          </w:tcPr>
          <w:p w:rsidR="005C539A" w:rsidRPr="006325C2" w:rsidRDefault="00E268C1" w:rsidP="008255B4">
            <w:pPr>
              <w:spacing w:before="60" w:line="288" w:lineRule="auto"/>
            </w:pPr>
            <w:r w:rsidRPr="006325C2">
              <w:t>0.005</w:t>
            </w:r>
          </w:p>
        </w:tc>
        <w:tc>
          <w:tcPr>
            <w:tcW w:w="752" w:type="pct"/>
            <w:vAlign w:val="center"/>
          </w:tcPr>
          <w:p w:rsidR="005C539A" w:rsidRPr="006325C2" w:rsidRDefault="005C539A" w:rsidP="008255B4">
            <w:pPr>
              <w:spacing w:before="60" w:line="288" w:lineRule="auto"/>
              <w:jc w:val="center"/>
            </w:pPr>
            <w:r w:rsidRPr="006325C2">
              <w:t>18.0 (17.1, 18.9)</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pPr>
            <w:r w:rsidRPr="006325C2">
              <w:t>History of diabetes</w:t>
            </w:r>
          </w:p>
        </w:tc>
        <w:tc>
          <w:tcPr>
            <w:tcW w:w="479" w:type="pct"/>
            <w:vAlign w:val="center"/>
          </w:tcPr>
          <w:p w:rsidR="005C539A" w:rsidRPr="006325C2" w:rsidRDefault="005C539A" w:rsidP="008255B4">
            <w:pPr>
              <w:spacing w:before="60" w:line="288" w:lineRule="auto"/>
              <w:jc w:val="right"/>
            </w:pPr>
          </w:p>
        </w:tc>
        <w:tc>
          <w:tcPr>
            <w:tcW w:w="478" w:type="pct"/>
            <w:vAlign w:val="center"/>
          </w:tcPr>
          <w:p w:rsidR="005C539A" w:rsidRPr="006325C2" w:rsidRDefault="005C539A" w:rsidP="008255B4">
            <w:pPr>
              <w:spacing w:before="60" w:line="288" w:lineRule="auto"/>
              <w:jc w:val="right"/>
            </w:pPr>
          </w:p>
        </w:tc>
        <w:tc>
          <w:tcPr>
            <w:tcW w:w="649" w:type="pct"/>
            <w:vAlign w:val="center"/>
          </w:tcPr>
          <w:p w:rsidR="005C539A" w:rsidRPr="006325C2" w:rsidRDefault="005C539A" w:rsidP="008255B4">
            <w:pPr>
              <w:spacing w:before="60" w:line="288" w:lineRule="auto"/>
              <w:jc w:val="center"/>
            </w:pPr>
          </w:p>
        </w:tc>
        <w:tc>
          <w:tcPr>
            <w:tcW w:w="477" w:type="pct"/>
            <w:vAlign w:val="center"/>
          </w:tcPr>
          <w:p w:rsidR="005C539A" w:rsidRPr="006325C2" w:rsidRDefault="005C539A" w:rsidP="008255B4">
            <w:pPr>
              <w:spacing w:before="60" w:line="288" w:lineRule="auto"/>
            </w:pPr>
          </w:p>
        </w:tc>
        <w:tc>
          <w:tcPr>
            <w:tcW w:w="752" w:type="pct"/>
            <w:vAlign w:val="center"/>
          </w:tcPr>
          <w:p w:rsidR="005C539A" w:rsidRPr="006325C2" w:rsidRDefault="005C539A" w:rsidP="008255B4">
            <w:pPr>
              <w:spacing w:before="60" w:line="288" w:lineRule="auto"/>
              <w:jc w:val="center"/>
            </w:pPr>
          </w:p>
        </w:tc>
        <w:tc>
          <w:tcPr>
            <w:tcW w:w="553" w:type="pct"/>
            <w:vAlign w:val="center"/>
          </w:tcPr>
          <w:p w:rsidR="005C539A" w:rsidRPr="006325C2" w:rsidRDefault="005C539A" w:rsidP="008255B4">
            <w:pPr>
              <w:spacing w:before="60" w:line="288" w:lineRule="auto"/>
            </w:pP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No</w:t>
            </w:r>
          </w:p>
        </w:tc>
        <w:tc>
          <w:tcPr>
            <w:tcW w:w="479" w:type="pct"/>
            <w:vAlign w:val="center"/>
          </w:tcPr>
          <w:p w:rsidR="005C539A" w:rsidRPr="006325C2" w:rsidRDefault="005C539A" w:rsidP="008255B4">
            <w:pPr>
              <w:spacing w:before="60" w:line="288" w:lineRule="auto"/>
              <w:jc w:val="right"/>
            </w:pPr>
            <w:r w:rsidRPr="006325C2">
              <w:t>22,028</w:t>
            </w:r>
          </w:p>
        </w:tc>
        <w:tc>
          <w:tcPr>
            <w:tcW w:w="478" w:type="pct"/>
            <w:vAlign w:val="center"/>
          </w:tcPr>
          <w:p w:rsidR="005C539A" w:rsidRPr="006325C2" w:rsidRDefault="005C539A" w:rsidP="008255B4">
            <w:pPr>
              <w:spacing w:before="60" w:line="288" w:lineRule="auto"/>
              <w:jc w:val="right"/>
            </w:pPr>
            <w:r w:rsidRPr="006325C2">
              <w:t>17,918</w:t>
            </w:r>
          </w:p>
        </w:tc>
        <w:tc>
          <w:tcPr>
            <w:tcW w:w="649" w:type="pct"/>
            <w:vAlign w:val="center"/>
          </w:tcPr>
          <w:p w:rsidR="005C539A" w:rsidRPr="006325C2" w:rsidRDefault="00E268C1" w:rsidP="008255B4">
            <w:pPr>
              <w:spacing w:before="60" w:line="288" w:lineRule="auto"/>
              <w:jc w:val="center"/>
            </w:pPr>
            <w:r w:rsidRPr="006325C2">
              <w:t>913</w:t>
            </w:r>
            <w:r w:rsidR="005C539A" w:rsidRPr="006325C2">
              <w:t xml:space="preserve"> ± </w:t>
            </w:r>
            <w:r w:rsidRPr="006325C2">
              <w:t>409</w:t>
            </w:r>
          </w:p>
        </w:tc>
        <w:tc>
          <w:tcPr>
            <w:tcW w:w="477" w:type="pct"/>
            <w:vAlign w:val="center"/>
          </w:tcPr>
          <w:p w:rsidR="005C539A" w:rsidRPr="006325C2" w:rsidRDefault="005C539A" w:rsidP="008255B4">
            <w:pPr>
              <w:spacing w:before="60" w:line="288" w:lineRule="auto"/>
            </w:pPr>
            <w:r w:rsidRPr="006325C2">
              <w:t>ref</w:t>
            </w:r>
          </w:p>
        </w:tc>
        <w:tc>
          <w:tcPr>
            <w:tcW w:w="752" w:type="pct"/>
            <w:vAlign w:val="center"/>
          </w:tcPr>
          <w:p w:rsidR="005C539A" w:rsidRPr="006325C2" w:rsidRDefault="005C539A" w:rsidP="008255B4">
            <w:pPr>
              <w:spacing w:before="60" w:line="288" w:lineRule="auto"/>
              <w:jc w:val="center"/>
            </w:pPr>
            <w:r w:rsidRPr="006325C2">
              <w:t>21.8 (21.2, 22.3)</w:t>
            </w:r>
          </w:p>
        </w:tc>
        <w:tc>
          <w:tcPr>
            <w:tcW w:w="553" w:type="pct"/>
            <w:vAlign w:val="center"/>
          </w:tcPr>
          <w:p w:rsidR="005C539A" w:rsidRPr="006325C2" w:rsidRDefault="005C539A" w:rsidP="008255B4">
            <w:pPr>
              <w:spacing w:before="60" w:line="288" w:lineRule="auto"/>
            </w:pPr>
            <w:r w:rsidRPr="006325C2">
              <w:t>ref</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Yes</w:t>
            </w:r>
          </w:p>
        </w:tc>
        <w:tc>
          <w:tcPr>
            <w:tcW w:w="479" w:type="pct"/>
            <w:vAlign w:val="center"/>
          </w:tcPr>
          <w:p w:rsidR="005C539A" w:rsidRPr="006325C2" w:rsidRDefault="005C539A" w:rsidP="008255B4">
            <w:pPr>
              <w:spacing w:before="60" w:line="288" w:lineRule="auto"/>
              <w:jc w:val="right"/>
            </w:pPr>
            <w:r w:rsidRPr="006325C2">
              <w:t>1,854</w:t>
            </w:r>
          </w:p>
        </w:tc>
        <w:tc>
          <w:tcPr>
            <w:tcW w:w="478" w:type="pct"/>
            <w:vAlign w:val="center"/>
          </w:tcPr>
          <w:p w:rsidR="005C539A" w:rsidRPr="006325C2" w:rsidRDefault="005C539A" w:rsidP="008255B4">
            <w:pPr>
              <w:spacing w:before="60" w:line="288" w:lineRule="auto"/>
              <w:jc w:val="right"/>
            </w:pPr>
            <w:r w:rsidRPr="006325C2">
              <w:t>1,620</w:t>
            </w:r>
          </w:p>
        </w:tc>
        <w:tc>
          <w:tcPr>
            <w:tcW w:w="649" w:type="pct"/>
            <w:vAlign w:val="center"/>
          </w:tcPr>
          <w:p w:rsidR="005C539A" w:rsidRPr="006325C2" w:rsidRDefault="00E268C1" w:rsidP="008255B4">
            <w:pPr>
              <w:spacing w:before="60" w:line="288" w:lineRule="auto"/>
              <w:jc w:val="center"/>
            </w:pPr>
            <w:r w:rsidRPr="006325C2">
              <w:t>1007</w:t>
            </w:r>
            <w:r w:rsidR="005C539A" w:rsidRPr="006325C2">
              <w:t xml:space="preserve"> ± </w:t>
            </w:r>
            <w:r w:rsidRPr="006325C2">
              <w:t>411</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15.5 (13.9, 17.2)</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pPr>
            <w:r w:rsidRPr="006325C2">
              <w:t>Physical activity</w:t>
            </w:r>
          </w:p>
        </w:tc>
        <w:tc>
          <w:tcPr>
            <w:tcW w:w="479" w:type="pct"/>
            <w:vAlign w:val="center"/>
          </w:tcPr>
          <w:p w:rsidR="005C539A" w:rsidRPr="006325C2" w:rsidRDefault="005C539A" w:rsidP="008255B4">
            <w:pPr>
              <w:spacing w:before="60" w:line="288" w:lineRule="auto"/>
              <w:jc w:val="right"/>
            </w:pPr>
          </w:p>
        </w:tc>
        <w:tc>
          <w:tcPr>
            <w:tcW w:w="478" w:type="pct"/>
            <w:vAlign w:val="center"/>
          </w:tcPr>
          <w:p w:rsidR="005C539A" w:rsidRPr="006325C2" w:rsidRDefault="005C539A" w:rsidP="008255B4">
            <w:pPr>
              <w:spacing w:before="60" w:line="288" w:lineRule="auto"/>
              <w:jc w:val="right"/>
            </w:pPr>
          </w:p>
        </w:tc>
        <w:tc>
          <w:tcPr>
            <w:tcW w:w="649" w:type="pct"/>
            <w:vAlign w:val="center"/>
          </w:tcPr>
          <w:p w:rsidR="005C539A" w:rsidRPr="006325C2" w:rsidRDefault="005C539A" w:rsidP="008255B4">
            <w:pPr>
              <w:spacing w:before="60" w:line="288" w:lineRule="auto"/>
              <w:jc w:val="center"/>
            </w:pPr>
          </w:p>
        </w:tc>
        <w:tc>
          <w:tcPr>
            <w:tcW w:w="477" w:type="pct"/>
            <w:vAlign w:val="center"/>
          </w:tcPr>
          <w:p w:rsidR="005C539A" w:rsidRPr="006325C2" w:rsidRDefault="005C539A" w:rsidP="008255B4">
            <w:pPr>
              <w:spacing w:before="60" w:line="288" w:lineRule="auto"/>
            </w:pPr>
          </w:p>
        </w:tc>
        <w:tc>
          <w:tcPr>
            <w:tcW w:w="752" w:type="pct"/>
            <w:vAlign w:val="center"/>
          </w:tcPr>
          <w:p w:rsidR="005C539A" w:rsidRPr="006325C2" w:rsidRDefault="005C539A" w:rsidP="008255B4">
            <w:pPr>
              <w:spacing w:before="60" w:line="288" w:lineRule="auto"/>
              <w:jc w:val="center"/>
            </w:pPr>
          </w:p>
        </w:tc>
        <w:tc>
          <w:tcPr>
            <w:tcW w:w="553" w:type="pct"/>
            <w:vAlign w:val="center"/>
          </w:tcPr>
          <w:p w:rsidR="005C539A" w:rsidRPr="006325C2" w:rsidRDefault="005C539A" w:rsidP="008255B4">
            <w:pPr>
              <w:spacing w:before="60" w:line="288" w:lineRule="auto"/>
            </w:pP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Low</w:t>
            </w:r>
          </w:p>
        </w:tc>
        <w:tc>
          <w:tcPr>
            <w:tcW w:w="479" w:type="pct"/>
            <w:vAlign w:val="center"/>
          </w:tcPr>
          <w:p w:rsidR="005C539A" w:rsidRPr="006325C2" w:rsidRDefault="005C539A" w:rsidP="008255B4">
            <w:pPr>
              <w:spacing w:before="60" w:line="288" w:lineRule="auto"/>
              <w:jc w:val="right"/>
            </w:pPr>
            <w:r w:rsidRPr="006325C2">
              <w:t>5,674</w:t>
            </w:r>
          </w:p>
        </w:tc>
        <w:tc>
          <w:tcPr>
            <w:tcW w:w="478" w:type="pct"/>
            <w:vAlign w:val="center"/>
          </w:tcPr>
          <w:p w:rsidR="005C539A" w:rsidRPr="006325C2" w:rsidRDefault="005C539A" w:rsidP="008255B4">
            <w:pPr>
              <w:spacing w:before="60" w:line="288" w:lineRule="auto"/>
              <w:jc w:val="right"/>
            </w:pPr>
            <w:r w:rsidRPr="006325C2">
              <w:t>4,565</w:t>
            </w:r>
          </w:p>
        </w:tc>
        <w:tc>
          <w:tcPr>
            <w:tcW w:w="649" w:type="pct"/>
            <w:vAlign w:val="center"/>
          </w:tcPr>
          <w:p w:rsidR="005C539A" w:rsidRPr="006325C2" w:rsidRDefault="00E268C1" w:rsidP="008255B4">
            <w:pPr>
              <w:spacing w:before="60" w:line="288" w:lineRule="auto"/>
              <w:jc w:val="center"/>
            </w:pPr>
            <w:r w:rsidRPr="006325C2">
              <w:t>836</w:t>
            </w:r>
            <w:r w:rsidR="005C539A" w:rsidRPr="006325C2">
              <w:t xml:space="preserve"> ± </w:t>
            </w:r>
            <w:r w:rsidRPr="006325C2">
              <w:t>407</w:t>
            </w:r>
          </w:p>
        </w:tc>
        <w:tc>
          <w:tcPr>
            <w:tcW w:w="477" w:type="pct"/>
            <w:vAlign w:val="center"/>
          </w:tcPr>
          <w:p w:rsidR="005C539A" w:rsidRPr="006325C2" w:rsidRDefault="005C539A" w:rsidP="008255B4">
            <w:pPr>
              <w:spacing w:before="60" w:line="288" w:lineRule="auto"/>
            </w:pPr>
            <w:r w:rsidRPr="006325C2">
              <w:t>ref</w:t>
            </w:r>
          </w:p>
        </w:tc>
        <w:tc>
          <w:tcPr>
            <w:tcW w:w="752" w:type="pct"/>
            <w:vAlign w:val="center"/>
          </w:tcPr>
          <w:p w:rsidR="005C539A" w:rsidRPr="006325C2" w:rsidRDefault="005C539A" w:rsidP="008255B4">
            <w:pPr>
              <w:spacing w:before="60" w:line="288" w:lineRule="auto"/>
              <w:jc w:val="center"/>
            </w:pPr>
            <w:r w:rsidRPr="006325C2">
              <w:t>20.0 (18.9, 21.0)</w:t>
            </w:r>
          </w:p>
        </w:tc>
        <w:tc>
          <w:tcPr>
            <w:tcW w:w="553" w:type="pct"/>
            <w:vAlign w:val="center"/>
          </w:tcPr>
          <w:p w:rsidR="005C539A" w:rsidRPr="006325C2" w:rsidRDefault="005C539A" w:rsidP="008255B4">
            <w:pPr>
              <w:spacing w:before="60" w:line="288" w:lineRule="auto"/>
            </w:pPr>
            <w:r w:rsidRPr="006325C2">
              <w:t>ref</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Middle</w:t>
            </w:r>
          </w:p>
        </w:tc>
        <w:tc>
          <w:tcPr>
            <w:tcW w:w="479" w:type="pct"/>
            <w:vAlign w:val="center"/>
          </w:tcPr>
          <w:p w:rsidR="005C539A" w:rsidRPr="006325C2" w:rsidRDefault="005C539A" w:rsidP="008255B4">
            <w:pPr>
              <w:spacing w:before="60" w:line="288" w:lineRule="auto"/>
              <w:jc w:val="right"/>
            </w:pPr>
            <w:r w:rsidRPr="006325C2">
              <w:t>9,157</w:t>
            </w:r>
          </w:p>
        </w:tc>
        <w:tc>
          <w:tcPr>
            <w:tcW w:w="478" w:type="pct"/>
            <w:vAlign w:val="center"/>
          </w:tcPr>
          <w:p w:rsidR="005C539A" w:rsidRPr="006325C2" w:rsidRDefault="005C539A" w:rsidP="008255B4">
            <w:pPr>
              <w:spacing w:before="60" w:line="288" w:lineRule="auto"/>
              <w:jc w:val="right"/>
            </w:pPr>
            <w:r w:rsidRPr="006325C2">
              <w:t>7,631</w:t>
            </w:r>
          </w:p>
        </w:tc>
        <w:tc>
          <w:tcPr>
            <w:tcW w:w="649" w:type="pct"/>
            <w:vAlign w:val="center"/>
          </w:tcPr>
          <w:p w:rsidR="005C539A" w:rsidRPr="006325C2" w:rsidRDefault="00E268C1" w:rsidP="008255B4">
            <w:pPr>
              <w:spacing w:before="60" w:line="288" w:lineRule="auto"/>
              <w:jc w:val="center"/>
            </w:pPr>
            <w:r w:rsidRPr="006325C2">
              <w:t>924</w:t>
            </w:r>
            <w:r w:rsidR="005C539A" w:rsidRPr="006325C2">
              <w:t xml:space="preserve"> ± </w:t>
            </w:r>
            <w:r w:rsidRPr="006325C2">
              <w:t>407</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20.7 (19.9, 21.6)</w:t>
            </w:r>
          </w:p>
        </w:tc>
        <w:tc>
          <w:tcPr>
            <w:tcW w:w="553" w:type="pct"/>
            <w:vAlign w:val="center"/>
          </w:tcPr>
          <w:p w:rsidR="005C539A" w:rsidRPr="006325C2" w:rsidRDefault="005C539A" w:rsidP="008255B4">
            <w:pPr>
              <w:spacing w:before="60" w:line="288" w:lineRule="auto"/>
            </w:pPr>
            <w:r w:rsidRPr="006325C2">
              <w:t>0.2</w:t>
            </w:r>
            <w:r w:rsidR="00240DF5" w:rsidRPr="006325C2">
              <w:t>2</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High</w:t>
            </w:r>
          </w:p>
        </w:tc>
        <w:tc>
          <w:tcPr>
            <w:tcW w:w="479" w:type="pct"/>
            <w:vAlign w:val="center"/>
          </w:tcPr>
          <w:p w:rsidR="005C539A" w:rsidRPr="006325C2" w:rsidRDefault="005C539A" w:rsidP="008255B4">
            <w:pPr>
              <w:spacing w:before="60" w:line="288" w:lineRule="auto"/>
              <w:jc w:val="right"/>
            </w:pPr>
            <w:r w:rsidRPr="006325C2">
              <w:t>9,051</w:t>
            </w:r>
          </w:p>
        </w:tc>
        <w:tc>
          <w:tcPr>
            <w:tcW w:w="478" w:type="pct"/>
            <w:vAlign w:val="center"/>
          </w:tcPr>
          <w:p w:rsidR="005C539A" w:rsidRPr="006325C2" w:rsidRDefault="005C539A" w:rsidP="008255B4">
            <w:pPr>
              <w:spacing w:before="60" w:line="288" w:lineRule="auto"/>
              <w:jc w:val="right"/>
            </w:pPr>
            <w:r w:rsidRPr="006325C2">
              <w:t>7,342</w:t>
            </w:r>
          </w:p>
        </w:tc>
        <w:tc>
          <w:tcPr>
            <w:tcW w:w="649" w:type="pct"/>
            <w:vAlign w:val="center"/>
          </w:tcPr>
          <w:p w:rsidR="005C539A" w:rsidRPr="006325C2" w:rsidRDefault="00E268C1" w:rsidP="008255B4">
            <w:pPr>
              <w:spacing w:before="60" w:line="288" w:lineRule="auto"/>
              <w:jc w:val="center"/>
            </w:pPr>
            <w:r w:rsidRPr="006325C2">
              <w:t>969</w:t>
            </w:r>
            <w:r w:rsidR="005C539A" w:rsidRPr="006325C2">
              <w:t xml:space="preserve"> ± </w:t>
            </w:r>
            <w:r w:rsidRPr="006325C2">
              <w:t>406</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22.6 (21.7, 23.5)</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pPr>
            <w:r w:rsidRPr="006325C2">
              <w:t>Body mass index</w:t>
            </w:r>
          </w:p>
        </w:tc>
        <w:tc>
          <w:tcPr>
            <w:tcW w:w="479" w:type="pct"/>
            <w:vAlign w:val="center"/>
          </w:tcPr>
          <w:p w:rsidR="005C539A" w:rsidRPr="006325C2" w:rsidRDefault="005C539A" w:rsidP="008255B4">
            <w:pPr>
              <w:spacing w:before="60" w:line="288" w:lineRule="auto"/>
              <w:jc w:val="right"/>
            </w:pPr>
          </w:p>
        </w:tc>
        <w:tc>
          <w:tcPr>
            <w:tcW w:w="478" w:type="pct"/>
            <w:vAlign w:val="center"/>
          </w:tcPr>
          <w:p w:rsidR="005C539A" w:rsidRPr="006325C2" w:rsidRDefault="005C539A" w:rsidP="008255B4">
            <w:pPr>
              <w:spacing w:before="60" w:line="288" w:lineRule="auto"/>
              <w:jc w:val="right"/>
            </w:pPr>
          </w:p>
        </w:tc>
        <w:tc>
          <w:tcPr>
            <w:tcW w:w="649" w:type="pct"/>
            <w:vAlign w:val="center"/>
          </w:tcPr>
          <w:p w:rsidR="005C539A" w:rsidRPr="006325C2" w:rsidRDefault="005C539A" w:rsidP="008255B4">
            <w:pPr>
              <w:spacing w:before="60" w:line="288" w:lineRule="auto"/>
              <w:jc w:val="center"/>
            </w:pPr>
          </w:p>
        </w:tc>
        <w:tc>
          <w:tcPr>
            <w:tcW w:w="477" w:type="pct"/>
            <w:vAlign w:val="center"/>
          </w:tcPr>
          <w:p w:rsidR="005C539A" w:rsidRPr="006325C2" w:rsidRDefault="005C539A" w:rsidP="008255B4">
            <w:pPr>
              <w:spacing w:before="60" w:line="288" w:lineRule="auto"/>
            </w:pPr>
          </w:p>
        </w:tc>
        <w:tc>
          <w:tcPr>
            <w:tcW w:w="752" w:type="pct"/>
            <w:vAlign w:val="center"/>
          </w:tcPr>
          <w:p w:rsidR="005C539A" w:rsidRPr="006325C2" w:rsidRDefault="005C539A" w:rsidP="008255B4">
            <w:pPr>
              <w:spacing w:before="60" w:line="288" w:lineRule="auto"/>
              <w:jc w:val="center"/>
            </w:pPr>
          </w:p>
        </w:tc>
        <w:tc>
          <w:tcPr>
            <w:tcW w:w="553" w:type="pct"/>
            <w:vAlign w:val="center"/>
          </w:tcPr>
          <w:p w:rsidR="005C539A" w:rsidRPr="006325C2" w:rsidRDefault="005C539A" w:rsidP="008255B4">
            <w:pPr>
              <w:spacing w:before="60" w:line="288" w:lineRule="auto"/>
            </w:pP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&lt;18.5 kg/m</w:t>
            </w:r>
            <w:r w:rsidRPr="006325C2">
              <w:rPr>
                <w:vertAlign w:val="superscript"/>
              </w:rPr>
              <w:t>2</w:t>
            </w:r>
          </w:p>
        </w:tc>
        <w:tc>
          <w:tcPr>
            <w:tcW w:w="479" w:type="pct"/>
            <w:vAlign w:val="center"/>
          </w:tcPr>
          <w:p w:rsidR="005C539A" w:rsidRPr="006325C2" w:rsidRDefault="005C539A" w:rsidP="008255B4">
            <w:pPr>
              <w:spacing w:before="60" w:line="288" w:lineRule="auto"/>
              <w:jc w:val="right"/>
            </w:pPr>
            <w:r w:rsidRPr="006325C2">
              <w:t>525</w:t>
            </w:r>
          </w:p>
        </w:tc>
        <w:tc>
          <w:tcPr>
            <w:tcW w:w="478" w:type="pct"/>
            <w:vAlign w:val="center"/>
          </w:tcPr>
          <w:p w:rsidR="005C539A" w:rsidRPr="006325C2" w:rsidRDefault="005C539A" w:rsidP="008255B4">
            <w:pPr>
              <w:spacing w:before="60" w:line="288" w:lineRule="auto"/>
              <w:jc w:val="right"/>
            </w:pPr>
            <w:r w:rsidRPr="006325C2">
              <w:t>423</w:t>
            </w:r>
          </w:p>
        </w:tc>
        <w:tc>
          <w:tcPr>
            <w:tcW w:w="649" w:type="pct"/>
            <w:vAlign w:val="center"/>
          </w:tcPr>
          <w:p w:rsidR="005C539A" w:rsidRPr="006325C2" w:rsidRDefault="00E268C1" w:rsidP="008255B4">
            <w:pPr>
              <w:spacing w:before="60" w:line="288" w:lineRule="auto"/>
              <w:jc w:val="center"/>
            </w:pPr>
            <w:r w:rsidRPr="006325C2">
              <w:t>796</w:t>
            </w:r>
            <w:r w:rsidR="005C539A" w:rsidRPr="006325C2">
              <w:t xml:space="preserve"> ± </w:t>
            </w:r>
            <w:r w:rsidRPr="006325C2">
              <w:t>408</w:t>
            </w:r>
          </w:p>
        </w:tc>
        <w:tc>
          <w:tcPr>
            <w:tcW w:w="477" w:type="pct"/>
            <w:vAlign w:val="center"/>
          </w:tcPr>
          <w:p w:rsidR="005C539A" w:rsidRPr="006325C2" w:rsidRDefault="005C539A" w:rsidP="008255B4">
            <w:pPr>
              <w:spacing w:before="60" w:line="288" w:lineRule="auto"/>
            </w:pPr>
            <w:r w:rsidRPr="006325C2">
              <w:t>0.0002</w:t>
            </w:r>
          </w:p>
        </w:tc>
        <w:tc>
          <w:tcPr>
            <w:tcW w:w="752" w:type="pct"/>
            <w:vAlign w:val="center"/>
          </w:tcPr>
          <w:p w:rsidR="005C539A" w:rsidRPr="006325C2" w:rsidRDefault="005C539A" w:rsidP="008255B4">
            <w:pPr>
              <w:spacing w:before="60" w:line="288" w:lineRule="auto"/>
              <w:jc w:val="center"/>
            </w:pPr>
            <w:r w:rsidRPr="006325C2">
              <w:t>21.7 (20.9, 22.5)</w:t>
            </w:r>
          </w:p>
        </w:tc>
        <w:tc>
          <w:tcPr>
            <w:tcW w:w="553" w:type="pct"/>
            <w:vAlign w:val="center"/>
          </w:tcPr>
          <w:p w:rsidR="005C539A" w:rsidRPr="006325C2" w:rsidRDefault="005C539A" w:rsidP="008255B4">
            <w:pPr>
              <w:spacing w:before="60" w:line="288" w:lineRule="auto"/>
            </w:pPr>
            <w:r w:rsidRPr="006325C2">
              <w:t>0.35</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18.5-25.0 kg/m</w:t>
            </w:r>
            <w:r w:rsidRPr="006325C2">
              <w:rPr>
                <w:vertAlign w:val="superscript"/>
              </w:rPr>
              <w:t>2</w:t>
            </w:r>
          </w:p>
        </w:tc>
        <w:tc>
          <w:tcPr>
            <w:tcW w:w="479" w:type="pct"/>
            <w:vAlign w:val="center"/>
          </w:tcPr>
          <w:p w:rsidR="005C539A" w:rsidRPr="006325C2" w:rsidRDefault="005C539A" w:rsidP="008255B4">
            <w:pPr>
              <w:spacing w:before="60" w:line="288" w:lineRule="auto"/>
              <w:jc w:val="right"/>
            </w:pPr>
            <w:r w:rsidRPr="006325C2">
              <w:t>10,758</w:t>
            </w:r>
          </w:p>
        </w:tc>
        <w:tc>
          <w:tcPr>
            <w:tcW w:w="478" w:type="pct"/>
            <w:vAlign w:val="center"/>
          </w:tcPr>
          <w:p w:rsidR="005C539A" w:rsidRPr="006325C2" w:rsidRDefault="005C539A" w:rsidP="008255B4">
            <w:pPr>
              <w:spacing w:before="60" w:line="288" w:lineRule="auto"/>
              <w:jc w:val="right"/>
            </w:pPr>
            <w:r w:rsidRPr="006325C2">
              <w:t>8,768</w:t>
            </w:r>
          </w:p>
        </w:tc>
        <w:tc>
          <w:tcPr>
            <w:tcW w:w="649" w:type="pct"/>
            <w:vAlign w:val="center"/>
          </w:tcPr>
          <w:p w:rsidR="005C539A" w:rsidRPr="006325C2" w:rsidRDefault="00E268C1" w:rsidP="008255B4">
            <w:pPr>
              <w:spacing w:before="60" w:line="288" w:lineRule="auto"/>
              <w:jc w:val="center"/>
            </w:pPr>
            <w:r w:rsidRPr="006325C2">
              <w:t>889 ± 410</w:t>
            </w:r>
          </w:p>
        </w:tc>
        <w:tc>
          <w:tcPr>
            <w:tcW w:w="477" w:type="pct"/>
            <w:vAlign w:val="center"/>
          </w:tcPr>
          <w:p w:rsidR="005C539A" w:rsidRPr="006325C2" w:rsidRDefault="005C539A" w:rsidP="008255B4">
            <w:pPr>
              <w:spacing w:before="60" w:line="288" w:lineRule="auto"/>
            </w:pPr>
            <w:r w:rsidRPr="006325C2">
              <w:t>ref</w:t>
            </w:r>
          </w:p>
        </w:tc>
        <w:tc>
          <w:tcPr>
            <w:tcW w:w="752" w:type="pct"/>
            <w:vAlign w:val="center"/>
          </w:tcPr>
          <w:p w:rsidR="005C539A" w:rsidRPr="006325C2" w:rsidRDefault="005C539A" w:rsidP="008255B4">
            <w:pPr>
              <w:spacing w:before="60" w:line="288" w:lineRule="auto"/>
              <w:jc w:val="center"/>
            </w:pPr>
            <w:r w:rsidRPr="006325C2">
              <w:t>20.3 (16.9, 24.0)</w:t>
            </w:r>
          </w:p>
        </w:tc>
        <w:tc>
          <w:tcPr>
            <w:tcW w:w="553" w:type="pct"/>
            <w:vAlign w:val="center"/>
          </w:tcPr>
          <w:p w:rsidR="005C539A" w:rsidRPr="006325C2" w:rsidRDefault="005C539A" w:rsidP="008255B4">
            <w:pPr>
              <w:spacing w:before="60" w:line="288" w:lineRule="auto"/>
            </w:pPr>
            <w:r w:rsidRPr="006325C2">
              <w:t>ref</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25.0-30.0 kg/m</w:t>
            </w:r>
            <w:r w:rsidRPr="006325C2">
              <w:rPr>
                <w:vertAlign w:val="superscript"/>
              </w:rPr>
              <w:t>2</w:t>
            </w:r>
          </w:p>
        </w:tc>
        <w:tc>
          <w:tcPr>
            <w:tcW w:w="479" w:type="pct"/>
            <w:vAlign w:val="center"/>
          </w:tcPr>
          <w:p w:rsidR="005C539A" w:rsidRPr="006325C2" w:rsidRDefault="005C539A" w:rsidP="008255B4">
            <w:pPr>
              <w:spacing w:before="60" w:line="288" w:lineRule="auto"/>
              <w:jc w:val="right"/>
            </w:pPr>
            <w:r w:rsidRPr="006325C2">
              <w:t>8,888</w:t>
            </w:r>
          </w:p>
        </w:tc>
        <w:tc>
          <w:tcPr>
            <w:tcW w:w="478" w:type="pct"/>
            <w:vAlign w:val="center"/>
          </w:tcPr>
          <w:p w:rsidR="005C539A" w:rsidRPr="006325C2" w:rsidRDefault="005C539A" w:rsidP="008255B4">
            <w:pPr>
              <w:spacing w:before="60" w:line="288" w:lineRule="auto"/>
              <w:jc w:val="right"/>
            </w:pPr>
            <w:r w:rsidRPr="006325C2">
              <w:t>7,294</w:t>
            </w:r>
          </w:p>
        </w:tc>
        <w:tc>
          <w:tcPr>
            <w:tcW w:w="649" w:type="pct"/>
            <w:vAlign w:val="center"/>
          </w:tcPr>
          <w:p w:rsidR="005C539A" w:rsidRPr="006325C2" w:rsidRDefault="00E268C1" w:rsidP="008255B4">
            <w:pPr>
              <w:spacing w:before="60" w:line="288" w:lineRule="auto"/>
              <w:jc w:val="center"/>
            </w:pPr>
            <w:r w:rsidRPr="006325C2">
              <w:t>948</w:t>
            </w:r>
            <w:r w:rsidR="005C539A" w:rsidRPr="006325C2">
              <w:t xml:space="preserve"> ± </w:t>
            </w:r>
            <w:r w:rsidRPr="006325C2">
              <w:t>411</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21.0 (20.1, 21.9)</w:t>
            </w:r>
          </w:p>
        </w:tc>
        <w:tc>
          <w:tcPr>
            <w:tcW w:w="553" w:type="pct"/>
            <w:vAlign w:val="center"/>
          </w:tcPr>
          <w:p w:rsidR="005C539A" w:rsidRPr="006325C2" w:rsidRDefault="005C539A" w:rsidP="008255B4">
            <w:pPr>
              <w:spacing w:before="60" w:line="288" w:lineRule="auto"/>
            </w:pPr>
            <w:r w:rsidRPr="006325C2">
              <w:t>0.86</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&gt; 30.0 kg/m</w:t>
            </w:r>
            <w:r w:rsidRPr="006325C2">
              <w:rPr>
                <w:vertAlign w:val="superscript"/>
              </w:rPr>
              <w:t>2</w:t>
            </w:r>
          </w:p>
        </w:tc>
        <w:tc>
          <w:tcPr>
            <w:tcW w:w="479" w:type="pct"/>
            <w:vAlign w:val="center"/>
          </w:tcPr>
          <w:p w:rsidR="005C539A" w:rsidRPr="006325C2" w:rsidRDefault="005C539A" w:rsidP="008255B4">
            <w:pPr>
              <w:spacing w:before="60" w:line="288" w:lineRule="auto"/>
              <w:jc w:val="right"/>
            </w:pPr>
            <w:r w:rsidRPr="006325C2">
              <w:t>3,711</w:t>
            </w:r>
          </w:p>
        </w:tc>
        <w:tc>
          <w:tcPr>
            <w:tcW w:w="478" w:type="pct"/>
            <w:vAlign w:val="center"/>
          </w:tcPr>
          <w:p w:rsidR="005C539A" w:rsidRPr="006325C2" w:rsidRDefault="005C539A" w:rsidP="008255B4">
            <w:pPr>
              <w:spacing w:before="60" w:line="288" w:lineRule="auto"/>
              <w:jc w:val="right"/>
            </w:pPr>
            <w:r w:rsidRPr="006325C2">
              <w:t>3,053</w:t>
            </w:r>
          </w:p>
        </w:tc>
        <w:tc>
          <w:tcPr>
            <w:tcW w:w="649" w:type="pct"/>
            <w:vAlign w:val="center"/>
          </w:tcPr>
          <w:p w:rsidR="005C539A" w:rsidRPr="006325C2" w:rsidRDefault="00E268C1" w:rsidP="008255B4">
            <w:pPr>
              <w:spacing w:before="60" w:line="288" w:lineRule="auto"/>
              <w:jc w:val="center"/>
            </w:pPr>
            <w:r w:rsidRPr="006325C2">
              <w:t>963</w:t>
            </w:r>
            <w:r w:rsidR="005C539A" w:rsidRPr="006325C2">
              <w:t xml:space="preserve"> ± </w:t>
            </w:r>
            <w:r w:rsidRPr="006325C2">
              <w:t>408</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20.8 (19.5, 22.2)</w:t>
            </w:r>
          </w:p>
        </w:tc>
        <w:tc>
          <w:tcPr>
            <w:tcW w:w="553" w:type="pct"/>
            <w:vAlign w:val="center"/>
          </w:tcPr>
          <w:p w:rsidR="005C539A" w:rsidRPr="006325C2" w:rsidRDefault="005C539A" w:rsidP="008255B4">
            <w:pPr>
              <w:spacing w:before="60" w:line="288" w:lineRule="auto"/>
            </w:pPr>
            <w:r w:rsidRPr="006325C2">
              <w:t>0.68</w:t>
            </w:r>
          </w:p>
        </w:tc>
      </w:tr>
      <w:tr w:rsidR="005C539A" w:rsidRPr="006325C2" w:rsidTr="00CD7214">
        <w:tc>
          <w:tcPr>
            <w:tcW w:w="1612" w:type="pct"/>
            <w:vAlign w:val="center"/>
          </w:tcPr>
          <w:p w:rsidR="005C539A" w:rsidRPr="006325C2" w:rsidRDefault="005C539A" w:rsidP="008255B4">
            <w:pPr>
              <w:spacing w:before="60" w:line="288" w:lineRule="auto"/>
            </w:pPr>
            <w:r w:rsidRPr="006325C2">
              <w:t>Alcohol consumption</w:t>
            </w:r>
          </w:p>
        </w:tc>
        <w:tc>
          <w:tcPr>
            <w:tcW w:w="479" w:type="pct"/>
            <w:vAlign w:val="center"/>
          </w:tcPr>
          <w:p w:rsidR="005C539A" w:rsidRPr="006325C2" w:rsidRDefault="005C539A" w:rsidP="008255B4">
            <w:pPr>
              <w:spacing w:before="60" w:line="288" w:lineRule="auto"/>
              <w:jc w:val="right"/>
            </w:pPr>
          </w:p>
        </w:tc>
        <w:tc>
          <w:tcPr>
            <w:tcW w:w="478" w:type="pct"/>
            <w:vAlign w:val="center"/>
          </w:tcPr>
          <w:p w:rsidR="005C539A" w:rsidRPr="006325C2" w:rsidRDefault="005C539A" w:rsidP="008255B4">
            <w:pPr>
              <w:spacing w:before="60" w:line="288" w:lineRule="auto"/>
              <w:jc w:val="right"/>
            </w:pPr>
          </w:p>
        </w:tc>
        <w:tc>
          <w:tcPr>
            <w:tcW w:w="649" w:type="pct"/>
            <w:vAlign w:val="center"/>
          </w:tcPr>
          <w:p w:rsidR="005C539A" w:rsidRPr="006325C2" w:rsidRDefault="005C539A" w:rsidP="008255B4">
            <w:pPr>
              <w:spacing w:before="60" w:line="288" w:lineRule="auto"/>
              <w:jc w:val="center"/>
            </w:pPr>
          </w:p>
        </w:tc>
        <w:tc>
          <w:tcPr>
            <w:tcW w:w="477" w:type="pct"/>
            <w:vAlign w:val="center"/>
          </w:tcPr>
          <w:p w:rsidR="005C539A" w:rsidRPr="006325C2" w:rsidRDefault="005C539A" w:rsidP="008255B4">
            <w:pPr>
              <w:spacing w:before="60" w:line="288" w:lineRule="auto"/>
            </w:pPr>
          </w:p>
        </w:tc>
        <w:tc>
          <w:tcPr>
            <w:tcW w:w="752" w:type="pct"/>
            <w:vAlign w:val="center"/>
          </w:tcPr>
          <w:p w:rsidR="005C539A" w:rsidRPr="006325C2" w:rsidRDefault="005C539A" w:rsidP="008255B4">
            <w:pPr>
              <w:spacing w:before="60" w:line="288" w:lineRule="auto"/>
              <w:jc w:val="center"/>
            </w:pPr>
          </w:p>
        </w:tc>
        <w:tc>
          <w:tcPr>
            <w:tcW w:w="553" w:type="pct"/>
            <w:vAlign w:val="center"/>
          </w:tcPr>
          <w:p w:rsidR="005C539A" w:rsidRPr="006325C2" w:rsidRDefault="005C539A" w:rsidP="008255B4">
            <w:pPr>
              <w:spacing w:before="60" w:line="288" w:lineRule="auto"/>
            </w:pP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None</w:t>
            </w:r>
          </w:p>
        </w:tc>
        <w:tc>
          <w:tcPr>
            <w:tcW w:w="479" w:type="pct"/>
            <w:vAlign w:val="center"/>
          </w:tcPr>
          <w:p w:rsidR="005C539A" w:rsidRPr="006325C2" w:rsidRDefault="005C539A" w:rsidP="008255B4">
            <w:pPr>
              <w:spacing w:before="60" w:line="288" w:lineRule="auto"/>
              <w:jc w:val="right"/>
            </w:pPr>
            <w:r w:rsidRPr="006325C2">
              <w:t>7,265</w:t>
            </w:r>
          </w:p>
        </w:tc>
        <w:tc>
          <w:tcPr>
            <w:tcW w:w="478" w:type="pct"/>
            <w:vAlign w:val="center"/>
          </w:tcPr>
          <w:p w:rsidR="005C539A" w:rsidRPr="006325C2" w:rsidRDefault="005C539A" w:rsidP="008255B4">
            <w:pPr>
              <w:spacing w:before="60" w:line="288" w:lineRule="auto"/>
              <w:jc w:val="right"/>
            </w:pPr>
            <w:r w:rsidRPr="006325C2">
              <w:t>5,849</w:t>
            </w:r>
          </w:p>
        </w:tc>
        <w:tc>
          <w:tcPr>
            <w:tcW w:w="649" w:type="pct"/>
            <w:vAlign w:val="center"/>
          </w:tcPr>
          <w:p w:rsidR="005C539A" w:rsidRPr="006325C2" w:rsidRDefault="00E268C1" w:rsidP="008255B4">
            <w:pPr>
              <w:spacing w:before="60" w:line="288" w:lineRule="auto"/>
              <w:jc w:val="center"/>
            </w:pPr>
            <w:r w:rsidRPr="006325C2">
              <w:t>909</w:t>
            </w:r>
            <w:r w:rsidR="005C539A" w:rsidRPr="006325C2">
              <w:t xml:space="preserve"> ± </w:t>
            </w:r>
            <w:r w:rsidRPr="006325C2">
              <w:t>404</w:t>
            </w:r>
          </w:p>
        </w:tc>
        <w:tc>
          <w:tcPr>
            <w:tcW w:w="477" w:type="pct"/>
            <w:vAlign w:val="center"/>
          </w:tcPr>
          <w:p w:rsidR="005C539A" w:rsidRPr="006325C2" w:rsidRDefault="005C539A" w:rsidP="008255B4">
            <w:pPr>
              <w:spacing w:before="60" w:line="288" w:lineRule="auto"/>
            </w:pPr>
            <w:r w:rsidRPr="006325C2">
              <w:t>ref</w:t>
            </w:r>
          </w:p>
        </w:tc>
        <w:tc>
          <w:tcPr>
            <w:tcW w:w="752" w:type="pct"/>
            <w:vAlign w:val="center"/>
          </w:tcPr>
          <w:p w:rsidR="005C539A" w:rsidRPr="006325C2" w:rsidRDefault="005C539A" w:rsidP="008255B4">
            <w:pPr>
              <w:spacing w:before="60" w:line="288" w:lineRule="auto"/>
              <w:jc w:val="center"/>
            </w:pPr>
            <w:r w:rsidRPr="006325C2">
              <w:t>21.4 (20.5, 22.4)</w:t>
            </w:r>
          </w:p>
        </w:tc>
        <w:tc>
          <w:tcPr>
            <w:tcW w:w="553" w:type="pct"/>
            <w:vAlign w:val="center"/>
          </w:tcPr>
          <w:p w:rsidR="005C539A" w:rsidRPr="006325C2" w:rsidRDefault="005C539A" w:rsidP="008255B4">
            <w:pPr>
              <w:spacing w:before="60" w:line="288" w:lineRule="auto"/>
            </w:pPr>
            <w:r w:rsidRPr="006325C2">
              <w:t>ref</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Moderate</w:t>
            </w:r>
          </w:p>
        </w:tc>
        <w:tc>
          <w:tcPr>
            <w:tcW w:w="479" w:type="pct"/>
            <w:vAlign w:val="center"/>
          </w:tcPr>
          <w:p w:rsidR="005C539A" w:rsidRPr="006325C2" w:rsidRDefault="005C539A" w:rsidP="008255B4">
            <w:pPr>
              <w:spacing w:before="60" w:line="288" w:lineRule="auto"/>
              <w:jc w:val="right"/>
            </w:pPr>
            <w:r w:rsidRPr="006325C2">
              <w:t>11,414</w:t>
            </w:r>
          </w:p>
        </w:tc>
        <w:tc>
          <w:tcPr>
            <w:tcW w:w="478" w:type="pct"/>
            <w:vAlign w:val="center"/>
          </w:tcPr>
          <w:p w:rsidR="005C539A" w:rsidRPr="006325C2" w:rsidRDefault="005C539A" w:rsidP="008255B4">
            <w:pPr>
              <w:spacing w:before="60" w:line="288" w:lineRule="auto"/>
              <w:jc w:val="right"/>
            </w:pPr>
            <w:r w:rsidRPr="006325C2">
              <w:t>9,341</w:t>
            </w:r>
          </w:p>
        </w:tc>
        <w:tc>
          <w:tcPr>
            <w:tcW w:w="649" w:type="pct"/>
            <w:vAlign w:val="center"/>
          </w:tcPr>
          <w:p w:rsidR="005C539A" w:rsidRPr="006325C2" w:rsidRDefault="00E268C1" w:rsidP="008255B4">
            <w:pPr>
              <w:spacing w:before="60" w:line="288" w:lineRule="auto"/>
              <w:jc w:val="center"/>
            </w:pPr>
            <w:r w:rsidRPr="006325C2">
              <w:t>989</w:t>
            </w:r>
            <w:r w:rsidR="005C539A" w:rsidRPr="006325C2">
              <w:t xml:space="preserve"> ± </w:t>
            </w:r>
            <w:r w:rsidRPr="006325C2">
              <w:t>404</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21.9 (21.2, 22.7)</w:t>
            </w:r>
          </w:p>
        </w:tc>
        <w:tc>
          <w:tcPr>
            <w:tcW w:w="553" w:type="pct"/>
            <w:vAlign w:val="center"/>
          </w:tcPr>
          <w:p w:rsidR="005C539A" w:rsidRPr="006325C2" w:rsidRDefault="005C539A" w:rsidP="008255B4">
            <w:pPr>
              <w:spacing w:before="60" w:line="288" w:lineRule="auto"/>
            </w:pPr>
            <w:r w:rsidRPr="006325C2">
              <w:t>0.98</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Heavy</w:t>
            </w:r>
          </w:p>
        </w:tc>
        <w:tc>
          <w:tcPr>
            <w:tcW w:w="479" w:type="pct"/>
            <w:vAlign w:val="center"/>
          </w:tcPr>
          <w:p w:rsidR="005C539A" w:rsidRPr="006325C2" w:rsidRDefault="005C539A" w:rsidP="008255B4">
            <w:pPr>
              <w:spacing w:before="60" w:line="288" w:lineRule="auto"/>
              <w:jc w:val="right"/>
            </w:pPr>
            <w:r w:rsidRPr="006325C2">
              <w:t>5,203</w:t>
            </w:r>
          </w:p>
        </w:tc>
        <w:tc>
          <w:tcPr>
            <w:tcW w:w="478" w:type="pct"/>
            <w:vAlign w:val="center"/>
          </w:tcPr>
          <w:p w:rsidR="005C539A" w:rsidRPr="006325C2" w:rsidRDefault="005C539A" w:rsidP="008255B4">
            <w:pPr>
              <w:spacing w:before="60" w:line="288" w:lineRule="auto"/>
              <w:jc w:val="right"/>
            </w:pPr>
            <w:r w:rsidRPr="006325C2">
              <w:t>4,348</w:t>
            </w:r>
          </w:p>
        </w:tc>
        <w:tc>
          <w:tcPr>
            <w:tcW w:w="649" w:type="pct"/>
            <w:vAlign w:val="center"/>
          </w:tcPr>
          <w:p w:rsidR="005C539A" w:rsidRPr="006325C2" w:rsidRDefault="005C539A" w:rsidP="008255B4">
            <w:pPr>
              <w:spacing w:before="60" w:line="288" w:lineRule="auto"/>
              <w:jc w:val="center"/>
            </w:pPr>
            <w:r w:rsidRPr="006325C2">
              <w:t>7</w:t>
            </w:r>
            <w:r w:rsidR="00E268C1" w:rsidRPr="006325C2">
              <w:t>8</w:t>
            </w:r>
            <w:r w:rsidRPr="006325C2">
              <w:t xml:space="preserve">6 ± </w:t>
            </w:r>
            <w:r w:rsidR="00E268C1" w:rsidRPr="006325C2">
              <w:t>411</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19.5 (18.5, 20.6)</w:t>
            </w:r>
          </w:p>
        </w:tc>
        <w:tc>
          <w:tcPr>
            <w:tcW w:w="553" w:type="pct"/>
            <w:vAlign w:val="center"/>
          </w:tcPr>
          <w:p w:rsidR="005C539A" w:rsidRPr="006325C2" w:rsidRDefault="005C539A" w:rsidP="008255B4">
            <w:pPr>
              <w:spacing w:before="60" w:line="288" w:lineRule="auto"/>
            </w:pPr>
            <w:r w:rsidRPr="006325C2">
              <w:t>0.02</w:t>
            </w:r>
          </w:p>
        </w:tc>
      </w:tr>
      <w:tr w:rsidR="005C539A" w:rsidRPr="006325C2" w:rsidTr="00CD7214">
        <w:tc>
          <w:tcPr>
            <w:tcW w:w="1612" w:type="pct"/>
            <w:vAlign w:val="center"/>
          </w:tcPr>
          <w:p w:rsidR="005C539A" w:rsidRPr="006325C2" w:rsidRDefault="005C539A" w:rsidP="008255B4">
            <w:pPr>
              <w:spacing w:before="60" w:line="288" w:lineRule="auto"/>
            </w:pPr>
            <w:r w:rsidRPr="006325C2">
              <w:t>Hormone therapy among women</w:t>
            </w:r>
          </w:p>
        </w:tc>
        <w:tc>
          <w:tcPr>
            <w:tcW w:w="479" w:type="pct"/>
            <w:vAlign w:val="center"/>
          </w:tcPr>
          <w:p w:rsidR="005C539A" w:rsidRPr="006325C2" w:rsidRDefault="005C539A" w:rsidP="008255B4">
            <w:pPr>
              <w:spacing w:before="60" w:line="288" w:lineRule="auto"/>
              <w:jc w:val="right"/>
            </w:pPr>
          </w:p>
        </w:tc>
        <w:tc>
          <w:tcPr>
            <w:tcW w:w="478" w:type="pct"/>
            <w:vAlign w:val="center"/>
          </w:tcPr>
          <w:p w:rsidR="005C539A" w:rsidRPr="006325C2" w:rsidRDefault="005C539A" w:rsidP="008255B4">
            <w:pPr>
              <w:spacing w:before="60" w:line="288" w:lineRule="auto"/>
              <w:jc w:val="right"/>
            </w:pPr>
          </w:p>
        </w:tc>
        <w:tc>
          <w:tcPr>
            <w:tcW w:w="649" w:type="pct"/>
            <w:vAlign w:val="center"/>
          </w:tcPr>
          <w:p w:rsidR="005C539A" w:rsidRPr="006325C2" w:rsidRDefault="005C539A" w:rsidP="008255B4">
            <w:pPr>
              <w:spacing w:before="60" w:line="288" w:lineRule="auto"/>
              <w:jc w:val="center"/>
            </w:pPr>
          </w:p>
        </w:tc>
        <w:tc>
          <w:tcPr>
            <w:tcW w:w="477" w:type="pct"/>
            <w:vAlign w:val="center"/>
          </w:tcPr>
          <w:p w:rsidR="005C539A" w:rsidRPr="006325C2" w:rsidRDefault="005C539A" w:rsidP="008255B4">
            <w:pPr>
              <w:spacing w:before="60" w:line="288" w:lineRule="auto"/>
            </w:pPr>
          </w:p>
        </w:tc>
        <w:tc>
          <w:tcPr>
            <w:tcW w:w="752" w:type="pct"/>
            <w:vAlign w:val="center"/>
          </w:tcPr>
          <w:p w:rsidR="005C539A" w:rsidRPr="006325C2" w:rsidRDefault="005C539A" w:rsidP="008255B4">
            <w:pPr>
              <w:spacing w:before="60" w:line="288" w:lineRule="auto"/>
              <w:jc w:val="center"/>
            </w:pPr>
          </w:p>
        </w:tc>
        <w:tc>
          <w:tcPr>
            <w:tcW w:w="553" w:type="pct"/>
            <w:vAlign w:val="center"/>
          </w:tcPr>
          <w:p w:rsidR="005C539A" w:rsidRPr="006325C2" w:rsidRDefault="005C539A" w:rsidP="008255B4">
            <w:pPr>
              <w:spacing w:before="60" w:line="288" w:lineRule="auto"/>
            </w:pP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No</w:t>
            </w:r>
          </w:p>
        </w:tc>
        <w:tc>
          <w:tcPr>
            <w:tcW w:w="479" w:type="pct"/>
            <w:vAlign w:val="center"/>
          </w:tcPr>
          <w:p w:rsidR="005C539A" w:rsidRPr="006325C2" w:rsidRDefault="005C539A" w:rsidP="008255B4">
            <w:pPr>
              <w:spacing w:before="60" w:line="288" w:lineRule="auto"/>
              <w:jc w:val="right"/>
            </w:pPr>
            <w:r w:rsidRPr="006325C2">
              <w:t>6,686</w:t>
            </w:r>
          </w:p>
        </w:tc>
        <w:tc>
          <w:tcPr>
            <w:tcW w:w="478" w:type="pct"/>
            <w:vAlign w:val="center"/>
          </w:tcPr>
          <w:p w:rsidR="005C539A" w:rsidRPr="006325C2" w:rsidRDefault="005C539A" w:rsidP="008255B4">
            <w:pPr>
              <w:spacing w:before="60" w:line="288" w:lineRule="auto"/>
              <w:jc w:val="right"/>
            </w:pPr>
            <w:r w:rsidRPr="006325C2">
              <w:t>5,263</w:t>
            </w:r>
          </w:p>
        </w:tc>
        <w:tc>
          <w:tcPr>
            <w:tcW w:w="649" w:type="pct"/>
            <w:vAlign w:val="center"/>
          </w:tcPr>
          <w:p w:rsidR="005C539A" w:rsidRPr="006325C2" w:rsidRDefault="005C539A" w:rsidP="008255B4">
            <w:pPr>
              <w:spacing w:before="60" w:line="288" w:lineRule="auto"/>
              <w:jc w:val="center"/>
            </w:pPr>
            <w:r w:rsidRPr="006325C2">
              <w:t>867 ± 388</w:t>
            </w:r>
          </w:p>
        </w:tc>
        <w:tc>
          <w:tcPr>
            <w:tcW w:w="477" w:type="pct"/>
            <w:vAlign w:val="center"/>
          </w:tcPr>
          <w:p w:rsidR="005C539A" w:rsidRPr="006325C2" w:rsidRDefault="005C539A" w:rsidP="008255B4">
            <w:pPr>
              <w:spacing w:before="60" w:line="288" w:lineRule="auto"/>
            </w:pPr>
            <w:r w:rsidRPr="006325C2">
              <w:t>ref</w:t>
            </w:r>
          </w:p>
        </w:tc>
        <w:tc>
          <w:tcPr>
            <w:tcW w:w="752" w:type="pct"/>
            <w:vAlign w:val="center"/>
          </w:tcPr>
          <w:p w:rsidR="005C539A" w:rsidRPr="006325C2" w:rsidRDefault="005C539A" w:rsidP="008255B4">
            <w:pPr>
              <w:spacing w:before="60" w:line="288" w:lineRule="auto"/>
              <w:jc w:val="center"/>
            </w:pPr>
            <w:r w:rsidRPr="006325C2">
              <w:t>24.1 (23.1, 25.2)</w:t>
            </w:r>
          </w:p>
        </w:tc>
        <w:tc>
          <w:tcPr>
            <w:tcW w:w="553" w:type="pct"/>
            <w:vAlign w:val="center"/>
          </w:tcPr>
          <w:p w:rsidR="005C539A" w:rsidRPr="006325C2" w:rsidRDefault="005C539A" w:rsidP="008255B4">
            <w:pPr>
              <w:spacing w:before="60" w:line="288" w:lineRule="auto"/>
            </w:pPr>
            <w:r w:rsidRPr="006325C2">
              <w:t>ref</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Yes</w:t>
            </w:r>
          </w:p>
        </w:tc>
        <w:tc>
          <w:tcPr>
            <w:tcW w:w="479" w:type="pct"/>
            <w:vAlign w:val="center"/>
          </w:tcPr>
          <w:p w:rsidR="005C539A" w:rsidRPr="006325C2" w:rsidRDefault="005C539A" w:rsidP="008255B4">
            <w:pPr>
              <w:spacing w:before="60" w:line="288" w:lineRule="auto"/>
              <w:jc w:val="right"/>
            </w:pPr>
            <w:r w:rsidRPr="006325C2">
              <w:t>4,888</w:t>
            </w:r>
          </w:p>
        </w:tc>
        <w:tc>
          <w:tcPr>
            <w:tcW w:w="478" w:type="pct"/>
            <w:vAlign w:val="center"/>
          </w:tcPr>
          <w:p w:rsidR="005C539A" w:rsidRPr="006325C2" w:rsidRDefault="005C539A" w:rsidP="008255B4">
            <w:pPr>
              <w:spacing w:before="60" w:line="288" w:lineRule="auto"/>
              <w:jc w:val="right"/>
            </w:pPr>
            <w:r w:rsidRPr="006325C2">
              <w:t>3,758</w:t>
            </w:r>
          </w:p>
        </w:tc>
        <w:tc>
          <w:tcPr>
            <w:tcW w:w="649" w:type="pct"/>
            <w:vAlign w:val="center"/>
          </w:tcPr>
          <w:p w:rsidR="005C539A" w:rsidRPr="006325C2" w:rsidRDefault="005C539A" w:rsidP="008255B4">
            <w:pPr>
              <w:spacing w:before="60" w:line="288" w:lineRule="auto"/>
              <w:jc w:val="center"/>
            </w:pPr>
            <w:r w:rsidRPr="006325C2">
              <w:t>93</w:t>
            </w:r>
            <w:r w:rsidR="007F08AA" w:rsidRPr="006325C2">
              <w:t>1</w:t>
            </w:r>
            <w:r w:rsidRPr="006325C2">
              <w:t xml:space="preserve"> ± 388</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27.0 (25.7, 28.3)</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pPr>
            <w:r w:rsidRPr="006325C2">
              <w:t>Histological type</w:t>
            </w:r>
          </w:p>
        </w:tc>
        <w:tc>
          <w:tcPr>
            <w:tcW w:w="479" w:type="pct"/>
            <w:vAlign w:val="center"/>
          </w:tcPr>
          <w:p w:rsidR="005C539A" w:rsidRPr="006325C2" w:rsidRDefault="005C539A" w:rsidP="008255B4">
            <w:pPr>
              <w:spacing w:before="60" w:line="288" w:lineRule="auto"/>
              <w:jc w:val="right"/>
            </w:pPr>
          </w:p>
        </w:tc>
        <w:tc>
          <w:tcPr>
            <w:tcW w:w="478" w:type="pct"/>
            <w:vAlign w:val="center"/>
          </w:tcPr>
          <w:p w:rsidR="005C539A" w:rsidRPr="006325C2" w:rsidRDefault="005C539A" w:rsidP="008255B4">
            <w:pPr>
              <w:spacing w:before="60" w:line="288" w:lineRule="auto"/>
              <w:jc w:val="right"/>
            </w:pPr>
          </w:p>
        </w:tc>
        <w:tc>
          <w:tcPr>
            <w:tcW w:w="649" w:type="pct"/>
            <w:vAlign w:val="center"/>
          </w:tcPr>
          <w:p w:rsidR="005C539A" w:rsidRPr="006325C2" w:rsidRDefault="005C539A" w:rsidP="008255B4">
            <w:pPr>
              <w:spacing w:before="60" w:line="288" w:lineRule="auto"/>
              <w:jc w:val="center"/>
            </w:pPr>
          </w:p>
        </w:tc>
        <w:tc>
          <w:tcPr>
            <w:tcW w:w="477" w:type="pct"/>
            <w:vAlign w:val="center"/>
          </w:tcPr>
          <w:p w:rsidR="005C539A" w:rsidRPr="006325C2" w:rsidRDefault="005C539A" w:rsidP="008255B4">
            <w:pPr>
              <w:spacing w:before="60" w:line="288" w:lineRule="auto"/>
            </w:pPr>
          </w:p>
        </w:tc>
        <w:tc>
          <w:tcPr>
            <w:tcW w:w="752" w:type="pct"/>
            <w:vAlign w:val="center"/>
          </w:tcPr>
          <w:p w:rsidR="005C539A" w:rsidRPr="006325C2" w:rsidRDefault="005C539A" w:rsidP="008255B4">
            <w:pPr>
              <w:spacing w:before="60" w:line="288" w:lineRule="auto"/>
              <w:jc w:val="center"/>
            </w:pPr>
          </w:p>
        </w:tc>
        <w:tc>
          <w:tcPr>
            <w:tcW w:w="553" w:type="pct"/>
            <w:vAlign w:val="center"/>
          </w:tcPr>
          <w:p w:rsidR="005C539A" w:rsidRPr="006325C2" w:rsidRDefault="005C539A" w:rsidP="008255B4">
            <w:pPr>
              <w:spacing w:before="60" w:line="288" w:lineRule="auto"/>
            </w:pP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Adenocarcinoma</w:t>
            </w:r>
          </w:p>
        </w:tc>
        <w:tc>
          <w:tcPr>
            <w:tcW w:w="479" w:type="pct"/>
            <w:vAlign w:val="center"/>
          </w:tcPr>
          <w:p w:rsidR="005C539A" w:rsidRPr="006325C2" w:rsidRDefault="005C539A" w:rsidP="008255B4">
            <w:pPr>
              <w:spacing w:before="60" w:line="288" w:lineRule="auto"/>
              <w:jc w:val="right"/>
            </w:pPr>
            <w:r w:rsidRPr="006325C2">
              <w:t>9,621</w:t>
            </w:r>
          </w:p>
        </w:tc>
        <w:tc>
          <w:tcPr>
            <w:tcW w:w="478" w:type="pct"/>
            <w:vAlign w:val="center"/>
          </w:tcPr>
          <w:p w:rsidR="005C539A" w:rsidRPr="006325C2" w:rsidRDefault="005C539A" w:rsidP="008255B4">
            <w:pPr>
              <w:spacing w:before="60" w:line="288" w:lineRule="auto"/>
              <w:jc w:val="right"/>
            </w:pPr>
            <w:r w:rsidRPr="006325C2">
              <w:t>7,324</w:t>
            </w:r>
          </w:p>
        </w:tc>
        <w:tc>
          <w:tcPr>
            <w:tcW w:w="649" w:type="pct"/>
            <w:vAlign w:val="center"/>
          </w:tcPr>
          <w:p w:rsidR="005C539A" w:rsidRPr="006325C2" w:rsidRDefault="00564962" w:rsidP="008255B4">
            <w:pPr>
              <w:spacing w:before="60" w:line="288" w:lineRule="auto"/>
              <w:jc w:val="center"/>
            </w:pPr>
            <w:r w:rsidRPr="006325C2">
              <w:t>922</w:t>
            </w:r>
            <w:r w:rsidR="005C539A" w:rsidRPr="006325C2">
              <w:t xml:space="preserve"> ± </w:t>
            </w:r>
            <w:r w:rsidRPr="006325C2">
              <w:t>411</w:t>
            </w:r>
          </w:p>
        </w:tc>
        <w:tc>
          <w:tcPr>
            <w:tcW w:w="477" w:type="pct"/>
            <w:vAlign w:val="center"/>
          </w:tcPr>
          <w:p w:rsidR="005C539A" w:rsidRPr="006325C2" w:rsidRDefault="005C539A" w:rsidP="008255B4">
            <w:pPr>
              <w:spacing w:before="60" w:line="288" w:lineRule="auto"/>
            </w:pPr>
            <w:r w:rsidRPr="006325C2">
              <w:t>ref</w:t>
            </w:r>
          </w:p>
        </w:tc>
        <w:tc>
          <w:tcPr>
            <w:tcW w:w="752" w:type="pct"/>
            <w:vAlign w:val="center"/>
          </w:tcPr>
          <w:p w:rsidR="005C539A" w:rsidRPr="006325C2" w:rsidRDefault="005C539A" w:rsidP="008255B4">
            <w:pPr>
              <w:spacing w:before="60" w:line="288" w:lineRule="auto"/>
              <w:jc w:val="center"/>
            </w:pPr>
            <w:r w:rsidRPr="006325C2">
              <w:t>27.7 (26.8, 28.7)</w:t>
            </w:r>
          </w:p>
        </w:tc>
        <w:tc>
          <w:tcPr>
            <w:tcW w:w="553" w:type="pct"/>
            <w:vAlign w:val="center"/>
          </w:tcPr>
          <w:p w:rsidR="005C539A" w:rsidRPr="006325C2" w:rsidRDefault="005C539A" w:rsidP="008255B4">
            <w:pPr>
              <w:spacing w:before="60" w:line="288" w:lineRule="auto"/>
            </w:pPr>
            <w:r w:rsidRPr="006325C2">
              <w:t>ref</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Squamous cell carcinoma</w:t>
            </w:r>
          </w:p>
        </w:tc>
        <w:tc>
          <w:tcPr>
            <w:tcW w:w="479" w:type="pct"/>
            <w:vAlign w:val="center"/>
          </w:tcPr>
          <w:p w:rsidR="005C539A" w:rsidRPr="006325C2" w:rsidRDefault="005C539A" w:rsidP="008255B4">
            <w:pPr>
              <w:spacing w:before="60" w:line="288" w:lineRule="auto"/>
              <w:jc w:val="right"/>
            </w:pPr>
            <w:r w:rsidRPr="006325C2">
              <w:t>4,318</w:t>
            </w:r>
          </w:p>
        </w:tc>
        <w:tc>
          <w:tcPr>
            <w:tcW w:w="478" w:type="pct"/>
            <w:vAlign w:val="center"/>
          </w:tcPr>
          <w:p w:rsidR="005C539A" w:rsidRPr="006325C2" w:rsidRDefault="005C539A" w:rsidP="008255B4">
            <w:pPr>
              <w:spacing w:before="60" w:line="288" w:lineRule="auto"/>
              <w:jc w:val="right"/>
            </w:pPr>
            <w:r w:rsidRPr="006325C2">
              <w:t>3,468</w:t>
            </w:r>
          </w:p>
        </w:tc>
        <w:tc>
          <w:tcPr>
            <w:tcW w:w="649" w:type="pct"/>
            <w:vAlign w:val="center"/>
          </w:tcPr>
          <w:p w:rsidR="005C539A" w:rsidRPr="006325C2" w:rsidRDefault="00564962" w:rsidP="008255B4">
            <w:pPr>
              <w:spacing w:before="60" w:line="288" w:lineRule="auto"/>
              <w:jc w:val="center"/>
            </w:pPr>
            <w:r w:rsidRPr="006325C2">
              <w:t>913</w:t>
            </w:r>
            <w:r w:rsidR="005C539A" w:rsidRPr="006325C2">
              <w:t xml:space="preserve"> ± </w:t>
            </w:r>
            <w:r w:rsidRPr="006325C2">
              <w:t>41</w:t>
            </w:r>
            <w:r w:rsidR="005C539A" w:rsidRPr="006325C2">
              <w:t>1</w:t>
            </w:r>
          </w:p>
        </w:tc>
        <w:tc>
          <w:tcPr>
            <w:tcW w:w="477" w:type="pct"/>
            <w:vAlign w:val="center"/>
          </w:tcPr>
          <w:p w:rsidR="005C539A" w:rsidRPr="006325C2" w:rsidRDefault="00564962" w:rsidP="008255B4">
            <w:pPr>
              <w:spacing w:before="60" w:line="288" w:lineRule="auto"/>
            </w:pPr>
            <w:r w:rsidRPr="006325C2">
              <w:t>0.99</w:t>
            </w:r>
          </w:p>
        </w:tc>
        <w:tc>
          <w:tcPr>
            <w:tcW w:w="752" w:type="pct"/>
            <w:vAlign w:val="center"/>
          </w:tcPr>
          <w:p w:rsidR="005C539A" w:rsidRPr="006325C2" w:rsidRDefault="005C539A" w:rsidP="008255B4">
            <w:pPr>
              <w:spacing w:before="60" w:line="288" w:lineRule="auto"/>
              <w:jc w:val="center"/>
            </w:pPr>
            <w:r w:rsidRPr="006325C2">
              <w:t>24.7 (23.4, 26.0)</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Other non-small cell carcinoma</w:t>
            </w:r>
          </w:p>
        </w:tc>
        <w:tc>
          <w:tcPr>
            <w:tcW w:w="479" w:type="pct"/>
            <w:vAlign w:val="center"/>
          </w:tcPr>
          <w:p w:rsidR="005C539A" w:rsidRPr="006325C2" w:rsidRDefault="005C539A" w:rsidP="008255B4">
            <w:pPr>
              <w:spacing w:before="60" w:line="288" w:lineRule="auto"/>
              <w:jc w:val="right"/>
            </w:pPr>
            <w:r w:rsidRPr="006325C2">
              <w:t>3,414</w:t>
            </w:r>
          </w:p>
        </w:tc>
        <w:tc>
          <w:tcPr>
            <w:tcW w:w="478" w:type="pct"/>
            <w:vAlign w:val="center"/>
          </w:tcPr>
          <w:p w:rsidR="005C539A" w:rsidRPr="006325C2" w:rsidRDefault="005C539A" w:rsidP="008255B4">
            <w:pPr>
              <w:spacing w:before="60" w:line="288" w:lineRule="auto"/>
              <w:jc w:val="right"/>
            </w:pPr>
            <w:r w:rsidRPr="006325C2">
              <w:t>2,769</w:t>
            </w:r>
          </w:p>
        </w:tc>
        <w:tc>
          <w:tcPr>
            <w:tcW w:w="649" w:type="pct"/>
            <w:vAlign w:val="center"/>
          </w:tcPr>
          <w:p w:rsidR="005C539A" w:rsidRPr="006325C2" w:rsidRDefault="00564962" w:rsidP="008255B4">
            <w:pPr>
              <w:spacing w:before="60" w:line="288" w:lineRule="auto"/>
              <w:jc w:val="center"/>
            </w:pPr>
            <w:r w:rsidRPr="006325C2">
              <w:t>958</w:t>
            </w:r>
            <w:r w:rsidR="005C539A" w:rsidRPr="006325C2">
              <w:t xml:space="preserve"> ± </w:t>
            </w:r>
            <w:r w:rsidRPr="006325C2">
              <w:t>409</w:t>
            </w:r>
          </w:p>
        </w:tc>
        <w:tc>
          <w:tcPr>
            <w:tcW w:w="477" w:type="pct"/>
            <w:vAlign w:val="center"/>
          </w:tcPr>
          <w:p w:rsidR="005C539A" w:rsidRPr="006325C2" w:rsidRDefault="005C539A" w:rsidP="008255B4">
            <w:pPr>
              <w:spacing w:before="60" w:line="288" w:lineRule="auto"/>
            </w:pPr>
            <w:r w:rsidRPr="006325C2">
              <w:t>0.00</w:t>
            </w:r>
            <w:r w:rsidR="00564962" w:rsidRPr="006325C2">
              <w:t>1</w:t>
            </w:r>
          </w:p>
        </w:tc>
        <w:tc>
          <w:tcPr>
            <w:tcW w:w="752" w:type="pct"/>
            <w:vAlign w:val="center"/>
          </w:tcPr>
          <w:p w:rsidR="005C539A" w:rsidRPr="006325C2" w:rsidRDefault="005C539A" w:rsidP="008255B4">
            <w:pPr>
              <w:spacing w:before="60" w:line="288" w:lineRule="auto"/>
              <w:jc w:val="center"/>
            </w:pPr>
            <w:r w:rsidRPr="006325C2">
              <w:t>21.6 (20.2, 23.0)</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Small cell carcinoma</w:t>
            </w:r>
          </w:p>
        </w:tc>
        <w:tc>
          <w:tcPr>
            <w:tcW w:w="479" w:type="pct"/>
            <w:vAlign w:val="center"/>
          </w:tcPr>
          <w:p w:rsidR="005C539A" w:rsidRPr="006325C2" w:rsidRDefault="005C539A" w:rsidP="008255B4">
            <w:pPr>
              <w:spacing w:before="60" w:line="288" w:lineRule="auto"/>
              <w:jc w:val="right"/>
            </w:pPr>
            <w:r w:rsidRPr="006325C2">
              <w:t>3,210</w:t>
            </w:r>
          </w:p>
        </w:tc>
        <w:tc>
          <w:tcPr>
            <w:tcW w:w="478" w:type="pct"/>
            <w:vAlign w:val="center"/>
          </w:tcPr>
          <w:p w:rsidR="005C539A" w:rsidRPr="006325C2" w:rsidRDefault="005C539A" w:rsidP="008255B4">
            <w:pPr>
              <w:spacing w:before="60" w:line="288" w:lineRule="auto"/>
              <w:jc w:val="right"/>
            </w:pPr>
            <w:r w:rsidRPr="006325C2">
              <w:t>2,955</w:t>
            </w:r>
          </w:p>
        </w:tc>
        <w:tc>
          <w:tcPr>
            <w:tcW w:w="649" w:type="pct"/>
            <w:vAlign w:val="center"/>
          </w:tcPr>
          <w:p w:rsidR="005C539A" w:rsidRPr="006325C2" w:rsidRDefault="00564962" w:rsidP="008255B4">
            <w:pPr>
              <w:spacing w:before="60" w:line="288" w:lineRule="auto"/>
              <w:jc w:val="center"/>
            </w:pPr>
            <w:r w:rsidRPr="006325C2">
              <w:t>945</w:t>
            </w:r>
            <w:r w:rsidR="005C539A" w:rsidRPr="006325C2">
              <w:t xml:space="preserve"> ± </w:t>
            </w:r>
            <w:r w:rsidRPr="006325C2">
              <w:t>409</w:t>
            </w:r>
          </w:p>
        </w:tc>
        <w:tc>
          <w:tcPr>
            <w:tcW w:w="477" w:type="pct"/>
            <w:vAlign w:val="center"/>
          </w:tcPr>
          <w:p w:rsidR="005C539A" w:rsidRPr="006325C2" w:rsidRDefault="005C539A" w:rsidP="008255B4">
            <w:pPr>
              <w:spacing w:before="60" w:line="288" w:lineRule="auto"/>
            </w:pPr>
            <w:r w:rsidRPr="006325C2">
              <w:t>0.</w:t>
            </w:r>
            <w:r w:rsidR="00564962" w:rsidRPr="006325C2">
              <w:t>05</w:t>
            </w:r>
          </w:p>
        </w:tc>
        <w:tc>
          <w:tcPr>
            <w:tcW w:w="752" w:type="pct"/>
            <w:vAlign w:val="center"/>
          </w:tcPr>
          <w:p w:rsidR="005C539A" w:rsidRPr="006325C2" w:rsidRDefault="005C539A" w:rsidP="008255B4">
            <w:pPr>
              <w:spacing w:before="60" w:line="288" w:lineRule="auto"/>
              <w:jc w:val="center"/>
            </w:pPr>
            <w:r w:rsidRPr="006325C2">
              <w:t>9.7 (8.7, 10.8)</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 xml:space="preserve">All other </w:t>
            </w:r>
          </w:p>
        </w:tc>
        <w:tc>
          <w:tcPr>
            <w:tcW w:w="479" w:type="pct"/>
            <w:vAlign w:val="center"/>
          </w:tcPr>
          <w:p w:rsidR="005C539A" w:rsidRPr="006325C2" w:rsidRDefault="005C539A" w:rsidP="008255B4">
            <w:pPr>
              <w:spacing w:before="60" w:line="288" w:lineRule="auto"/>
              <w:jc w:val="right"/>
            </w:pPr>
            <w:r w:rsidRPr="006325C2">
              <w:t>3,319</w:t>
            </w:r>
          </w:p>
        </w:tc>
        <w:tc>
          <w:tcPr>
            <w:tcW w:w="478" w:type="pct"/>
            <w:vAlign w:val="center"/>
          </w:tcPr>
          <w:p w:rsidR="005C539A" w:rsidRPr="006325C2" w:rsidRDefault="005C539A" w:rsidP="008255B4">
            <w:pPr>
              <w:spacing w:before="60" w:line="288" w:lineRule="auto"/>
              <w:jc w:val="right"/>
            </w:pPr>
            <w:r w:rsidRPr="006325C2">
              <w:t>3,022</w:t>
            </w:r>
          </w:p>
        </w:tc>
        <w:tc>
          <w:tcPr>
            <w:tcW w:w="649" w:type="pct"/>
            <w:vAlign w:val="center"/>
          </w:tcPr>
          <w:p w:rsidR="005C539A" w:rsidRPr="006325C2" w:rsidRDefault="00564962" w:rsidP="008255B4">
            <w:pPr>
              <w:spacing w:before="60" w:line="288" w:lineRule="auto"/>
              <w:jc w:val="center"/>
            </w:pPr>
            <w:r w:rsidRPr="006325C2">
              <w:t>861</w:t>
            </w:r>
            <w:r w:rsidR="005C539A" w:rsidRPr="006325C2">
              <w:t xml:space="preserve"> ± </w:t>
            </w:r>
            <w:r w:rsidRPr="006325C2">
              <w:t>410</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9.6 (8.7, 10.7)</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pPr>
            <w:r w:rsidRPr="006325C2">
              <w:t>Tumor stage</w:t>
            </w:r>
          </w:p>
        </w:tc>
        <w:tc>
          <w:tcPr>
            <w:tcW w:w="479" w:type="pct"/>
            <w:vAlign w:val="center"/>
          </w:tcPr>
          <w:p w:rsidR="005C539A" w:rsidRPr="006325C2" w:rsidRDefault="005C539A" w:rsidP="008255B4">
            <w:pPr>
              <w:spacing w:before="60" w:line="288" w:lineRule="auto"/>
              <w:jc w:val="right"/>
            </w:pPr>
          </w:p>
        </w:tc>
        <w:tc>
          <w:tcPr>
            <w:tcW w:w="478" w:type="pct"/>
            <w:vAlign w:val="center"/>
          </w:tcPr>
          <w:p w:rsidR="005C539A" w:rsidRPr="006325C2" w:rsidRDefault="005C539A" w:rsidP="008255B4">
            <w:pPr>
              <w:spacing w:before="60" w:line="288" w:lineRule="auto"/>
              <w:jc w:val="right"/>
            </w:pPr>
          </w:p>
        </w:tc>
        <w:tc>
          <w:tcPr>
            <w:tcW w:w="649" w:type="pct"/>
            <w:vAlign w:val="center"/>
          </w:tcPr>
          <w:p w:rsidR="005C539A" w:rsidRPr="006325C2" w:rsidRDefault="005C539A" w:rsidP="008255B4">
            <w:pPr>
              <w:spacing w:before="60" w:line="288" w:lineRule="auto"/>
              <w:jc w:val="center"/>
            </w:pPr>
          </w:p>
        </w:tc>
        <w:tc>
          <w:tcPr>
            <w:tcW w:w="477" w:type="pct"/>
            <w:vAlign w:val="center"/>
          </w:tcPr>
          <w:p w:rsidR="005C539A" w:rsidRPr="006325C2" w:rsidRDefault="005C539A" w:rsidP="008255B4">
            <w:pPr>
              <w:spacing w:before="60" w:line="288" w:lineRule="auto"/>
            </w:pPr>
          </w:p>
        </w:tc>
        <w:tc>
          <w:tcPr>
            <w:tcW w:w="752" w:type="pct"/>
            <w:vAlign w:val="center"/>
          </w:tcPr>
          <w:p w:rsidR="005C539A" w:rsidRPr="006325C2" w:rsidRDefault="005C539A" w:rsidP="008255B4">
            <w:pPr>
              <w:spacing w:before="60" w:line="288" w:lineRule="auto"/>
              <w:jc w:val="center"/>
            </w:pPr>
          </w:p>
        </w:tc>
        <w:tc>
          <w:tcPr>
            <w:tcW w:w="553" w:type="pct"/>
            <w:vAlign w:val="center"/>
          </w:tcPr>
          <w:p w:rsidR="005C539A" w:rsidRPr="006325C2" w:rsidRDefault="005C539A" w:rsidP="008255B4">
            <w:pPr>
              <w:spacing w:before="60" w:line="288" w:lineRule="auto"/>
            </w:pP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Localized</w:t>
            </w:r>
          </w:p>
        </w:tc>
        <w:tc>
          <w:tcPr>
            <w:tcW w:w="479" w:type="pct"/>
            <w:vAlign w:val="center"/>
          </w:tcPr>
          <w:p w:rsidR="005C539A" w:rsidRPr="006325C2" w:rsidRDefault="005C539A" w:rsidP="008255B4">
            <w:pPr>
              <w:spacing w:before="60" w:line="288" w:lineRule="auto"/>
              <w:jc w:val="right"/>
            </w:pPr>
            <w:r w:rsidRPr="006325C2">
              <w:t>3,489</w:t>
            </w:r>
          </w:p>
        </w:tc>
        <w:tc>
          <w:tcPr>
            <w:tcW w:w="478" w:type="pct"/>
            <w:vAlign w:val="center"/>
          </w:tcPr>
          <w:p w:rsidR="005C539A" w:rsidRPr="006325C2" w:rsidRDefault="005C539A" w:rsidP="008255B4">
            <w:pPr>
              <w:spacing w:before="60" w:line="288" w:lineRule="auto"/>
              <w:jc w:val="right"/>
            </w:pPr>
            <w:r w:rsidRPr="006325C2">
              <w:t>1,823</w:t>
            </w:r>
          </w:p>
        </w:tc>
        <w:tc>
          <w:tcPr>
            <w:tcW w:w="649" w:type="pct"/>
            <w:vAlign w:val="center"/>
          </w:tcPr>
          <w:p w:rsidR="005C539A" w:rsidRPr="006325C2" w:rsidRDefault="00564962" w:rsidP="008255B4">
            <w:pPr>
              <w:spacing w:before="60" w:line="288" w:lineRule="auto"/>
              <w:jc w:val="center"/>
            </w:pPr>
            <w:r w:rsidRPr="006325C2">
              <w:t>921</w:t>
            </w:r>
            <w:r w:rsidR="005C539A" w:rsidRPr="006325C2">
              <w:t xml:space="preserve"> ± </w:t>
            </w:r>
            <w:r w:rsidRPr="006325C2">
              <w:t>410</w:t>
            </w:r>
          </w:p>
        </w:tc>
        <w:tc>
          <w:tcPr>
            <w:tcW w:w="477" w:type="pct"/>
            <w:vAlign w:val="center"/>
          </w:tcPr>
          <w:p w:rsidR="005C539A" w:rsidRPr="006325C2" w:rsidRDefault="005C539A" w:rsidP="008255B4">
            <w:pPr>
              <w:spacing w:before="60" w:line="288" w:lineRule="auto"/>
            </w:pPr>
            <w:r w:rsidRPr="006325C2">
              <w:t>ref</w:t>
            </w:r>
          </w:p>
        </w:tc>
        <w:tc>
          <w:tcPr>
            <w:tcW w:w="752" w:type="pct"/>
            <w:vAlign w:val="center"/>
          </w:tcPr>
          <w:p w:rsidR="005C539A" w:rsidRPr="006325C2" w:rsidRDefault="005C539A" w:rsidP="008255B4">
            <w:pPr>
              <w:spacing w:before="60" w:line="288" w:lineRule="auto"/>
              <w:jc w:val="center"/>
            </w:pPr>
            <w:r w:rsidRPr="006325C2">
              <w:t>56.4 (54.6, 58.1)</w:t>
            </w:r>
          </w:p>
        </w:tc>
        <w:tc>
          <w:tcPr>
            <w:tcW w:w="553" w:type="pct"/>
            <w:vAlign w:val="center"/>
          </w:tcPr>
          <w:p w:rsidR="005C539A" w:rsidRPr="006325C2" w:rsidRDefault="005C539A" w:rsidP="008255B4">
            <w:pPr>
              <w:spacing w:before="60" w:line="288" w:lineRule="auto"/>
            </w:pPr>
            <w:r w:rsidRPr="006325C2">
              <w:t>ref</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Regional</w:t>
            </w:r>
          </w:p>
        </w:tc>
        <w:tc>
          <w:tcPr>
            <w:tcW w:w="479" w:type="pct"/>
            <w:vAlign w:val="center"/>
          </w:tcPr>
          <w:p w:rsidR="005C539A" w:rsidRPr="006325C2" w:rsidRDefault="005C539A" w:rsidP="008255B4">
            <w:pPr>
              <w:spacing w:before="60" w:line="288" w:lineRule="auto"/>
              <w:jc w:val="right"/>
            </w:pPr>
            <w:r w:rsidRPr="006325C2">
              <w:t>4,524</w:t>
            </w:r>
          </w:p>
        </w:tc>
        <w:tc>
          <w:tcPr>
            <w:tcW w:w="478" w:type="pct"/>
            <w:vAlign w:val="center"/>
          </w:tcPr>
          <w:p w:rsidR="005C539A" w:rsidRPr="006325C2" w:rsidRDefault="005C539A" w:rsidP="008255B4">
            <w:pPr>
              <w:spacing w:before="60" w:line="288" w:lineRule="auto"/>
              <w:jc w:val="right"/>
            </w:pPr>
            <w:r w:rsidRPr="006325C2">
              <w:t>3,713</w:t>
            </w:r>
          </w:p>
        </w:tc>
        <w:tc>
          <w:tcPr>
            <w:tcW w:w="649" w:type="pct"/>
            <w:vAlign w:val="center"/>
          </w:tcPr>
          <w:p w:rsidR="005C539A" w:rsidRPr="006325C2" w:rsidRDefault="00564962" w:rsidP="008255B4">
            <w:pPr>
              <w:spacing w:before="60" w:line="288" w:lineRule="auto"/>
              <w:jc w:val="center"/>
            </w:pPr>
            <w:r w:rsidRPr="006325C2">
              <w:t>905</w:t>
            </w:r>
            <w:r w:rsidR="005C539A" w:rsidRPr="006325C2">
              <w:t xml:space="preserve"> ± </w:t>
            </w:r>
            <w:r w:rsidRPr="006325C2">
              <w:t>410</w:t>
            </w:r>
          </w:p>
        </w:tc>
        <w:tc>
          <w:tcPr>
            <w:tcW w:w="477" w:type="pct"/>
            <w:vAlign w:val="center"/>
          </w:tcPr>
          <w:p w:rsidR="005C539A" w:rsidRPr="006325C2" w:rsidRDefault="005C539A" w:rsidP="008255B4">
            <w:pPr>
              <w:spacing w:before="60" w:line="288" w:lineRule="auto"/>
            </w:pPr>
            <w:r w:rsidRPr="006325C2">
              <w:t>0.</w:t>
            </w:r>
            <w:r w:rsidR="00564962" w:rsidRPr="006325C2">
              <w:t>54</w:t>
            </w:r>
          </w:p>
        </w:tc>
        <w:tc>
          <w:tcPr>
            <w:tcW w:w="752" w:type="pct"/>
            <w:vAlign w:val="center"/>
          </w:tcPr>
          <w:p w:rsidR="005C539A" w:rsidRPr="006325C2" w:rsidRDefault="005C539A" w:rsidP="008255B4">
            <w:pPr>
              <w:spacing w:before="60" w:line="288" w:lineRule="auto"/>
              <w:jc w:val="center"/>
            </w:pPr>
            <w:r w:rsidRPr="006325C2">
              <w:t>21.1 (20.0, 22.3)</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Distant</w:t>
            </w:r>
          </w:p>
        </w:tc>
        <w:tc>
          <w:tcPr>
            <w:tcW w:w="479" w:type="pct"/>
            <w:vAlign w:val="center"/>
          </w:tcPr>
          <w:p w:rsidR="005C539A" w:rsidRPr="006325C2" w:rsidRDefault="005C539A" w:rsidP="008255B4">
            <w:pPr>
              <w:spacing w:before="60" w:line="288" w:lineRule="auto"/>
              <w:jc w:val="right"/>
            </w:pPr>
            <w:r w:rsidRPr="006325C2">
              <w:t>6,752</w:t>
            </w:r>
          </w:p>
        </w:tc>
        <w:tc>
          <w:tcPr>
            <w:tcW w:w="478" w:type="pct"/>
            <w:vAlign w:val="center"/>
          </w:tcPr>
          <w:p w:rsidR="005C539A" w:rsidRPr="006325C2" w:rsidRDefault="005C539A" w:rsidP="008255B4">
            <w:pPr>
              <w:spacing w:before="60" w:line="288" w:lineRule="auto"/>
              <w:jc w:val="right"/>
            </w:pPr>
            <w:r w:rsidRPr="006325C2">
              <w:t>6,327</w:t>
            </w:r>
          </w:p>
        </w:tc>
        <w:tc>
          <w:tcPr>
            <w:tcW w:w="649" w:type="pct"/>
            <w:vAlign w:val="center"/>
          </w:tcPr>
          <w:p w:rsidR="005C539A" w:rsidRPr="006325C2" w:rsidRDefault="00564962" w:rsidP="008255B4">
            <w:pPr>
              <w:spacing w:before="60" w:line="288" w:lineRule="auto"/>
              <w:jc w:val="center"/>
            </w:pPr>
            <w:r w:rsidRPr="006325C2">
              <w:t>904</w:t>
            </w:r>
            <w:r w:rsidR="005C539A" w:rsidRPr="006325C2">
              <w:t xml:space="preserve"> ± </w:t>
            </w:r>
            <w:r w:rsidRPr="006325C2">
              <w:t>412</w:t>
            </w:r>
          </w:p>
        </w:tc>
        <w:tc>
          <w:tcPr>
            <w:tcW w:w="477" w:type="pct"/>
            <w:vAlign w:val="center"/>
          </w:tcPr>
          <w:p w:rsidR="005C539A" w:rsidRPr="006325C2" w:rsidRDefault="005C539A" w:rsidP="008255B4">
            <w:pPr>
              <w:spacing w:before="60" w:line="288" w:lineRule="auto"/>
            </w:pPr>
            <w:r w:rsidRPr="006325C2">
              <w:t>0.</w:t>
            </w:r>
            <w:r w:rsidR="00564962" w:rsidRPr="006325C2">
              <w:t>31</w:t>
            </w:r>
          </w:p>
        </w:tc>
        <w:tc>
          <w:tcPr>
            <w:tcW w:w="752" w:type="pct"/>
            <w:vAlign w:val="center"/>
          </w:tcPr>
          <w:p w:rsidR="005C539A" w:rsidRPr="006325C2" w:rsidRDefault="005C539A" w:rsidP="008255B4">
            <w:pPr>
              <w:spacing w:before="60" w:line="288" w:lineRule="auto"/>
              <w:jc w:val="center"/>
            </w:pPr>
            <w:r w:rsidRPr="006325C2">
              <w:t>5.7 (5.2, 6.3)</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ind w:left="180"/>
            </w:pPr>
            <w:r w:rsidRPr="006325C2">
              <w:t>Unknown</w:t>
            </w:r>
          </w:p>
        </w:tc>
        <w:tc>
          <w:tcPr>
            <w:tcW w:w="479" w:type="pct"/>
            <w:vAlign w:val="center"/>
          </w:tcPr>
          <w:p w:rsidR="005C539A" w:rsidRPr="006325C2" w:rsidRDefault="005C539A" w:rsidP="008255B4">
            <w:pPr>
              <w:spacing w:before="60" w:line="288" w:lineRule="auto"/>
              <w:jc w:val="right"/>
            </w:pPr>
            <w:r w:rsidRPr="006325C2">
              <w:t>9,117</w:t>
            </w:r>
          </w:p>
        </w:tc>
        <w:tc>
          <w:tcPr>
            <w:tcW w:w="478" w:type="pct"/>
            <w:vAlign w:val="center"/>
          </w:tcPr>
          <w:p w:rsidR="005C539A" w:rsidRPr="006325C2" w:rsidRDefault="005C539A" w:rsidP="008255B4">
            <w:pPr>
              <w:spacing w:before="60" w:line="288" w:lineRule="auto"/>
              <w:jc w:val="right"/>
            </w:pPr>
            <w:r w:rsidRPr="006325C2">
              <w:t>7,675</w:t>
            </w:r>
          </w:p>
        </w:tc>
        <w:tc>
          <w:tcPr>
            <w:tcW w:w="649" w:type="pct"/>
            <w:vAlign w:val="center"/>
          </w:tcPr>
          <w:p w:rsidR="005C539A" w:rsidRPr="006325C2" w:rsidRDefault="00564962" w:rsidP="008255B4">
            <w:pPr>
              <w:spacing w:before="60" w:line="288" w:lineRule="auto"/>
              <w:jc w:val="center"/>
            </w:pPr>
            <w:r w:rsidRPr="006325C2">
              <w:t>940</w:t>
            </w:r>
            <w:r w:rsidR="005C539A" w:rsidRPr="006325C2">
              <w:t xml:space="preserve"> ± </w:t>
            </w:r>
            <w:r w:rsidRPr="006325C2">
              <w:t>416</w:t>
            </w:r>
          </w:p>
        </w:tc>
        <w:tc>
          <w:tcPr>
            <w:tcW w:w="477" w:type="pct"/>
            <w:vAlign w:val="center"/>
          </w:tcPr>
          <w:p w:rsidR="005C539A" w:rsidRPr="006325C2" w:rsidRDefault="005C539A" w:rsidP="008255B4">
            <w:pPr>
              <w:spacing w:before="60" w:line="288" w:lineRule="auto"/>
            </w:pPr>
            <w:r w:rsidRPr="006325C2">
              <w:t>0.</w:t>
            </w:r>
            <w:r w:rsidR="00564962" w:rsidRPr="006325C2">
              <w:t>12</w:t>
            </w:r>
          </w:p>
        </w:tc>
        <w:tc>
          <w:tcPr>
            <w:tcW w:w="752" w:type="pct"/>
            <w:vAlign w:val="center"/>
          </w:tcPr>
          <w:p w:rsidR="005C539A" w:rsidRPr="006325C2" w:rsidRDefault="005C539A" w:rsidP="008255B4">
            <w:pPr>
              <w:spacing w:before="60" w:line="288" w:lineRule="auto"/>
              <w:jc w:val="center"/>
            </w:pPr>
            <w:r w:rsidRPr="006325C2">
              <w:t>20.4 (19.5, 21.2)</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pPr>
            <w:r w:rsidRPr="006325C2">
              <w:t>Tumor grade</w:t>
            </w:r>
          </w:p>
        </w:tc>
        <w:tc>
          <w:tcPr>
            <w:tcW w:w="479" w:type="pct"/>
            <w:vAlign w:val="center"/>
          </w:tcPr>
          <w:p w:rsidR="005C539A" w:rsidRPr="006325C2" w:rsidRDefault="005C539A" w:rsidP="008255B4">
            <w:pPr>
              <w:spacing w:before="60" w:line="288" w:lineRule="auto"/>
              <w:jc w:val="right"/>
            </w:pPr>
          </w:p>
        </w:tc>
        <w:tc>
          <w:tcPr>
            <w:tcW w:w="478" w:type="pct"/>
            <w:vAlign w:val="center"/>
          </w:tcPr>
          <w:p w:rsidR="005C539A" w:rsidRPr="006325C2" w:rsidRDefault="005C539A" w:rsidP="008255B4">
            <w:pPr>
              <w:spacing w:before="60" w:line="288" w:lineRule="auto"/>
              <w:jc w:val="right"/>
            </w:pPr>
          </w:p>
        </w:tc>
        <w:tc>
          <w:tcPr>
            <w:tcW w:w="649" w:type="pct"/>
            <w:vAlign w:val="center"/>
          </w:tcPr>
          <w:p w:rsidR="005C539A" w:rsidRPr="006325C2" w:rsidRDefault="005C539A" w:rsidP="008255B4">
            <w:pPr>
              <w:spacing w:before="60" w:line="288" w:lineRule="auto"/>
              <w:jc w:val="center"/>
            </w:pPr>
          </w:p>
        </w:tc>
        <w:tc>
          <w:tcPr>
            <w:tcW w:w="477" w:type="pct"/>
            <w:vAlign w:val="center"/>
          </w:tcPr>
          <w:p w:rsidR="005C539A" w:rsidRPr="006325C2" w:rsidRDefault="005C539A" w:rsidP="008255B4">
            <w:pPr>
              <w:spacing w:before="60" w:line="288" w:lineRule="auto"/>
            </w:pPr>
          </w:p>
        </w:tc>
        <w:tc>
          <w:tcPr>
            <w:tcW w:w="752" w:type="pct"/>
            <w:vAlign w:val="center"/>
          </w:tcPr>
          <w:p w:rsidR="005C539A" w:rsidRPr="006325C2" w:rsidRDefault="005C539A" w:rsidP="008255B4">
            <w:pPr>
              <w:spacing w:before="60" w:line="288" w:lineRule="auto"/>
              <w:jc w:val="center"/>
            </w:pPr>
          </w:p>
        </w:tc>
        <w:tc>
          <w:tcPr>
            <w:tcW w:w="553" w:type="pct"/>
            <w:vAlign w:val="center"/>
          </w:tcPr>
          <w:p w:rsidR="005C539A" w:rsidRPr="006325C2" w:rsidRDefault="005C539A" w:rsidP="008255B4">
            <w:pPr>
              <w:spacing w:before="60" w:line="288" w:lineRule="auto"/>
            </w:pPr>
          </w:p>
        </w:tc>
      </w:tr>
      <w:tr w:rsidR="005C539A" w:rsidRPr="006325C2" w:rsidTr="00CD7214">
        <w:tc>
          <w:tcPr>
            <w:tcW w:w="1612" w:type="pct"/>
            <w:vAlign w:val="center"/>
          </w:tcPr>
          <w:p w:rsidR="005C539A" w:rsidRPr="006325C2" w:rsidRDefault="005C539A" w:rsidP="008255B4">
            <w:pPr>
              <w:spacing w:before="60" w:line="288" w:lineRule="auto"/>
              <w:ind w:left="180" w:hanging="17"/>
            </w:pPr>
            <w:r w:rsidRPr="006325C2">
              <w:t>Well differentiated</w:t>
            </w:r>
          </w:p>
        </w:tc>
        <w:tc>
          <w:tcPr>
            <w:tcW w:w="479" w:type="pct"/>
            <w:vAlign w:val="center"/>
          </w:tcPr>
          <w:p w:rsidR="005C539A" w:rsidRPr="006325C2" w:rsidRDefault="005C539A" w:rsidP="008255B4">
            <w:pPr>
              <w:spacing w:before="60" w:line="288" w:lineRule="auto"/>
              <w:jc w:val="right"/>
            </w:pPr>
            <w:r w:rsidRPr="006325C2">
              <w:t>1,213</w:t>
            </w:r>
          </w:p>
        </w:tc>
        <w:tc>
          <w:tcPr>
            <w:tcW w:w="478" w:type="pct"/>
            <w:vAlign w:val="center"/>
          </w:tcPr>
          <w:p w:rsidR="005C539A" w:rsidRPr="006325C2" w:rsidRDefault="005C539A" w:rsidP="008255B4">
            <w:pPr>
              <w:spacing w:before="60" w:line="288" w:lineRule="auto"/>
              <w:jc w:val="right"/>
            </w:pPr>
            <w:r w:rsidRPr="006325C2">
              <w:t>592</w:t>
            </w:r>
          </w:p>
        </w:tc>
        <w:tc>
          <w:tcPr>
            <w:tcW w:w="649" w:type="pct"/>
            <w:vAlign w:val="center"/>
          </w:tcPr>
          <w:p w:rsidR="005C539A" w:rsidRPr="006325C2" w:rsidRDefault="00564962" w:rsidP="008255B4">
            <w:pPr>
              <w:spacing w:before="60" w:line="288" w:lineRule="auto"/>
              <w:jc w:val="center"/>
            </w:pPr>
            <w:r w:rsidRPr="006325C2">
              <w:t>843</w:t>
            </w:r>
            <w:r w:rsidR="005C539A" w:rsidRPr="006325C2">
              <w:t xml:space="preserve"> ± </w:t>
            </w:r>
            <w:r w:rsidRPr="006325C2">
              <w:t>409</w:t>
            </w:r>
          </w:p>
        </w:tc>
        <w:tc>
          <w:tcPr>
            <w:tcW w:w="477" w:type="pct"/>
            <w:vAlign w:val="center"/>
          </w:tcPr>
          <w:p w:rsidR="005C539A" w:rsidRPr="006325C2" w:rsidRDefault="005C539A" w:rsidP="008255B4">
            <w:pPr>
              <w:spacing w:before="60" w:line="288" w:lineRule="auto"/>
            </w:pPr>
            <w:r w:rsidRPr="006325C2">
              <w:t>ref</w:t>
            </w:r>
          </w:p>
        </w:tc>
        <w:tc>
          <w:tcPr>
            <w:tcW w:w="752" w:type="pct"/>
            <w:vAlign w:val="center"/>
          </w:tcPr>
          <w:p w:rsidR="005C539A" w:rsidRPr="006325C2" w:rsidRDefault="005C539A" w:rsidP="008255B4">
            <w:pPr>
              <w:spacing w:before="60" w:line="288" w:lineRule="auto"/>
              <w:jc w:val="center"/>
            </w:pPr>
            <w:r w:rsidRPr="006325C2">
              <w:t>57.9 (54.9, 60.8)</w:t>
            </w:r>
          </w:p>
        </w:tc>
        <w:tc>
          <w:tcPr>
            <w:tcW w:w="553" w:type="pct"/>
            <w:vAlign w:val="center"/>
          </w:tcPr>
          <w:p w:rsidR="005C539A" w:rsidRPr="006325C2" w:rsidRDefault="005C539A" w:rsidP="008255B4">
            <w:pPr>
              <w:spacing w:before="60" w:line="288" w:lineRule="auto"/>
            </w:pPr>
            <w:r w:rsidRPr="006325C2">
              <w:t>ref</w:t>
            </w:r>
          </w:p>
        </w:tc>
      </w:tr>
      <w:tr w:rsidR="005C539A" w:rsidRPr="006325C2" w:rsidTr="00CD7214">
        <w:tc>
          <w:tcPr>
            <w:tcW w:w="1612" w:type="pct"/>
            <w:vAlign w:val="center"/>
          </w:tcPr>
          <w:p w:rsidR="005C539A" w:rsidRPr="006325C2" w:rsidRDefault="005C539A" w:rsidP="008255B4">
            <w:pPr>
              <w:spacing w:before="60" w:line="288" w:lineRule="auto"/>
              <w:ind w:left="180" w:hanging="17"/>
            </w:pPr>
            <w:r w:rsidRPr="006325C2">
              <w:t>Moderately differentiated</w:t>
            </w:r>
          </w:p>
        </w:tc>
        <w:tc>
          <w:tcPr>
            <w:tcW w:w="479" w:type="pct"/>
            <w:vAlign w:val="center"/>
          </w:tcPr>
          <w:p w:rsidR="005C539A" w:rsidRPr="006325C2" w:rsidRDefault="005C539A" w:rsidP="008255B4">
            <w:pPr>
              <w:spacing w:before="60" w:line="288" w:lineRule="auto"/>
              <w:jc w:val="right"/>
            </w:pPr>
            <w:r w:rsidRPr="006325C2">
              <w:t>2,791</w:t>
            </w:r>
          </w:p>
        </w:tc>
        <w:tc>
          <w:tcPr>
            <w:tcW w:w="478" w:type="pct"/>
            <w:vAlign w:val="center"/>
          </w:tcPr>
          <w:p w:rsidR="005C539A" w:rsidRPr="006325C2" w:rsidRDefault="005C539A" w:rsidP="008255B4">
            <w:pPr>
              <w:spacing w:before="60" w:line="288" w:lineRule="auto"/>
              <w:jc w:val="right"/>
            </w:pPr>
            <w:r w:rsidRPr="006325C2">
              <w:t>1,953</w:t>
            </w:r>
          </w:p>
        </w:tc>
        <w:tc>
          <w:tcPr>
            <w:tcW w:w="649" w:type="pct"/>
            <w:vAlign w:val="center"/>
          </w:tcPr>
          <w:p w:rsidR="005C539A" w:rsidRPr="006325C2" w:rsidRDefault="00564962" w:rsidP="008255B4">
            <w:pPr>
              <w:spacing w:before="60" w:line="288" w:lineRule="auto"/>
              <w:jc w:val="center"/>
            </w:pPr>
            <w:r w:rsidRPr="006325C2">
              <w:t>921</w:t>
            </w:r>
            <w:r w:rsidR="005C539A" w:rsidRPr="006325C2">
              <w:t xml:space="preserve"> ± </w:t>
            </w:r>
            <w:r w:rsidRPr="006325C2">
              <w:t>409</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37.3 (35.5, 39.1)</w:t>
            </w:r>
          </w:p>
        </w:tc>
        <w:tc>
          <w:tcPr>
            <w:tcW w:w="553" w:type="pct"/>
            <w:vAlign w:val="center"/>
          </w:tcPr>
          <w:p w:rsidR="005C539A" w:rsidRPr="006325C2" w:rsidRDefault="005C539A" w:rsidP="008255B4">
            <w:pPr>
              <w:spacing w:before="60" w:line="288" w:lineRule="auto"/>
            </w:pPr>
            <w:r w:rsidRPr="006325C2">
              <w:t>0.66</w:t>
            </w:r>
          </w:p>
        </w:tc>
      </w:tr>
      <w:tr w:rsidR="005C539A" w:rsidRPr="006325C2" w:rsidTr="00CD7214">
        <w:tc>
          <w:tcPr>
            <w:tcW w:w="1612" w:type="pct"/>
            <w:vAlign w:val="center"/>
          </w:tcPr>
          <w:p w:rsidR="005C539A" w:rsidRPr="006325C2" w:rsidRDefault="005C539A" w:rsidP="008255B4">
            <w:pPr>
              <w:spacing w:before="60" w:line="288" w:lineRule="auto"/>
              <w:ind w:left="180" w:hanging="17"/>
            </w:pPr>
            <w:r w:rsidRPr="006325C2">
              <w:t>Poorly differentiated</w:t>
            </w:r>
          </w:p>
        </w:tc>
        <w:tc>
          <w:tcPr>
            <w:tcW w:w="479" w:type="pct"/>
            <w:vAlign w:val="center"/>
          </w:tcPr>
          <w:p w:rsidR="005C539A" w:rsidRPr="006325C2" w:rsidRDefault="005C539A" w:rsidP="008255B4">
            <w:pPr>
              <w:spacing w:before="60" w:line="288" w:lineRule="auto"/>
              <w:jc w:val="right"/>
            </w:pPr>
            <w:r w:rsidRPr="006325C2">
              <w:t>4,560</w:t>
            </w:r>
          </w:p>
        </w:tc>
        <w:tc>
          <w:tcPr>
            <w:tcW w:w="478" w:type="pct"/>
            <w:vAlign w:val="center"/>
          </w:tcPr>
          <w:p w:rsidR="005C539A" w:rsidRPr="006325C2" w:rsidRDefault="005C539A" w:rsidP="008255B4">
            <w:pPr>
              <w:spacing w:before="60" w:line="288" w:lineRule="auto"/>
              <w:jc w:val="right"/>
            </w:pPr>
            <w:r w:rsidRPr="006325C2">
              <w:t>3,742</w:t>
            </w:r>
          </w:p>
        </w:tc>
        <w:tc>
          <w:tcPr>
            <w:tcW w:w="649" w:type="pct"/>
            <w:vAlign w:val="center"/>
          </w:tcPr>
          <w:p w:rsidR="005C539A" w:rsidRPr="006325C2" w:rsidRDefault="00564962" w:rsidP="008255B4">
            <w:pPr>
              <w:spacing w:before="60" w:line="288" w:lineRule="auto"/>
              <w:jc w:val="center"/>
            </w:pPr>
            <w:r w:rsidRPr="006325C2">
              <w:t>925</w:t>
            </w:r>
            <w:r w:rsidR="005C539A" w:rsidRPr="006325C2">
              <w:t xml:space="preserve"> ± </w:t>
            </w:r>
            <w:r w:rsidRPr="006325C2">
              <w:t>411</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22.2 (21.0, 23.4)</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ind w:left="180" w:hanging="17"/>
            </w:pPr>
            <w:r w:rsidRPr="006325C2">
              <w:t>Undifferentiated</w:t>
            </w:r>
          </w:p>
        </w:tc>
        <w:tc>
          <w:tcPr>
            <w:tcW w:w="479" w:type="pct"/>
            <w:vAlign w:val="center"/>
          </w:tcPr>
          <w:p w:rsidR="005C539A" w:rsidRPr="006325C2" w:rsidRDefault="005C539A" w:rsidP="008255B4">
            <w:pPr>
              <w:spacing w:before="60" w:line="288" w:lineRule="auto"/>
              <w:jc w:val="right"/>
            </w:pPr>
            <w:r w:rsidRPr="006325C2">
              <w:t>1,838</w:t>
            </w:r>
          </w:p>
        </w:tc>
        <w:tc>
          <w:tcPr>
            <w:tcW w:w="478" w:type="pct"/>
            <w:vAlign w:val="center"/>
          </w:tcPr>
          <w:p w:rsidR="005C539A" w:rsidRPr="006325C2" w:rsidRDefault="005C539A" w:rsidP="008255B4">
            <w:pPr>
              <w:spacing w:before="60" w:line="288" w:lineRule="auto"/>
              <w:jc w:val="right"/>
            </w:pPr>
            <w:r w:rsidRPr="006325C2">
              <w:t>1,714</w:t>
            </w:r>
          </w:p>
        </w:tc>
        <w:tc>
          <w:tcPr>
            <w:tcW w:w="649" w:type="pct"/>
            <w:vAlign w:val="center"/>
          </w:tcPr>
          <w:p w:rsidR="005C539A" w:rsidRPr="006325C2" w:rsidRDefault="00564962" w:rsidP="008255B4">
            <w:pPr>
              <w:spacing w:before="60" w:line="288" w:lineRule="auto"/>
              <w:jc w:val="center"/>
            </w:pPr>
            <w:r w:rsidRPr="006325C2">
              <w:t>831</w:t>
            </w:r>
            <w:r w:rsidR="005C539A" w:rsidRPr="006325C2">
              <w:t xml:space="preserve"> ± </w:t>
            </w:r>
            <w:r w:rsidRPr="006325C2">
              <w:t>409</w:t>
            </w:r>
          </w:p>
        </w:tc>
        <w:tc>
          <w:tcPr>
            <w:tcW w:w="477" w:type="pct"/>
            <w:vAlign w:val="center"/>
          </w:tcPr>
          <w:p w:rsidR="005C539A" w:rsidRPr="006325C2" w:rsidRDefault="005C539A" w:rsidP="008255B4">
            <w:pPr>
              <w:spacing w:before="60" w:line="288" w:lineRule="auto"/>
            </w:pPr>
            <w:r w:rsidRPr="006325C2">
              <w:t>0.99</w:t>
            </w:r>
          </w:p>
        </w:tc>
        <w:tc>
          <w:tcPr>
            <w:tcW w:w="752" w:type="pct"/>
            <w:vAlign w:val="center"/>
          </w:tcPr>
          <w:p w:rsidR="005C539A" w:rsidRPr="006325C2" w:rsidRDefault="005C539A" w:rsidP="008255B4">
            <w:pPr>
              <w:spacing w:before="60" w:line="288" w:lineRule="auto"/>
              <w:jc w:val="center"/>
            </w:pPr>
            <w:r w:rsidRPr="006325C2">
              <w:t>10.4 (9.0, 11.8)</w:t>
            </w:r>
          </w:p>
        </w:tc>
        <w:tc>
          <w:tcPr>
            <w:tcW w:w="553" w:type="pct"/>
            <w:vAlign w:val="center"/>
          </w:tcPr>
          <w:p w:rsidR="005C539A" w:rsidRPr="006325C2" w:rsidRDefault="005C539A" w:rsidP="008255B4">
            <w:pPr>
              <w:spacing w:before="60" w:line="288" w:lineRule="auto"/>
            </w:pPr>
            <w:r w:rsidRPr="006325C2">
              <w:t>&lt;0.0001</w:t>
            </w:r>
          </w:p>
        </w:tc>
      </w:tr>
      <w:tr w:rsidR="005C539A" w:rsidRPr="006325C2" w:rsidTr="00CD7214">
        <w:tc>
          <w:tcPr>
            <w:tcW w:w="1612" w:type="pct"/>
            <w:vAlign w:val="center"/>
          </w:tcPr>
          <w:p w:rsidR="005C539A" w:rsidRPr="006325C2" w:rsidRDefault="005C539A" w:rsidP="008255B4">
            <w:pPr>
              <w:spacing w:before="60" w:line="288" w:lineRule="auto"/>
              <w:ind w:left="180" w:hanging="17"/>
            </w:pPr>
            <w:r w:rsidRPr="006325C2">
              <w:t>Unknown</w:t>
            </w:r>
          </w:p>
        </w:tc>
        <w:tc>
          <w:tcPr>
            <w:tcW w:w="479" w:type="pct"/>
            <w:vAlign w:val="center"/>
          </w:tcPr>
          <w:p w:rsidR="005C539A" w:rsidRPr="006325C2" w:rsidRDefault="005C539A" w:rsidP="008255B4">
            <w:pPr>
              <w:spacing w:before="60" w:line="288" w:lineRule="auto"/>
              <w:jc w:val="right"/>
            </w:pPr>
            <w:r w:rsidRPr="006325C2">
              <w:t>13,480</w:t>
            </w:r>
          </w:p>
        </w:tc>
        <w:tc>
          <w:tcPr>
            <w:tcW w:w="478" w:type="pct"/>
            <w:vAlign w:val="center"/>
          </w:tcPr>
          <w:p w:rsidR="005C539A" w:rsidRPr="006325C2" w:rsidRDefault="005C539A" w:rsidP="008255B4">
            <w:pPr>
              <w:spacing w:before="60" w:line="288" w:lineRule="auto"/>
              <w:jc w:val="right"/>
            </w:pPr>
            <w:r w:rsidRPr="006325C2">
              <w:t>11,537</w:t>
            </w:r>
          </w:p>
        </w:tc>
        <w:tc>
          <w:tcPr>
            <w:tcW w:w="649" w:type="pct"/>
            <w:vAlign w:val="center"/>
          </w:tcPr>
          <w:p w:rsidR="005C539A" w:rsidRPr="006325C2" w:rsidRDefault="00564962" w:rsidP="008255B4">
            <w:pPr>
              <w:spacing w:before="60" w:line="288" w:lineRule="auto"/>
              <w:jc w:val="center"/>
            </w:pPr>
            <w:r w:rsidRPr="006325C2">
              <w:t>93</w:t>
            </w:r>
            <w:r w:rsidR="007F08AA" w:rsidRPr="006325C2">
              <w:t>8</w:t>
            </w:r>
            <w:r w:rsidR="005C539A" w:rsidRPr="006325C2">
              <w:t xml:space="preserve"> ± </w:t>
            </w:r>
            <w:r w:rsidRPr="006325C2">
              <w:t>410</w:t>
            </w:r>
          </w:p>
        </w:tc>
        <w:tc>
          <w:tcPr>
            <w:tcW w:w="477" w:type="pct"/>
            <w:vAlign w:val="center"/>
          </w:tcPr>
          <w:p w:rsidR="005C539A" w:rsidRPr="006325C2" w:rsidRDefault="005C539A" w:rsidP="008255B4">
            <w:pPr>
              <w:spacing w:before="60" w:line="288" w:lineRule="auto"/>
            </w:pPr>
            <w:r w:rsidRPr="006325C2">
              <w:t>&lt;0.0001</w:t>
            </w:r>
          </w:p>
        </w:tc>
        <w:tc>
          <w:tcPr>
            <w:tcW w:w="752" w:type="pct"/>
            <w:vAlign w:val="center"/>
          </w:tcPr>
          <w:p w:rsidR="005C539A" w:rsidRPr="006325C2" w:rsidRDefault="005C539A" w:rsidP="008255B4">
            <w:pPr>
              <w:spacing w:before="60" w:line="288" w:lineRule="auto"/>
              <w:jc w:val="center"/>
            </w:pPr>
            <w:r w:rsidRPr="006325C2">
              <w:t>16.2 (15.5, 16.8)</w:t>
            </w:r>
          </w:p>
        </w:tc>
        <w:tc>
          <w:tcPr>
            <w:tcW w:w="553" w:type="pct"/>
            <w:vAlign w:val="center"/>
          </w:tcPr>
          <w:p w:rsidR="005C539A" w:rsidRPr="006325C2" w:rsidRDefault="005C539A" w:rsidP="008255B4">
            <w:pPr>
              <w:spacing w:before="60" w:line="288" w:lineRule="auto"/>
            </w:pPr>
            <w:r w:rsidRPr="006325C2">
              <w:t>&lt;0.0001</w:t>
            </w:r>
          </w:p>
        </w:tc>
      </w:tr>
    </w:tbl>
    <w:p w:rsidR="002537D1" w:rsidRPr="006325C2" w:rsidRDefault="002537D1" w:rsidP="008255B4">
      <w:pPr>
        <w:autoSpaceDE w:val="0"/>
        <w:autoSpaceDN w:val="0"/>
        <w:adjustRightInd w:val="0"/>
        <w:spacing w:before="60" w:after="0" w:line="288" w:lineRule="auto"/>
      </w:pPr>
      <w:r w:rsidRPr="006325C2">
        <w:rPr>
          <w:vertAlign w:val="superscript"/>
        </w:rPr>
        <w:t xml:space="preserve">1 </w:t>
      </w:r>
      <w:r w:rsidR="001147ED" w:rsidRPr="006325C2">
        <w:t xml:space="preserve">Mean ± SD, </w:t>
      </w:r>
      <w:r w:rsidR="00441A38" w:rsidRPr="006325C2">
        <w:t xml:space="preserve">adjusted for </w:t>
      </w:r>
      <w:r w:rsidR="005C539A" w:rsidRPr="006325C2">
        <w:t>age</w:t>
      </w:r>
      <w:r w:rsidR="00441A38" w:rsidRPr="006325C2">
        <w:t>, sex</w:t>
      </w:r>
      <w:r w:rsidR="005C539A" w:rsidRPr="006325C2">
        <w:t>,</w:t>
      </w:r>
      <w:r w:rsidR="00441A38" w:rsidRPr="006325C2">
        <w:t xml:space="preserve"> and total energy intake</w:t>
      </w:r>
      <w:r w:rsidR="005C539A" w:rsidRPr="006325C2">
        <w:t xml:space="preserve">, per 2,000 kcal for women and per 2,500 kcal for men. </w:t>
      </w:r>
      <w:r w:rsidRPr="006325C2">
        <w:t xml:space="preserve"> </w:t>
      </w:r>
    </w:p>
    <w:p w:rsidR="002537D1" w:rsidRPr="006325C2" w:rsidRDefault="002537D1" w:rsidP="008255B4">
      <w:pPr>
        <w:spacing w:before="60" w:after="0" w:line="288" w:lineRule="auto"/>
      </w:pPr>
      <w:r w:rsidRPr="006325C2">
        <w:rPr>
          <w:vertAlign w:val="superscript"/>
        </w:rPr>
        <w:t xml:space="preserve">2 </w:t>
      </w:r>
      <w:r w:rsidR="002724A9" w:rsidRPr="006325C2">
        <w:rPr>
          <w:i/>
        </w:rPr>
        <w:t>P</w:t>
      </w:r>
      <w:r w:rsidR="002724A9" w:rsidRPr="006325C2">
        <w:t>-</w:t>
      </w:r>
      <w:r w:rsidRPr="006325C2">
        <w:t>values were corrected for multiple comparisons using the Bonferroni method.</w:t>
      </w:r>
      <w:r w:rsidRPr="006325C2">
        <w:br w:type="page"/>
      </w:r>
    </w:p>
    <w:p w:rsidR="002537D1" w:rsidRPr="006325C2" w:rsidRDefault="002537D1" w:rsidP="00434502">
      <w:pPr>
        <w:spacing w:before="60" w:after="0" w:line="480" w:lineRule="auto"/>
        <w:rPr>
          <w:b/>
        </w:rPr>
        <w:sectPr w:rsidR="002537D1" w:rsidRPr="006325C2" w:rsidSect="006F62ED">
          <w:pgSz w:w="15840" w:h="12240" w:orient="landscape"/>
          <w:pgMar w:top="1440" w:right="1440" w:bottom="1440" w:left="1440" w:header="720" w:footer="720" w:gutter="0"/>
          <w:cols w:space="720"/>
          <w:docGrid w:linePitch="360"/>
        </w:sectPr>
      </w:pPr>
    </w:p>
    <w:p w:rsidR="002537D1" w:rsidRPr="006325C2" w:rsidRDefault="002537D1" w:rsidP="005A566E">
      <w:pPr>
        <w:spacing w:before="60" w:after="0" w:line="312" w:lineRule="auto"/>
        <w:rPr>
          <w:b/>
        </w:rPr>
      </w:pPr>
      <w:r w:rsidRPr="006325C2">
        <w:rPr>
          <w:b/>
        </w:rPr>
        <w:t>Table 2.</w:t>
      </w:r>
      <w:r w:rsidR="00FB3F2B" w:rsidRPr="006325C2">
        <w:rPr>
          <w:b/>
        </w:rPr>
        <w:t xml:space="preserve"> Pooled analyses of</w:t>
      </w:r>
      <w:r w:rsidR="008E4C64" w:rsidRPr="006325C2">
        <w:rPr>
          <w:b/>
        </w:rPr>
        <w:t xml:space="preserve"> </w:t>
      </w:r>
      <w:r w:rsidRPr="006325C2">
        <w:rPr>
          <w:b/>
        </w:rPr>
        <w:t>calcium intake and lung cancer survival (</w:t>
      </w:r>
      <w:r w:rsidRPr="00CD7214">
        <w:rPr>
          <w:b/>
          <w:i/>
        </w:rPr>
        <w:t>n</w:t>
      </w:r>
      <w:r w:rsidRPr="006325C2">
        <w:rPr>
          <w:b/>
        </w:rPr>
        <w:t>=23,882)</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530"/>
        <w:gridCol w:w="1890"/>
        <w:gridCol w:w="1818"/>
      </w:tblGrid>
      <w:tr w:rsidR="008E4C64" w:rsidRPr="006325C2" w:rsidTr="00CD7214">
        <w:tc>
          <w:tcPr>
            <w:tcW w:w="2265" w:type="pct"/>
            <w:vMerge w:val="restart"/>
            <w:tcBorders>
              <w:top w:val="single" w:sz="4" w:space="0" w:color="auto"/>
              <w:bottom w:val="nil"/>
            </w:tcBorders>
            <w:vAlign w:val="center"/>
          </w:tcPr>
          <w:p w:rsidR="008E4C64" w:rsidRPr="006325C2" w:rsidRDefault="008E4C64" w:rsidP="007C5715">
            <w:pPr>
              <w:spacing w:before="60" w:line="312" w:lineRule="auto"/>
            </w:pPr>
            <w:r w:rsidRPr="006325C2">
              <w:t>Calcium intakes</w:t>
            </w:r>
          </w:p>
        </w:tc>
        <w:tc>
          <w:tcPr>
            <w:tcW w:w="799" w:type="pct"/>
            <w:vMerge w:val="restart"/>
            <w:tcBorders>
              <w:top w:val="single" w:sz="4" w:space="0" w:color="auto"/>
              <w:bottom w:val="nil"/>
            </w:tcBorders>
            <w:vAlign w:val="center"/>
          </w:tcPr>
          <w:p w:rsidR="008E4C64" w:rsidRPr="006325C2" w:rsidRDefault="008E4C64" w:rsidP="007C5715">
            <w:pPr>
              <w:spacing w:before="60" w:line="312" w:lineRule="auto"/>
            </w:pPr>
            <w:r w:rsidRPr="006325C2">
              <w:t xml:space="preserve">Deaths / Cases, </w:t>
            </w:r>
            <w:r w:rsidRPr="00CD7214">
              <w:rPr>
                <w:i/>
              </w:rPr>
              <w:t>n</w:t>
            </w:r>
          </w:p>
        </w:tc>
        <w:tc>
          <w:tcPr>
            <w:tcW w:w="1936" w:type="pct"/>
            <w:gridSpan w:val="2"/>
            <w:tcBorders>
              <w:top w:val="single" w:sz="4" w:space="0" w:color="auto"/>
              <w:bottom w:val="single" w:sz="4" w:space="0" w:color="auto"/>
            </w:tcBorders>
            <w:vAlign w:val="center"/>
          </w:tcPr>
          <w:p w:rsidR="008E4C64" w:rsidRPr="006325C2" w:rsidRDefault="008E4C64" w:rsidP="007C5715">
            <w:pPr>
              <w:spacing w:before="60" w:line="312" w:lineRule="auto"/>
              <w:jc w:val="center"/>
            </w:pPr>
            <w:r w:rsidRPr="006325C2">
              <w:t>Hazard ratio (95% CI)</w:t>
            </w:r>
          </w:p>
        </w:tc>
      </w:tr>
      <w:tr w:rsidR="008E4C64" w:rsidRPr="006325C2" w:rsidTr="00CD7214">
        <w:tc>
          <w:tcPr>
            <w:tcW w:w="2265" w:type="pct"/>
            <w:vMerge/>
            <w:tcBorders>
              <w:top w:val="nil"/>
              <w:bottom w:val="single" w:sz="4" w:space="0" w:color="auto"/>
            </w:tcBorders>
            <w:vAlign w:val="center"/>
          </w:tcPr>
          <w:p w:rsidR="008E4C64" w:rsidRPr="006325C2" w:rsidRDefault="008E4C64" w:rsidP="007C5715">
            <w:pPr>
              <w:spacing w:before="60" w:line="312" w:lineRule="auto"/>
            </w:pPr>
          </w:p>
        </w:tc>
        <w:tc>
          <w:tcPr>
            <w:tcW w:w="799" w:type="pct"/>
            <w:vMerge/>
            <w:tcBorders>
              <w:top w:val="nil"/>
              <w:bottom w:val="single" w:sz="4" w:space="0" w:color="auto"/>
            </w:tcBorders>
            <w:vAlign w:val="center"/>
          </w:tcPr>
          <w:p w:rsidR="008E4C64" w:rsidRPr="006325C2" w:rsidRDefault="008E4C64" w:rsidP="007C5715">
            <w:pPr>
              <w:spacing w:before="60" w:line="312" w:lineRule="auto"/>
            </w:pPr>
          </w:p>
        </w:tc>
        <w:tc>
          <w:tcPr>
            <w:tcW w:w="987" w:type="pct"/>
            <w:tcBorders>
              <w:top w:val="single" w:sz="4" w:space="0" w:color="auto"/>
              <w:bottom w:val="single" w:sz="4" w:space="0" w:color="auto"/>
            </w:tcBorders>
            <w:vAlign w:val="center"/>
          </w:tcPr>
          <w:p w:rsidR="008E4C64" w:rsidRPr="006325C2" w:rsidRDefault="008E4C64" w:rsidP="007C5715">
            <w:pPr>
              <w:spacing w:before="60" w:line="312" w:lineRule="auto"/>
            </w:pPr>
            <w:r w:rsidRPr="006325C2">
              <w:t>Age-, sex-, and energy-adjusted</w:t>
            </w:r>
            <w:r w:rsidRPr="006325C2">
              <w:rPr>
                <w:vertAlign w:val="superscript"/>
              </w:rPr>
              <w:t>1</w:t>
            </w:r>
          </w:p>
        </w:tc>
        <w:tc>
          <w:tcPr>
            <w:tcW w:w="949" w:type="pct"/>
            <w:tcBorders>
              <w:top w:val="single" w:sz="4" w:space="0" w:color="auto"/>
              <w:bottom w:val="single" w:sz="4" w:space="0" w:color="auto"/>
            </w:tcBorders>
            <w:vAlign w:val="center"/>
          </w:tcPr>
          <w:p w:rsidR="008E4C64" w:rsidRPr="006325C2" w:rsidRDefault="008E4C64" w:rsidP="007C5715">
            <w:pPr>
              <w:spacing w:before="60" w:line="312" w:lineRule="auto"/>
            </w:pPr>
            <w:r w:rsidRPr="006325C2">
              <w:t>Multivariable-adjusted</w:t>
            </w:r>
            <w:r w:rsidRPr="006325C2">
              <w:rPr>
                <w:vertAlign w:val="superscript"/>
              </w:rPr>
              <w:t>2</w:t>
            </w:r>
          </w:p>
        </w:tc>
      </w:tr>
      <w:tr w:rsidR="008E4C64" w:rsidRPr="006325C2" w:rsidTr="00CD7214">
        <w:tc>
          <w:tcPr>
            <w:tcW w:w="2265" w:type="pct"/>
            <w:tcBorders>
              <w:top w:val="single" w:sz="4" w:space="0" w:color="auto"/>
            </w:tcBorders>
            <w:vAlign w:val="center"/>
          </w:tcPr>
          <w:p w:rsidR="008E4C64" w:rsidRPr="006325C2" w:rsidRDefault="008E4C64" w:rsidP="007C5715">
            <w:pPr>
              <w:spacing w:before="60" w:line="312" w:lineRule="auto"/>
            </w:pPr>
            <w:r w:rsidRPr="006325C2">
              <w:t>Dietary calcium intake, mg/d</w:t>
            </w:r>
            <w:r w:rsidRPr="006325C2">
              <w:rPr>
                <w:vertAlign w:val="superscript"/>
              </w:rPr>
              <w:t>3</w:t>
            </w:r>
          </w:p>
        </w:tc>
        <w:tc>
          <w:tcPr>
            <w:tcW w:w="799" w:type="pct"/>
            <w:tcBorders>
              <w:top w:val="single" w:sz="4" w:space="0" w:color="auto"/>
            </w:tcBorders>
            <w:vAlign w:val="center"/>
          </w:tcPr>
          <w:p w:rsidR="008E4C64" w:rsidRPr="006325C2" w:rsidRDefault="008E4C64" w:rsidP="007C5715">
            <w:pPr>
              <w:spacing w:before="60" w:line="312" w:lineRule="auto"/>
            </w:pPr>
          </w:p>
        </w:tc>
        <w:tc>
          <w:tcPr>
            <w:tcW w:w="987" w:type="pct"/>
            <w:tcBorders>
              <w:top w:val="single" w:sz="4" w:space="0" w:color="auto"/>
            </w:tcBorders>
            <w:vAlign w:val="center"/>
          </w:tcPr>
          <w:p w:rsidR="008E4C64" w:rsidRPr="006325C2" w:rsidRDefault="008E4C64" w:rsidP="007C5715">
            <w:pPr>
              <w:spacing w:before="60" w:line="312" w:lineRule="auto"/>
            </w:pPr>
          </w:p>
        </w:tc>
        <w:tc>
          <w:tcPr>
            <w:tcW w:w="949" w:type="pct"/>
            <w:tcBorders>
              <w:top w:val="single" w:sz="4" w:space="0" w:color="auto"/>
            </w:tcBorders>
            <w:vAlign w:val="center"/>
          </w:tcPr>
          <w:p w:rsidR="008E4C64" w:rsidRPr="006325C2" w:rsidRDefault="008E4C64" w:rsidP="007C5715">
            <w:pPr>
              <w:spacing w:before="60" w:line="312" w:lineRule="auto"/>
            </w:pPr>
          </w:p>
        </w:tc>
      </w:tr>
      <w:tr w:rsidR="008E4C64" w:rsidRPr="006325C2" w:rsidTr="00CD7214">
        <w:tc>
          <w:tcPr>
            <w:tcW w:w="2265" w:type="pct"/>
            <w:vAlign w:val="center"/>
          </w:tcPr>
          <w:p w:rsidR="008E4C64" w:rsidRPr="006325C2" w:rsidRDefault="008E4C64" w:rsidP="007C5715">
            <w:pPr>
              <w:spacing w:before="60" w:line="312" w:lineRule="auto"/>
              <w:ind w:left="180"/>
            </w:pPr>
            <w:r w:rsidRPr="006325C2">
              <w:t>&lt;500 or &lt;600</w:t>
            </w:r>
          </w:p>
        </w:tc>
        <w:tc>
          <w:tcPr>
            <w:tcW w:w="799" w:type="pct"/>
          </w:tcPr>
          <w:p w:rsidR="008E4C64" w:rsidRPr="006325C2" w:rsidRDefault="008E4C64" w:rsidP="007C5715">
            <w:pPr>
              <w:spacing w:line="312" w:lineRule="auto"/>
            </w:pPr>
            <w:r w:rsidRPr="006325C2">
              <w:t>3,047 / 3,705</w:t>
            </w:r>
          </w:p>
        </w:tc>
        <w:tc>
          <w:tcPr>
            <w:tcW w:w="987" w:type="pct"/>
          </w:tcPr>
          <w:p w:rsidR="008E4C64" w:rsidRPr="006325C2" w:rsidRDefault="008E4C64" w:rsidP="007C5715">
            <w:pPr>
              <w:spacing w:line="312" w:lineRule="auto"/>
            </w:pPr>
            <w:r w:rsidRPr="006325C2">
              <w:t>1.14 (1.08, 1.20)</w:t>
            </w:r>
          </w:p>
        </w:tc>
        <w:tc>
          <w:tcPr>
            <w:tcW w:w="949" w:type="pct"/>
          </w:tcPr>
          <w:p w:rsidR="008E4C64" w:rsidRPr="006325C2" w:rsidRDefault="008E4C64" w:rsidP="007C5715">
            <w:pPr>
              <w:spacing w:line="312" w:lineRule="auto"/>
            </w:pPr>
            <w:r w:rsidRPr="006325C2">
              <w:t>1.07 (1.01, 1.13)</w:t>
            </w:r>
          </w:p>
        </w:tc>
      </w:tr>
      <w:tr w:rsidR="008E4C64" w:rsidRPr="006325C2" w:rsidTr="00CD7214">
        <w:tc>
          <w:tcPr>
            <w:tcW w:w="2265" w:type="pct"/>
            <w:vAlign w:val="center"/>
          </w:tcPr>
          <w:p w:rsidR="008E4C64" w:rsidRPr="006325C2" w:rsidRDefault="008E4C64" w:rsidP="007C5715">
            <w:pPr>
              <w:spacing w:before="60" w:line="312" w:lineRule="auto"/>
              <w:ind w:left="180"/>
            </w:pPr>
            <w:r w:rsidRPr="006325C2">
              <w:t xml:space="preserve">500-800 or 600-1000 </w:t>
            </w:r>
          </w:p>
        </w:tc>
        <w:tc>
          <w:tcPr>
            <w:tcW w:w="799" w:type="pct"/>
          </w:tcPr>
          <w:p w:rsidR="008E4C64" w:rsidRPr="006325C2" w:rsidRDefault="008E4C64" w:rsidP="007C5715">
            <w:pPr>
              <w:spacing w:line="312" w:lineRule="auto"/>
            </w:pPr>
            <w:r w:rsidRPr="006325C2">
              <w:t>7,463 / 9,190</w:t>
            </w:r>
          </w:p>
        </w:tc>
        <w:tc>
          <w:tcPr>
            <w:tcW w:w="987" w:type="pct"/>
          </w:tcPr>
          <w:p w:rsidR="008E4C64" w:rsidRPr="006325C2" w:rsidRDefault="008E4C64" w:rsidP="007C5715">
            <w:pPr>
              <w:spacing w:line="312" w:lineRule="auto"/>
            </w:pPr>
            <w:r w:rsidRPr="006325C2">
              <w:t>1.05 (1.01, 1.09)</w:t>
            </w:r>
          </w:p>
        </w:tc>
        <w:tc>
          <w:tcPr>
            <w:tcW w:w="949" w:type="pct"/>
          </w:tcPr>
          <w:p w:rsidR="008E4C64" w:rsidRPr="006325C2" w:rsidRDefault="008E4C64" w:rsidP="007C5715">
            <w:pPr>
              <w:spacing w:line="312" w:lineRule="auto"/>
            </w:pPr>
            <w:r w:rsidRPr="006325C2">
              <w:t>1.04 (1.00, 1.09)</w:t>
            </w:r>
          </w:p>
        </w:tc>
      </w:tr>
      <w:tr w:rsidR="008E4C64" w:rsidRPr="006325C2" w:rsidTr="00CD7214">
        <w:tc>
          <w:tcPr>
            <w:tcW w:w="2265" w:type="pct"/>
            <w:vAlign w:val="center"/>
          </w:tcPr>
          <w:p w:rsidR="008E4C64" w:rsidRPr="006325C2" w:rsidRDefault="008E4C64" w:rsidP="007C5715">
            <w:pPr>
              <w:spacing w:before="60" w:line="312" w:lineRule="auto"/>
              <w:ind w:left="180"/>
            </w:pPr>
            <w:r w:rsidRPr="006325C2">
              <w:t>800-1000 or 1000-1200</w:t>
            </w:r>
          </w:p>
        </w:tc>
        <w:tc>
          <w:tcPr>
            <w:tcW w:w="799" w:type="pct"/>
          </w:tcPr>
          <w:p w:rsidR="008E4C64" w:rsidRPr="006325C2" w:rsidRDefault="008E4C64" w:rsidP="007C5715">
            <w:pPr>
              <w:spacing w:line="312" w:lineRule="auto"/>
            </w:pPr>
            <w:r w:rsidRPr="006325C2">
              <w:t>3,531 / 4,362</w:t>
            </w:r>
          </w:p>
        </w:tc>
        <w:tc>
          <w:tcPr>
            <w:tcW w:w="987" w:type="pct"/>
          </w:tcPr>
          <w:p w:rsidR="008E4C64" w:rsidRPr="006325C2" w:rsidRDefault="008E4C64" w:rsidP="007C5715">
            <w:pPr>
              <w:spacing w:line="312" w:lineRule="auto"/>
            </w:pPr>
            <w:r w:rsidRPr="006325C2">
              <w:t>1.00 (ref)</w:t>
            </w:r>
          </w:p>
        </w:tc>
        <w:tc>
          <w:tcPr>
            <w:tcW w:w="949" w:type="pct"/>
          </w:tcPr>
          <w:p w:rsidR="008E4C64" w:rsidRPr="006325C2" w:rsidRDefault="008E4C64" w:rsidP="007C5715">
            <w:pPr>
              <w:spacing w:line="312" w:lineRule="auto"/>
            </w:pPr>
            <w:r w:rsidRPr="006325C2">
              <w:t>1.00 (ref)</w:t>
            </w:r>
          </w:p>
        </w:tc>
      </w:tr>
      <w:tr w:rsidR="008E4C64" w:rsidRPr="006325C2" w:rsidTr="00CD7214">
        <w:tc>
          <w:tcPr>
            <w:tcW w:w="2265" w:type="pct"/>
            <w:vAlign w:val="center"/>
          </w:tcPr>
          <w:p w:rsidR="008E4C64" w:rsidRPr="006325C2" w:rsidRDefault="008E4C64" w:rsidP="007C5715">
            <w:pPr>
              <w:spacing w:before="60" w:line="312" w:lineRule="auto"/>
              <w:ind w:left="180"/>
            </w:pPr>
            <w:r w:rsidRPr="006325C2">
              <w:t>1000-1500 or 1200-1800</w:t>
            </w:r>
          </w:p>
        </w:tc>
        <w:tc>
          <w:tcPr>
            <w:tcW w:w="799" w:type="pct"/>
          </w:tcPr>
          <w:p w:rsidR="008E4C64" w:rsidRPr="006325C2" w:rsidRDefault="008E4C64" w:rsidP="007C5715">
            <w:pPr>
              <w:spacing w:line="312" w:lineRule="auto"/>
            </w:pPr>
            <w:r w:rsidRPr="006325C2">
              <w:t>4,205 / 5,092</w:t>
            </w:r>
          </w:p>
        </w:tc>
        <w:tc>
          <w:tcPr>
            <w:tcW w:w="987" w:type="pct"/>
          </w:tcPr>
          <w:p w:rsidR="008E4C64" w:rsidRPr="006325C2" w:rsidRDefault="008E4C64" w:rsidP="007C5715">
            <w:pPr>
              <w:spacing w:line="312" w:lineRule="auto"/>
            </w:pPr>
            <w:r w:rsidRPr="006325C2">
              <w:t>1.02 (0.97, 1.06)</w:t>
            </w:r>
          </w:p>
        </w:tc>
        <w:tc>
          <w:tcPr>
            <w:tcW w:w="949" w:type="pct"/>
          </w:tcPr>
          <w:p w:rsidR="008E4C64" w:rsidRPr="006325C2" w:rsidRDefault="008E4C64" w:rsidP="007C5715">
            <w:pPr>
              <w:spacing w:line="312" w:lineRule="auto"/>
            </w:pPr>
            <w:r w:rsidRPr="006325C2">
              <w:t>1.05 (1.01, 1.10)</w:t>
            </w:r>
          </w:p>
        </w:tc>
      </w:tr>
      <w:tr w:rsidR="008E4C64" w:rsidRPr="006325C2" w:rsidTr="00CD7214">
        <w:tc>
          <w:tcPr>
            <w:tcW w:w="2265" w:type="pct"/>
            <w:tcBorders>
              <w:bottom w:val="single" w:sz="4" w:space="0" w:color="auto"/>
            </w:tcBorders>
            <w:vAlign w:val="center"/>
          </w:tcPr>
          <w:p w:rsidR="008E4C64" w:rsidRPr="006325C2" w:rsidRDefault="008E4C64" w:rsidP="007C5715">
            <w:pPr>
              <w:spacing w:before="60" w:line="312" w:lineRule="auto"/>
              <w:ind w:left="180"/>
            </w:pPr>
            <w:r w:rsidRPr="006325C2">
              <w:t>&gt;1500 or &gt;1800</w:t>
            </w:r>
          </w:p>
        </w:tc>
        <w:tc>
          <w:tcPr>
            <w:tcW w:w="799" w:type="pct"/>
            <w:tcBorders>
              <w:bottom w:val="single" w:sz="4" w:space="0" w:color="auto"/>
            </w:tcBorders>
          </w:tcPr>
          <w:p w:rsidR="008E4C64" w:rsidRPr="006325C2" w:rsidRDefault="008E4C64" w:rsidP="007C5715">
            <w:pPr>
              <w:spacing w:line="312" w:lineRule="auto"/>
            </w:pPr>
            <w:r w:rsidRPr="006325C2">
              <w:t>1,292 / 1,533</w:t>
            </w:r>
          </w:p>
        </w:tc>
        <w:tc>
          <w:tcPr>
            <w:tcW w:w="987" w:type="pct"/>
            <w:tcBorders>
              <w:bottom w:val="single" w:sz="4" w:space="0" w:color="auto"/>
            </w:tcBorders>
          </w:tcPr>
          <w:p w:rsidR="008E4C64" w:rsidRPr="006325C2" w:rsidRDefault="008E4C64" w:rsidP="007C5715">
            <w:pPr>
              <w:spacing w:line="312" w:lineRule="auto"/>
            </w:pPr>
            <w:r w:rsidRPr="006325C2">
              <w:t>1.02 (0.96, 1.09)</w:t>
            </w:r>
          </w:p>
        </w:tc>
        <w:tc>
          <w:tcPr>
            <w:tcW w:w="949" w:type="pct"/>
            <w:tcBorders>
              <w:bottom w:val="single" w:sz="4" w:space="0" w:color="auto"/>
            </w:tcBorders>
          </w:tcPr>
          <w:p w:rsidR="008E4C64" w:rsidRPr="006325C2" w:rsidRDefault="008E4C64" w:rsidP="007C5715">
            <w:pPr>
              <w:spacing w:line="312" w:lineRule="auto"/>
            </w:pPr>
            <w:r w:rsidRPr="006325C2">
              <w:t>1.04 (0.97, 1.11)</w:t>
            </w:r>
          </w:p>
        </w:tc>
      </w:tr>
      <w:tr w:rsidR="008E4C64" w:rsidRPr="006325C2" w:rsidTr="00CD7214">
        <w:tc>
          <w:tcPr>
            <w:tcW w:w="2265" w:type="pct"/>
            <w:tcBorders>
              <w:top w:val="single" w:sz="4" w:space="0" w:color="auto"/>
              <w:bottom w:val="nil"/>
            </w:tcBorders>
            <w:vAlign w:val="center"/>
          </w:tcPr>
          <w:p w:rsidR="008E4C64" w:rsidRPr="006325C2" w:rsidRDefault="008E4C64" w:rsidP="007C5715">
            <w:pPr>
              <w:spacing w:before="60" w:line="312" w:lineRule="auto"/>
            </w:pPr>
            <w:r w:rsidRPr="006325C2">
              <w:t>Dietary and supplemental calcium intake, mg/d</w:t>
            </w:r>
            <w:r w:rsidRPr="006325C2">
              <w:rPr>
                <w:vertAlign w:val="superscript"/>
              </w:rPr>
              <w:t>3,4</w:t>
            </w:r>
          </w:p>
        </w:tc>
        <w:tc>
          <w:tcPr>
            <w:tcW w:w="799" w:type="pct"/>
            <w:tcBorders>
              <w:top w:val="single" w:sz="4" w:space="0" w:color="auto"/>
              <w:bottom w:val="nil"/>
            </w:tcBorders>
          </w:tcPr>
          <w:p w:rsidR="008E4C64" w:rsidRPr="006325C2" w:rsidRDefault="008E4C64" w:rsidP="007C5715">
            <w:pPr>
              <w:spacing w:line="312" w:lineRule="auto"/>
            </w:pPr>
          </w:p>
        </w:tc>
        <w:tc>
          <w:tcPr>
            <w:tcW w:w="987" w:type="pct"/>
            <w:tcBorders>
              <w:top w:val="single" w:sz="4" w:space="0" w:color="auto"/>
              <w:bottom w:val="nil"/>
            </w:tcBorders>
          </w:tcPr>
          <w:p w:rsidR="008E4C64" w:rsidRPr="006325C2" w:rsidRDefault="008E4C64" w:rsidP="007C5715">
            <w:pPr>
              <w:spacing w:line="312" w:lineRule="auto"/>
            </w:pPr>
          </w:p>
        </w:tc>
        <w:tc>
          <w:tcPr>
            <w:tcW w:w="949" w:type="pct"/>
            <w:tcBorders>
              <w:top w:val="single" w:sz="4" w:space="0" w:color="auto"/>
              <w:bottom w:val="nil"/>
            </w:tcBorders>
          </w:tcPr>
          <w:p w:rsidR="008E4C64" w:rsidRPr="006325C2" w:rsidRDefault="008E4C64" w:rsidP="007C5715">
            <w:pPr>
              <w:spacing w:line="312" w:lineRule="auto"/>
            </w:pPr>
          </w:p>
        </w:tc>
      </w:tr>
      <w:tr w:rsidR="008E4C64" w:rsidRPr="006325C2" w:rsidTr="00CD7214">
        <w:tc>
          <w:tcPr>
            <w:tcW w:w="2265" w:type="pct"/>
            <w:tcBorders>
              <w:top w:val="nil"/>
            </w:tcBorders>
            <w:vAlign w:val="center"/>
          </w:tcPr>
          <w:p w:rsidR="008E4C64" w:rsidRPr="006325C2" w:rsidRDefault="008E4C64" w:rsidP="007C5715">
            <w:pPr>
              <w:spacing w:before="60" w:line="312" w:lineRule="auto"/>
              <w:ind w:left="180"/>
            </w:pPr>
            <w:r w:rsidRPr="006325C2">
              <w:t>&lt;500 or &lt;600</w:t>
            </w:r>
          </w:p>
        </w:tc>
        <w:tc>
          <w:tcPr>
            <w:tcW w:w="799" w:type="pct"/>
            <w:tcBorders>
              <w:top w:val="nil"/>
            </w:tcBorders>
          </w:tcPr>
          <w:p w:rsidR="008E4C64" w:rsidRPr="006325C2" w:rsidRDefault="008E4C64" w:rsidP="007C5715">
            <w:pPr>
              <w:spacing w:line="312" w:lineRule="auto"/>
            </w:pPr>
            <w:r w:rsidRPr="006325C2">
              <w:t>1,119 / 1,352</w:t>
            </w:r>
          </w:p>
        </w:tc>
        <w:tc>
          <w:tcPr>
            <w:tcW w:w="987" w:type="pct"/>
            <w:tcBorders>
              <w:top w:val="nil"/>
            </w:tcBorders>
          </w:tcPr>
          <w:p w:rsidR="008E4C64" w:rsidRPr="006325C2" w:rsidRDefault="008E4C64" w:rsidP="007C5715">
            <w:pPr>
              <w:spacing w:line="312" w:lineRule="auto"/>
            </w:pPr>
            <w:r w:rsidRPr="006325C2">
              <w:t>1.07 (1.00, 1.15)</w:t>
            </w:r>
          </w:p>
        </w:tc>
        <w:tc>
          <w:tcPr>
            <w:tcW w:w="949" w:type="pct"/>
            <w:tcBorders>
              <w:top w:val="nil"/>
            </w:tcBorders>
          </w:tcPr>
          <w:p w:rsidR="008E4C64" w:rsidRPr="006325C2" w:rsidRDefault="008E4C64" w:rsidP="007C5715">
            <w:pPr>
              <w:spacing w:line="312" w:lineRule="auto"/>
            </w:pPr>
            <w:r w:rsidRPr="006325C2">
              <w:t>1.02 (0.95, 1.10)</w:t>
            </w:r>
          </w:p>
        </w:tc>
      </w:tr>
      <w:tr w:rsidR="008E4C64" w:rsidRPr="006325C2" w:rsidTr="00CD7214">
        <w:tc>
          <w:tcPr>
            <w:tcW w:w="2265" w:type="pct"/>
            <w:vAlign w:val="center"/>
          </w:tcPr>
          <w:p w:rsidR="008E4C64" w:rsidRPr="006325C2" w:rsidRDefault="008E4C64" w:rsidP="007C5715">
            <w:pPr>
              <w:spacing w:before="60" w:line="312" w:lineRule="auto"/>
              <w:ind w:left="180"/>
            </w:pPr>
            <w:r w:rsidRPr="006325C2">
              <w:t xml:space="preserve">500-800 or 600-1000 </w:t>
            </w:r>
          </w:p>
        </w:tc>
        <w:tc>
          <w:tcPr>
            <w:tcW w:w="799" w:type="pct"/>
          </w:tcPr>
          <w:p w:rsidR="008E4C64" w:rsidRPr="006325C2" w:rsidRDefault="008E4C64" w:rsidP="007C5715">
            <w:pPr>
              <w:spacing w:line="312" w:lineRule="auto"/>
            </w:pPr>
            <w:r w:rsidRPr="006325C2">
              <w:t>4,333 / 5,212</w:t>
            </w:r>
          </w:p>
        </w:tc>
        <w:tc>
          <w:tcPr>
            <w:tcW w:w="987" w:type="pct"/>
          </w:tcPr>
          <w:p w:rsidR="008E4C64" w:rsidRPr="006325C2" w:rsidRDefault="008E4C64" w:rsidP="007C5715">
            <w:pPr>
              <w:spacing w:line="312" w:lineRule="auto"/>
            </w:pPr>
            <w:r w:rsidRPr="006325C2">
              <w:t>1.02 (0.97, 1.07)</w:t>
            </w:r>
          </w:p>
        </w:tc>
        <w:tc>
          <w:tcPr>
            <w:tcW w:w="949" w:type="pct"/>
          </w:tcPr>
          <w:p w:rsidR="008E4C64" w:rsidRPr="006325C2" w:rsidRDefault="008E4C64" w:rsidP="007C5715">
            <w:pPr>
              <w:spacing w:line="312" w:lineRule="auto"/>
            </w:pPr>
            <w:r w:rsidRPr="006325C2">
              <w:t>0.99 (0.94, 1.04)</w:t>
            </w:r>
          </w:p>
        </w:tc>
      </w:tr>
      <w:tr w:rsidR="008E4C64" w:rsidRPr="006325C2" w:rsidTr="00CD7214">
        <w:tc>
          <w:tcPr>
            <w:tcW w:w="2265" w:type="pct"/>
            <w:vAlign w:val="center"/>
          </w:tcPr>
          <w:p w:rsidR="008E4C64" w:rsidRPr="006325C2" w:rsidRDefault="008E4C64" w:rsidP="007C5715">
            <w:pPr>
              <w:spacing w:before="60" w:line="312" w:lineRule="auto"/>
              <w:ind w:left="180"/>
            </w:pPr>
            <w:r w:rsidRPr="006325C2">
              <w:t>800-1000 or 1000-1200</w:t>
            </w:r>
          </w:p>
        </w:tc>
        <w:tc>
          <w:tcPr>
            <w:tcW w:w="799" w:type="pct"/>
          </w:tcPr>
          <w:p w:rsidR="008E4C64" w:rsidRPr="006325C2" w:rsidRDefault="008E4C64" w:rsidP="007C5715">
            <w:pPr>
              <w:spacing w:line="312" w:lineRule="auto"/>
            </w:pPr>
            <w:r w:rsidRPr="006325C2">
              <w:t>2,695 / 3,216</w:t>
            </w:r>
          </w:p>
        </w:tc>
        <w:tc>
          <w:tcPr>
            <w:tcW w:w="987" w:type="pct"/>
          </w:tcPr>
          <w:p w:rsidR="008E4C64" w:rsidRPr="006325C2" w:rsidRDefault="008E4C64" w:rsidP="007C5715">
            <w:pPr>
              <w:spacing w:line="312" w:lineRule="auto"/>
            </w:pPr>
            <w:r w:rsidRPr="006325C2">
              <w:t>1.00 (ref)</w:t>
            </w:r>
          </w:p>
        </w:tc>
        <w:tc>
          <w:tcPr>
            <w:tcW w:w="949" w:type="pct"/>
          </w:tcPr>
          <w:p w:rsidR="008E4C64" w:rsidRPr="006325C2" w:rsidRDefault="008E4C64" w:rsidP="007C5715">
            <w:pPr>
              <w:spacing w:line="312" w:lineRule="auto"/>
            </w:pPr>
            <w:r w:rsidRPr="006325C2">
              <w:t>1.00 (ref)</w:t>
            </w:r>
          </w:p>
        </w:tc>
      </w:tr>
      <w:tr w:rsidR="008E4C64" w:rsidRPr="006325C2" w:rsidTr="00CD7214">
        <w:tc>
          <w:tcPr>
            <w:tcW w:w="2265" w:type="pct"/>
            <w:vAlign w:val="center"/>
          </w:tcPr>
          <w:p w:rsidR="008E4C64" w:rsidRPr="006325C2" w:rsidRDefault="008E4C64" w:rsidP="007C5715">
            <w:pPr>
              <w:spacing w:before="60" w:line="312" w:lineRule="auto"/>
              <w:ind w:left="180"/>
            </w:pPr>
            <w:r w:rsidRPr="006325C2">
              <w:t>1000-1500 or 1200-1800</w:t>
            </w:r>
          </w:p>
        </w:tc>
        <w:tc>
          <w:tcPr>
            <w:tcW w:w="799" w:type="pct"/>
          </w:tcPr>
          <w:p w:rsidR="008E4C64" w:rsidRPr="006325C2" w:rsidRDefault="008E4C64" w:rsidP="007C5715">
            <w:pPr>
              <w:spacing w:line="312" w:lineRule="auto"/>
            </w:pPr>
            <w:r w:rsidRPr="006325C2">
              <w:t>4,364 / 5,290</w:t>
            </w:r>
          </w:p>
        </w:tc>
        <w:tc>
          <w:tcPr>
            <w:tcW w:w="987" w:type="pct"/>
          </w:tcPr>
          <w:p w:rsidR="008E4C64" w:rsidRPr="006325C2" w:rsidRDefault="008E4C64" w:rsidP="007C5715">
            <w:pPr>
              <w:spacing w:line="312" w:lineRule="auto"/>
            </w:pPr>
            <w:r w:rsidRPr="006325C2">
              <w:t>0.97 (0.92, 1.02)</w:t>
            </w:r>
          </w:p>
        </w:tc>
        <w:tc>
          <w:tcPr>
            <w:tcW w:w="949" w:type="pct"/>
          </w:tcPr>
          <w:p w:rsidR="008E4C64" w:rsidRPr="006325C2" w:rsidRDefault="008E4C64" w:rsidP="007C5715">
            <w:pPr>
              <w:spacing w:line="312" w:lineRule="auto"/>
            </w:pPr>
            <w:r w:rsidRPr="006325C2">
              <w:t>1.01 (0.96, 1.06)</w:t>
            </w:r>
          </w:p>
        </w:tc>
      </w:tr>
      <w:tr w:rsidR="008E4C64" w:rsidRPr="006325C2" w:rsidTr="00CD7214">
        <w:tc>
          <w:tcPr>
            <w:tcW w:w="2265" w:type="pct"/>
            <w:tcBorders>
              <w:bottom w:val="single" w:sz="4" w:space="0" w:color="auto"/>
            </w:tcBorders>
            <w:vAlign w:val="center"/>
          </w:tcPr>
          <w:p w:rsidR="008E4C64" w:rsidRPr="006325C2" w:rsidRDefault="008E4C64" w:rsidP="007C5715">
            <w:pPr>
              <w:spacing w:before="60" w:line="312" w:lineRule="auto"/>
              <w:ind w:left="180"/>
            </w:pPr>
            <w:r w:rsidRPr="006325C2">
              <w:t>&gt;1500 or &gt;1800</w:t>
            </w:r>
          </w:p>
        </w:tc>
        <w:tc>
          <w:tcPr>
            <w:tcW w:w="799" w:type="pct"/>
            <w:tcBorders>
              <w:bottom w:val="single" w:sz="4" w:space="0" w:color="auto"/>
            </w:tcBorders>
          </w:tcPr>
          <w:p w:rsidR="008E4C64" w:rsidRPr="006325C2" w:rsidRDefault="008E4C64" w:rsidP="007C5715">
            <w:pPr>
              <w:spacing w:line="312" w:lineRule="auto"/>
            </w:pPr>
            <w:r w:rsidRPr="006325C2">
              <w:t>2,507 / 3,067</w:t>
            </w:r>
          </w:p>
        </w:tc>
        <w:tc>
          <w:tcPr>
            <w:tcW w:w="987" w:type="pct"/>
            <w:tcBorders>
              <w:bottom w:val="single" w:sz="4" w:space="0" w:color="auto"/>
            </w:tcBorders>
          </w:tcPr>
          <w:p w:rsidR="008E4C64" w:rsidRPr="006325C2" w:rsidRDefault="008E4C64" w:rsidP="007C5715">
            <w:pPr>
              <w:spacing w:line="312" w:lineRule="auto"/>
            </w:pPr>
            <w:r w:rsidRPr="006325C2">
              <w:t>0.95 (0.90, 1.01)</w:t>
            </w:r>
          </w:p>
        </w:tc>
        <w:tc>
          <w:tcPr>
            <w:tcW w:w="949" w:type="pct"/>
            <w:tcBorders>
              <w:bottom w:val="single" w:sz="4" w:space="0" w:color="auto"/>
            </w:tcBorders>
          </w:tcPr>
          <w:p w:rsidR="008E4C64" w:rsidRPr="006325C2" w:rsidRDefault="008E4C64" w:rsidP="007C5715">
            <w:pPr>
              <w:spacing w:line="312" w:lineRule="auto"/>
            </w:pPr>
            <w:r w:rsidRPr="006325C2">
              <w:t>0.99 (0.94, 1.05)</w:t>
            </w:r>
          </w:p>
        </w:tc>
      </w:tr>
      <w:tr w:rsidR="008E4C64" w:rsidRPr="006325C2" w:rsidTr="00CD7214">
        <w:tc>
          <w:tcPr>
            <w:tcW w:w="2265" w:type="pct"/>
            <w:tcBorders>
              <w:top w:val="single" w:sz="4" w:space="0" w:color="auto"/>
              <w:bottom w:val="nil"/>
            </w:tcBorders>
            <w:vAlign w:val="center"/>
          </w:tcPr>
          <w:p w:rsidR="008E4C64" w:rsidRPr="006325C2" w:rsidRDefault="008E4C64" w:rsidP="007C5715">
            <w:pPr>
              <w:spacing w:before="60" w:line="312" w:lineRule="auto"/>
            </w:pPr>
            <w:r w:rsidRPr="006325C2">
              <w:t>Supplemental calcium intake, mg/d</w:t>
            </w:r>
            <w:r w:rsidRPr="006325C2">
              <w:rPr>
                <w:vertAlign w:val="superscript"/>
              </w:rPr>
              <w:t>4</w:t>
            </w:r>
          </w:p>
        </w:tc>
        <w:tc>
          <w:tcPr>
            <w:tcW w:w="799" w:type="pct"/>
            <w:tcBorders>
              <w:top w:val="single" w:sz="4" w:space="0" w:color="auto"/>
              <w:bottom w:val="nil"/>
            </w:tcBorders>
          </w:tcPr>
          <w:p w:rsidR="008E4C64" w:rsidRPr="006325C2" w:rsidRDefault="008E4C64" w:rsidP="007C5715">
            <w:pPr>
              <w:spacing w:line="312" w:lineRule="auto"/>
            </w:pPr>
          </w:p>
        </w:tc>
        <w:tc>
          <w:tcPr>
            <w:tcW w:w="987" w:type="pct"/>
            <w:tcBorders>
              <w:top w:val="single" w:sz="4" w:space="0" w:color="auto"/>
              <w:bottom w:val="nil"/>
            </w:tcBorders>
          </w:tcPr>
          <w:p w:rsidR="008E4C64" w:rsidRPr="006325C2" w:rsidRDefault="008E4C64" w:rsidP="007C5715">
            <w:pPr>
              <w:spacing w:line="312" w:lineRule="auto"/>
            </w:pPr>
          </w:p>
        </w:tc>
        <w:tc>
          <w:tcPr>
            <w:tcW w:w="949" w:type="pct"/>
            <w:tcBorders>
              <w:top w:val="single" w:sz="4" w:space="0" w:color="auto"/>
              <w:bottom w:val="nil"/>
            </w:tcBorders>
          </w:tcPr>
          <w:p w:rsidR="008E4C64" w:rsidRPr="006325C2" w:rsidRDefault="008E4C64" w:rsidP="007C5715">
            <w:pPr>
              <w:spacing w:line="312" w:lineRule="auto"/>
            </w:pPr>
          </w:p>
        </w:tc>
      </w:tr>
      <w:tr w:rsidR="008E4C64" w:rsidRPr="006325C2" w:rsidTr="00CD7214">
        <w:tc>
          <w:tcPr>
            <w:tcW w:w="2265" w:type="pct"/>
            <w:tcBorders>
              <w:top w:val="nil"/>
            </w:tcBorders>
          </w:tcPr>
          <w:p w:rsidR="008E4C64" w:rsidRPr="006325C2" w:rsidRDefault="008E4C64" w:rsidP="007C5715">
            <w:pPr>
              <w:spacing w:before="60" w:line="312" w:lineRule="auto"/>
              <w:ind w:left="180"/>
            </w:pPr>
            <w:r w:rsidRPr="006325C2">
              <w:t>None</w:t>
            </w:r>
          </w:p>
        </w:tc>
        <w:tc>
          <w:tcPr>
            <w:tcW w:w="799" w:type="pct"/>
            <w:tcBorders>
              <w:top w:val="nil"/>
            </w:tcBorders>
          </w:tcPr>
          <w:p w:rsidR="008E4C64" w:rsidRPr="006325C2" w:rsidRDefault="008E4C64" w:rsidP="007C5715">
            <w:pPr>
              <w:spacing w:line="312" w:lineRule="auto"/>
            </w:pPr>
            <w:r w:rsidRPr="006325C2">
              <w:t>7,850 / 9,387</w:t>
            </w:r>
          </w:p>
        </w:tc>
        <w:tc>
          <w:tcPr>
            <w:tcW w:w="987" w:type="pct"/>
            <w:tcBorders>
              <w:top w:val="nil"/>
            </w:tcBorders>
          </w:tcPr>
          <w:p w:rsidR="008E4C64" w:rsidRPr="006325C2" w:rsidRDefault="008E4C64" w:rsidP="007C5715">
            <w:pPr>
              <w:spacing w:line="312" w:lineRule="auto"/>
            </w:pPr>
            <w:r w:rsidRPr="006325C2">
              <w:t>1.00 (ref)</w:t>
            </w:r>
          </w:p>
        </w:tc>
        <w:tc>
          <w:tcPr>
            <w:tcW w:w="949" w:type="pct"/>
            <w:tcBorders>
              <w:top w:val="nil"/>
            </w:tcBorders>
          </w:tcPr>
          <w:p w:rsidR="008E4C64" w:rsidRPr="006325C2" w:rsidRDefault="008E4C64" w:rsidP="007C5715">
            <w:pPr>
              <w:spacing w:line="312" w:lineRule="auto"/>
            </w:pPr>
            <w:r w:rsidRPr="006325C2">
              <w:t>1.00 (ref)</w:t>
            </w:r>
          </w:p>
        </w:tc>
      </w:tr>
      <w:tr w:rsidR="008E4C64" w:rsidRPr="006325C2" w:rsidTr="00CD7214">
        <w:tc>
          <w:tcPr>
            <w:tcW w:w="2265" w:type="pct"/>
          </w:tcPr>
          <w:p w:rsidR="008E4C64" w:rsidRPr="006325C2" w:rsidRDefault="008E4C64" w:rsidP="007C5715">
            <w:pPr>
              <w:spacing w:before="60" w:line="312" w:lineRule="auto"/>
              <w:ind w:left="180"/>
            </w:pPr>
            <w:r w:rsidRPr="006325C2">
              <w:t xml:space="preserve">0-200 </w:t>
            </w:r>
          </w:p>
        </w:tc>
        <w:tc>
          <w:tcPr>
            <w:tcW w:w="799" w:type="pct"/>
          </w:tcPr>
          <w:p w:rsidR="008E4C64" w:rsidRPr="006325C2" w:rsidRDefault="008E4C64" w:rsidP="007C5715">
            <w:pPr>
              <w:spacing w:line="312" w:lineRule="auto"/>
            </w:pPr>
            <w:r w:rsidRPr="006325C2">
              <w:t>3,524 / 4,158</w:t>
            </w:r>
          </w:p>
        </w:tc>
        <w:tc>
          <w:tcPr>
            <w:tcW w:w="987" w:type="pct"/>
          </w:tcPr>
          <w:p w:rsidR="008E4C64" w:rsidRPr="006325C2" w:rsidRDefault="008E4C64" w:rsidP="007C5715">
            <w:pPr>
              <w:spacing w:line="312" w:lineRule="auto"/>
            </w:pPr>
            <w:r w:rsidRPr="006325C2">
              <w:t>0.99 (0.95, 1.03)</w:t>
            </w:r>
          </w:p>
        </w:tc>
        <w:tc>
          <w:tcPr>
            <w:tcW w:w="949" w:type="pct"/>
          </w:tcPr>
          <w:p w:rsidR="008E4C64" w:rsidRPr="006325C2" w:rsidRDefault="008E4C64" w:rsidP="007C5715">
            <w:pPr>
              <w:spacing w:line="312" w:lineRule="auto"/>
            </w:pPr>
            <w:r w:rsidRPr="006325C2">
              <w:t>1.01 (0.97, 1.06)</w:t>
            </w:r>
          </w:p>
        </w:tc>
      </w:tr>
      <w:tr w:rsidR="008E4C64" w:rsidRPr="006325C2" w:rsidTr="00CD7214">
        <w:tc>
          <w:tcPr>
            <w:tcW w:w="2265" w:type="pct"/>
          </w:tcPr>
          <w:p w:rsidR="008E4C64" w:rsidRPr="006325C2" w:rsidRDefault="008E4C64" w:rsidP="007C5715">
            <w:pPr>
              <w:spacing w:before="60" w:line="312" w:lineRule="auto"/>
              <w:ind w:left="180"/>
            </w:pPr>
            <w:r w:rsidRPr="006325C2">
              <w:t>200-500</w:t>
            </w:r>
          </w:p>
        </w:tc>
        <w:tc>
          <w:tcPr>
            <w:tcW w:w="799" w:type="pct"/>
          </w:tcPr>
          <w:p w:rsidR="008E4C64" w:rsidRPr="006325C2" w:rsidRDefault="008E4C64" w:rsidP="007C5715">
            <w:pPr>
              <w:spacing w:line="312" w:lineRule="auto"/>
            </w:pPr>
            <w:r w:rsidRPr="006325C2">
              <w:t>1,557 / 1,969</w:t>
            </w:r>
          </w:p>
        </w:tc>
        <w:tc>
          <w:tcPr>
            <w:tcW w:w="987" w:type="pct"/>
          </w:tcPr>
          <w:p w:rsidR="008E4C64" w:rsidRPr="006325C2" w:rsidRDefault="008E4C64" w:rsidP="007C5715">
            <w:pPr>
              <w:spacing w:line="312" w:lineRule="auto"/>
            </w:pPr>
            <w:r w:rsidRPr="006325C2">
              <w:t>0.92 (0.87, 0.97)</w:t>
            </w:r>
          </w:p>
        </w:tc>
        <w:tc>
          <w:tcPr>
            <w:tcW w:w="949" w:type="pct"/>
          </w:tcPr>
          <w:p w:rsidR="008E4C64" w:rsidRPr="006325C2" w:rsidRDefault="008E4C64" w:rsidP="007C5715">
            <w:pPr>
              <w:spacing w:line="312" w:lineRule="auto"/>
            </w:pPr>
            <w:r w:rsidRPr="006325C2">
              <w:t>1.00 (0.94, 1.05)</w:t>
            </w:r>
          </w:p>
        </w:tc>
      </w:tr>
      <w:tr w:rsidR="008E4C64" w:rsidRPr="006325C2" w:rsidTr="00CD7214">
        <w:tc>
          <w:tcPr>
            <w:tcW w:w="2265" w:type="pct"/>
          </w:tcPr>
          <w:p w:rsidR="008E4C64" w:rsidRPr="006325C2" w:rsidRDefault="008E4C64" w:rsidP="007C5715">
            <w:pPr>
              <w:spacing w:before="60" w:line="312" w:lineRule="auto"/>
              <w:ind w:left="180"/>
            </w:pPr>
            <w:r w:rsidRPr="006325C2">
              <w:t>500-1000</w:t>
            </w:r>
          </w:p>
        </w:tc>
        <w:tc>
          <w:tcPr>
            <w:tcW w:w="799" w:type="pct"/>
          </w:tcPr>
          <w:p w:rsidR="008E4C64" w:rsidRPr="006325C2" w:rsidRDefault="008E4C64" w:rsidP="007C5715">
            <w:pPr>
              <w:spacing w:line="312" w:lineRule="auto"/>
            </w:pPr>
            <w:r w:rsidRPr="006325C2">
              <w:t>1,391 / 1,743</w:t>
            </w:r>
          </w:p>
        </w:tc>
        <w:tc>
          <w:tcPr>
            <w:tcW w:w="987" w:type="pct"/>
          </w:tcPr>
          <w:p w:rsidR="008E4C64" w:rsidRPr="006325C2" w:rsidRDefault="008E4C64" w:rsidP="007C5715">
            <w:pPr>
              <w:spacing w:line="312" w:lineRule="auto"/>
            </w:pPr>
            <w:r w:rsidRPr="006325C2">
              <w:t>0.94 (0.89, 1.00)</w:t>
            </w:r>
          </w:p>
        </w:tc>
        <w:tc>
          <w:tcPr>
            <w:tcW w:w="949" w:type="pct"/>
          </w:tcPr>
          <w:p w:rsidR="008E4C64" w:rsidRPr="006325C2" w:rsidRDefault="008E4C64" w:rsidP="007C5715">
            <w:pPr>
              <w:spacing w:line="312" w:lineRule="auto"/>
            </w:pPr>
            <w:r w:rsidRPr="006325C2">
              <w:t>1.00 (0.94, 1.06)</w:t>
            </w:r>
          </w:p>
        </w:tc>
      </w:tr>
      <w:tr w:rsidR="008E4C64" w:rsidRPr="006325C2" w:rsidTr="00CD7214">
        <w:tc>
          <w:tcPr>
            <w:tcW w:w="2265" w:type="pct"/>
            <w:tcBorders>
              <w:bottom w:val="single" w:sz="4" w:space="0" w:color="auto"/>
            </w:tcBorders>
          </w:tcPr>
          <w:p w:rsidR="008E4C64" w:rsidRPr="006325C2" w:rsidRDefault="008E4C64" w:rsidP="007C5715">
            <w:pPr>
              <w:spacing w:before="60" w:line="312" w:lineRule="auto"/>
              <w:ind w:left="180"/>
            </w:pPr>
            <w:r w:rsidRPr="006325C2">
              <w:t>&gt;1000</w:t>
            </w:r>
          </w:p>
        </w:tc>
        <w:tc>
          <w:tcPr>
            <w:tcW w:w="799" w:type="pct"/>
            <w:tcBorders>
              <w:bottom w:val="single" w:sz="4" w:space="0" w:color="auto"/>
            </w:tcBorders>
          </w:tcPr>
          <w:p w:rsidR="008E4C64" w:rsidRPr="006325C2" w:rsidRDefault="008E4C64" w:rsidP="007C5715">
            <w:pPr>
              <w:spacing w:line="312" w:lineRule="auto"/>
            </w:pPr>
            <w:r w:rsidRPr="006325C2">
              <w:t>696 / 880</w:t>
            </w:r>
          </w:p>
        </w:tc>
        <w:tc>
          <w:tcPr>
            <w:tcW w:w="987" w:type="pct"/>
            <w:tcBorders>
              <w:bottom w:val="single" w:sz="4" w:space="0" w:color="auto"/>
            </w:tcBorders>
          </w:tcPr>
          <w:p w:rsidR="008E4C64" w:rsidRPr="006325C2" w:rsidRDefault="008E4C64" w:rsidP="007C5715">
            <w:pPr>
              <w:spacing w:line="312" w:lineRule="auto"/>
            </w:pPr>
            <w:r w:rsidRPr="006325C2">
              <w:t>0.94 (0.87, 1.02)</w:t>
            </w:r>
          </w:p>
        </w:tc>
        <w:tc>
          <w:tcPr>
            <w:tcW w:w="949" w:type="pct"/>
            <w:tcBorders>
              <w:bottom w:val="single" w:sz="4" w:space="0" w:color="auto"/>
            </w:tcBorders>
          </w:tcPr>
          <w:p w:rsidR="008E4C64" w:rsidRPr="006325C2" w:rsidRDefault="008E4C64" w:rsidP="007C5715">
            <w:pPr>
              <w:spacing w:line="312" w:lineRule="auto"/>
            </w:pPr>
            <w:r w:rsidRPr="006325C2">
              <w:t>1.01 (0.93, 1.10)</w:t>
            </w:r>
          </w:p>
        </w:tc>
      </w:tr>
    </w:tbl>
    <w:p w:rsidR="002537D1" w:rsidRPr="006325C2" w:rsidRDefault="002537D1" w:rsidP="005A566E">
      <w:pPr>
        <w:autoSpaceDE w:val="0"/>
        <w:autoSpaceDN w:val="0"/>
        <w:adjustRightInd w:val="0"/>
        <w:spacing w:before="60" w:after="0" w:line="312" w:lineRule="auto"/>
      </w:pPr>
      <w:r w:rsidRPr="006325C2">
        <w:rPr>
          <w:vertAlign w:val="superscript"/>
        </w:rPr>
        <w:t>1</w:t>
      </w:r>
      <w:r w:rsidRPr="006325C2">
        <w:t xml:space="preserve"> Cox model was stratified by cohort, year of lung cancer diagnosis (5-year intervals from &lt;1990 to &gt;2010), and time interval between dietary assessment and lung cancer diagnosis (&lt;4, 4-7, 7-10, and &gt;10 years) and adjusted for age at diagnosis</w:t>
      </w:r>
      <w:r w:rsidR="0031519F" w:rsidRPr="006325C2">
        <w:t>, sex,</w:t>
      </w:r>
      <w:r w:rsidRPr="006325C2">
        <w:t xml:space="preserve"> and total energy intake.</w:t>
      </w:r>
    </w:p>
    <w:p w:rsidR="002537D1" w:rsidRPr="006325C2" w:rsidRDefault="002537D1" w:rsidP="005A566E">
      <w:pPr>
        <w:autoSpaceDE w:val="0"/>
        <w:autoSpaceDN w:val="0"/>
        <w:adjustRightInd w:val="0"/>
        <w:spacing w:before="60" w:after="0" w:line="312" w:lineRule="auto"/>
        <w:rPr>
          <w:color w:val="000000"/>
          <w:shd w:val="clear" w:color="auto" w:fill="FFFFFF"/>
        </w:rPr>
      </w:pPr>
      <w:r w:rsidRPr="006325C2">
        <w:rPr>
          <w:vertAlign w:val="superscript"/>
        </w:rPr>
        <w:t>2</w:t>
      </w:r>
      <w:r w:rsidRPr="006325C2">
        <w:t xml:space="preserve"> Additional</w:t>
      </w:r>
      <w:r w:rsidR="007E162D" w:rsidRPr="006325C2">
        <w:t>ly</w:t>
      </w:r>
      <w:r w:rsidRPr="006325C2">
        <w:t xml:space="preserve"> adjusted for race, education, smoking status, pack-years of cigarette smoking, alcohol</w:t>
      </w:r>
      <w:r w:rsidR="00434069" w:rsidRPr="006325C2">
        <w:t xml:space="preserve"> consumption</w:t>
      </w:r>
      <w:r w:rsidRPr="006325C2">
        <w:t xml:space="preserve">, </w:t>
      </w:r>
      <w:r w:rsidR="0031519F" w:rsidRPr="006325C2">
        <w:t xml:space="preserve">history of diabetes, </w:t>
      </w:r>
      <w:r w:rsidRPr="006325C2">
        <w:t xml:space="preserve">physical activity level, obesity status, hormone therapy in women, and the histological type, stage, and grade of lung cancer.  </w:t>
      </w:r>
    </w:p>
    <w:p w:rsidR="00310257" w:rsidRPr="006325C2" w:rsidRDefault="00310257" w:rsidP="005A566E">
      <w:pPr>
        <w:autoSpaceDE w:val="0"/>
        <w:autoSpaceDN w:val="0"/>
        <w:adjustRightInd w:val="0"/>
        <w:spacing w:before="60" w:after="0" w:line="312" w:lineRule="auto"/>
      </w:pPr>
      <w:r w:rsidRPr="006325C2">
        <w:rPr>
          <w:vertAlign w:val="superscript"/>
        </w:rPr>
        <w:t>3</w:t>
      </w:r>
      <w:r w:rsidRPr="006325C2">
        <w:t xml:space="preserve"> For men ≤70 y and women ≤50 y, </w:t>
      </w:r>
      <w:r w:rsidR="00827AE3" w:rsidRPr="006325C2">
        <w:t>the recommended dietary allowance (RDA) of calcium is 1000 mg/d and the estimated average requirement</w:t>
      </w:r>
      <w:r w:rsidRPr="006325C2">
        <w:t xml:space="preserve"> (EAR)</w:t>
      </w:r>
      <w:r w:rsidR="00827AE3" w:rsidRPr="006325C2">
        <w:t xml:space="preserve"> is 800 mg/d</w:t>
      </w:r>
      <w:r w:rsidRPr="006325C2">
        <w:t xml:space="preserve">. </w:t>
      </w:r>
      <w:r w:rsidR="00827AE3" w:rsidRPr="006325C2">
        <w:t xml:space="preserve">For men &gt;70 y and women &gt;50 y, RDA is 1200 mg/d and EAR is 1000 mg/d. Calcium intakes were categorized into 5 groups: less than 0.5 RDA, 0.5 RDA to EAR, EAR to RDA, RDA to 1.5 RDA, and higher than 1.5 RDA. </w:t>
      </w:r>
    </w:p>
    <w:p w:rsidR="002537D1" w:rsidRPr="006325C2" w:rsidRDefault="00310257" w:rsidP="008E4C64">
      <w:pPr>
        <w:autoSpaceDE w:val="0"/>
        <w:autoSpaceDN w:val="0"/>
        <w:adjustRightInd w:val="0"/>
        <w:spacing w:before="60" w:after="0" w:line="312" w:lineRule="auto"/>
        <w:rPr>
          <w:b/>
        </w:rPr>
      </w:pPr>
      <w:r w:rsidRPr="006325C2">
        <w:rPr>
          <w:vertAlign w:val="superscript"/>
        </w:rPr>
        <w:t>4</w:t>
      </w:r>
      <w:r w:rsidR="002537D1" w:rsidRPr="006325C2">
        <w:rPr>
          <w:vertAlign w:val="superscript"/>
        </w:rPr>
        <w:t xml:space="preserve"> </w:t>
      </w:r>
      <w:r w:rsidR="002537D1" w:rsidRPr="006325C2">
        <w:t xml:space="preserve">Supplemental calcium intake data were only available in 8 US cohorts, </w:t>
      </w:r>
      <w:r w:rsidR="002537D1" w:rsidRPr="00CD7214">
        <w:rPr>
          <w:i/>
        </w:rPr>
        <w:t>n</w:t>
      </w:r>
      <w:r w:rsidR="002537D1" w:rsidRPr="006325C2">
        <w:t>=18,1</w:t>
      </w:r>
      <w:r w:rsidR="0031519F" w:rsidRPr="006325C2">
        <w:t>37</w:t>
      </w:r>
      <w:r w:rsidR="002537D1" w:rsidRPr="006325C2">
        <w:t>.</w:t>
      </w:r>
      <w:r w:rsidR="002537D1" w:rsidRPr="006325C2">
        <w:rPr>
          <w:b/>
        </w:rPr>
        <w:br w:type="page"/>
      </w:r>
    </w:p>
    <w:p w:rsidR="00B06C80" w:rsidRPr="006325C2" w:rsidRDefault="00B06C80" w:rsidP="00816678">
      <w:pPr>
        <w:spacing w:before="60" w:after="0" w:line="360" w:lineRule="auto"/>
        <w:rPr>
          <w:b/>
        </w:rPr>
        <w:sectPr w:rsidR="00B06C80" w:rsidRPr="006325C2" w:rsidSect="008E4C64">
          <w:pgSz w:w="12240" w:h="15840"/>
          <w:pgMar w:top="1440" w:right="1440" w:bottom="1440" w:left="1440" w:header="720" w:footer="720" w:gutter="0"/>
          <w:cols w:space="720"/>
          <w:docGrid w:linePitch="360"/>
        </w:sectPr>
      </w:pPr>
    </w:p>
    <w:p w:rsidR="002537D1" w:rsidRPr="006325C2" w:rsidRDefault="002537D1" w:rsidP="00816678">
      <w:pPr>
        <w:spacing w:before="60" w:after="0" w:line="360" w:lineRule="auto"/>
        <w:rPr>
          <w:b/>
        </w:rPr>
      </w:pPr>
      <w:r w:rsidRPr="006325C2">
        <w:rPr>
          <w:b/>
        </w:rPr>
        <w:t>Table 3. Dietary calcium intake and lung cancer survival in early stage cases (</w:t>
      </w:r>
      <w:r w:rsidRPr="00CD7214">
        <w:rPr>
          <w:b/>
          <w:i/>
        </w:rPr>
        <w:t>n</w:t>
      </w:r>
      <w:r w:rsidRPr="006325C2">
        <w:rPr>
          <w:b/>
        </w:rPr>
        <w:t>=8,103)</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1858"/>
        <w:gridCol w:w="1946"/>
        <w:gridCol w:w="1863"/>
      </w:tblGrid>
      <w:tr w:rsidR="00816678" w:rsidRPr="006325C2" w:rsidTr="001A4117">
        <w:tc>
          <w:tcPr>
            <w:tcW w:w="2041" w:type="pct"/>
            <w:vMerge w:val="restart"/>
            <w:tcBorders>
              <w:top w:val="single" w:sz="4" w:space="0" w:color="auto"/>
              <w:bottom w:val="nil"/>
            </w:tcBorders>
            <w:vAlign w:val="center"/>
          </w:tcPr>
          <w:p w:rsidR="00816678" w:rsidRPr="006325C2" w:rsidRDefault="00816678" w:rsidP="0030430A">
            <w:pPr>
              <w:spacing w:before="60" w:line="288" w:lineRule="auto"/>
            </w:pPr>
            <w:r w:rsidRPr="006325C2">
              <w:t>Dietary calcium intake, mg/d</w:t>
            </w:r>
            <w:r w:rsidR="00346B7D" w:rsidRPr="006325C2">
              <w:rPr>
                <w:vertAlign w:val="superscript"/>
              </w:rPr>
              <w:t>2</w:t>
            </w:r>
          </w:p>
        </w:tc>
        <w:tc>
          <w:tcPr>
            <w:tcW w:w="970" w:type="pct"/>
            <w:vMerge w:val="restart"/>
            <w:tcBorders>
              <w:top w:val="single" w:sz="4" w:space="0" w:color="auto"/>
              <w:bottom w:val="nil"/>
            </w:tcBorders>
            <w:vAlign w:val="center"/>
          </w:tcPr>
          <w:p w:rsidR="00816678" w:rsidRPr="006325C2" w:rsidRDefault="00816678" w:rsidP="0030430A">
            <w:pPr>
              <w:spacing w:before="60" w:line="288" w:lineRule="auto"/>
              <w:jc w:val="right"/>
            </w:pPr>
            <w:r w:rsidRPr="006325C2">
              <w:t>Deaths / Cases, n</w:t>
            </w:r>
          </w:p>
        </w:tc>
        <w:tc>
          <w:tcPr>
            <w:tcW w:w="1989" w:type="pct"/>
            <w:gridSpan w:val="2"/>
            <w:tcBorders>
              <w:top w:val="single" w:sz="4" w:space="0" w:color="auto"/>
              <w:bottom w:val="single" w:sz="4" w:space="0" w:color="auto"/>
            </w:tcBorders>
            <w:vAlign w:val="center"/>
          </w:tcPr>
          <w:p w:rsidR="00816678" w:rsidRPr="006325C2" w:rsidRDefault="00816678" w:rsidP="0030430A">
            <w:pPr>
              <w:spacing w:before="60" w:line="288" w:lineRule="auto"/>
              <w:jc w:val="center"/>
            </w:pPr>
            <w:r w:rsidRPr="006325C2">
              <w:t>Hazard ratio (95% CI)</w:t>
            </w:r>
            <w:r w:rsidRPr="006325C2">
              <w:rPr>
                <w:vertAlign w:val="superscript"/>
              </w:rPr>
              <w:t>1</w:t>
            </w:r>
          </w:p>
        </w:tc>
      </w:tr>
      <w:tr w:rsidR="00816678" w:rsidRPr="006325C2" w:rsidTr="001A4117">
        <w:tc>
          <w:tcPr>
            <w:tcW w:w="2041" w:type="pct"/>
            <w:vMerge/>
            <w:tcBorders>
              <w:top w:val="nil"/>
              <w:bottom w:val="single" w:sz="4" w:space="0" w:color="auto"/>
            </w:tcBorders>
            <w:vAlign w:val="center"/>
          </w:tcPr>
          <w:p w:rsidR="00816678" w:rsidRPr="006325C2" w:rsidRDefault="00816678" w:rsidP="0030430A">
            <w:pPr>
              <w:spacing w:before="60" w:line="288" w:lineRule="auto"/>
            </w:pPr>
          </w:p>
        </w:tc>
        <w:tc>
          <w:tcPr>
            <w:tcW w:w="970" w:type="pct"/>
            <w:vMerge/>
            <w:tcBorders>
              <w:top w:val="nil"/>
              <w:bottom w:val="single" w:sz="4" w:space="0" w:color="auto"/>
            </w:tcBorders>
            <w:vAlign w:val="center"/>
          </w:tcPr>
          <w:p w:rsidR="00816678" w:rsidRPr="006325C2" w:rsidRDefault="00816678" w:rsidP="0030430A">
            <w:pPr>
              <w:spacing w:before="60" w:line="288" w:lineRule="auto"/>
              <w:jc w:val="right"/>
            </w:pPr>
          </w:p>
        </w:tc>
        <w:tc>
          <w:tcPr>
            <w:tcW w:w="1016" w:type="pct"/>
            <w:tcBorders>
              <w:top w:val="single" w:sz="4" w:space="0" w:color="auto"/>
              <w:bottom w:val="single" w:sz="4" w:space="0" w:color="auto"/>
            </w:tcBorders>
            <w:vAlign w:val="center"/>
          </w:tcPr>
          <w:p w:rsidR="00816678" w:rsidRPr="006325C2" w:rsidRDefault="00816678" w:rsidP="0030430A">
            <w:pPr>
              <w:spacing w:before="60" w:line="288" w:lineRule="auto"/>
            </w:pPr>
            <w:r w:rsidRPr="006325C2">
              <w:t>Age-, sex-, and energy-adjusted</w:t>
            </w:r>
          </w:p>
        </w:tc>
        <w:tc>
          <w:tcPr>
            <w:tcW w:w="973" w:type="pct"/>
            <w:tcBorders>
              <w:top w:val="single" w:sz="4" w:space="0" w:color="auto"/>
              <w:bottom w:val="single" w:sz="4" w:space="0" w:color="auto"/>
            </w:tcBorders>
            <w:vAlign w:val="center"/>
          </w:tcPr>
          <w:p w:rsidR="00816678" w:rsidRPr="006325C2" w:rsidRDefault="00816678" w:rsidP="0030430A">
            <w:pPr>
              <w:spacing w:before="60" w:line="288" w:lineRule="auto"/>
            </w:pPr>
            <w:r w:rsidRPr="006325C2">
              <w:t>Multivariable-adjusted</w:t>
            </w:r>
          </w:p>
        </w:tc>
      </w:tr>
      <w:tr w:rsidR="00816678" w:rsidRPr="006325C2" w:rsidTr="001A4117">
        <w:tc>
          <w:tcPr>
            <w:tcW w:w="2041" w:type="pct"/>
            <w:tcBorders>
              <w:top w:val="single" w:sz="4" w:space="0" w:color="auto"/>
            </w:tcBorders>
            <w:vAlign w:val="center"/>
          </w:tcPr>
          <w:p w:rsidR="00816678" w:rsidRPr="006325C2" w:rsidRDefault="00816678" w:rsidP="0030430A">
            <w:pPr>
              <w:spacing w:before="60" w:line="288" w:lineRule="auto"/>
            </w:pPr>
            <w:r w:rsidRPr="006325C2">
              <w:t>All early stage lung cancer cases</w:t>
            </w:r>
          </w:p>
        </w:tc>
        <w:tc>
          <w:tcPr>
            <w:tcW w:w="970" w:type="pct"/>
            <w:tcBorders>
              <w:top w:val="single" w:sz="4" w:space="0" w:color="auto"/>
            </w:tcBorders>
            <w:vAlign w:val="center"/>
          </w:tcPr>
          <w:p w:rsidR="00816678" w:rsidRPr="006325C2" w:rsidRDefault="00816678" w:rsidP="0030430A">
            <w:pPr>
              <w:spacing w:before="60" w:line="288" w:lineRule="auto"/>
              <w:jc w:val="right"/>
            </w:pPr>
          </w:p>
        </w:tc>
        <w:tc>
          <w:tcPr>
            <w:tcW w:w="1016" w:type="pct"/>
            <w:tcBorders>
              <w:top w:val="single" w:sz="4" w:space="0" w:color="auto"/>
            </w:tcBorders>
            <w:vAlign w:val="center"/>
          </w:tcPr>
          <w:p w:rsidR="00816678" w:rsidRPr="006325C2" w:rsidRDefault="00816678" w:rsidP="0030430A">
            <w:pPr>
              <w:spacing w:before="60" w:line="288" w:lineRule="auto"/>
            </w:pPr>
          </w:p>
        </w:tc>
        <w:tc>
          <w:tcPr>
            <w:tcW w:w="973" w:type="pct"/>
            <w:tcBorders>
              <w:top w:val="single" w:sz="4" w:space="0" w:color="auto"/>
            </w:tcBorders>
            <w:vAlign w:val="center"/>
          </w:tcPr>
          <w:p w:rsidR="00816678" w:rsidRPr="006325C2" w:rsidRDefault="00816678" w:rsidP="0030430A">
            <w:pPr>
              <w:spacing w:before="60" w:line="288" w:lineRule="auto"/>
            </w:pPr>
          </w:p>
        </w:tc>
      </w:tr>
      <w:tr w:rsidR="00346B7D" w:rsidRPr="006325C2" w:rsidTr="001A4117">
        <w:tc>
          <w:tcPr>
            <w:tcW w:w="2041" w:type="pct"/>
            <w:vAlign w:val="center"/>
          </w:tcPr>
          <w:p w:rsidR="00346B7D" w:rsidRPr="006325C2" w:rsidRDefault="00346B7D" w:rsidP="00DD4FF7">
            <w:pPr>
              <w:spacing w:before="60" w:line="288" w:lineRule="auto"/>
              <w:ind w:left="180"/>
            </w:pPr>
            <w:r w:rsidRPr="006325C2">
              <w:t>&lt;500 or &lt;600</w:t>
            </w:r>
          </w:p>
        </w:tc>
        <w:tc>
          <w:tcPr>
            <w:tcW w:w="970" w:type="pct"/>
          </w:tcPr>
          <w:p w:rsidR="00346B7D" w:rsidRPr="006325C2" w:rsidRDefault="00346B7D" w:rsidP="0030430A">
            <w:pPr>
              <w:spacing w:line="288" w:lineRule="auto"/>
              <w:jc w:val="right"/>
            </w:pPr>
            <w:r w:rsidRPr="006325C2">
              <w:t>928 / 1,342</w:t>
            </w:r>
          </w:p>
        </w:tc>
        <w:tc>
          <w:tcPr>
            <w:tcW w:w="1016" w:type="pct"/>
          </w:tcPr>
          <w:p w:rsidR="00346B7D" w:rsidRPr="006325C2" w:rsidRDefault="00346B7D" w:rsidP="0030430A">
            <w:pPr>
              <w:spacing w:line="288" w:lineRule="auto"/>
            </w:pPr>
            <w:r w:rsidRPr="006325C2">
              <w:t>1.20 (1.09, 1.32)</w:t>
            </w:r>
          </w:p>
        </w:tc>
        <w:tc>
          <w:tcPr>
            <w:tcW w:w="973" w:type="pct"/>
          </w:tcPr>
          <w:p w:rsidR="00346B7D" w:rsidRPr="006325C2" w:rsidRDefault="00346B7D" w:rsidP="0030430A">
            <w:pPr>
              <w:spacing w:line="288" w:lineRule="auto"/>
            </w:pPr>
            <w:r w:rsidRPr="006325C2">
              <w:t>1.15 (1.04, 1.27)</w:t>
            </w:r>
          </w:p>
        </w:tc>
      </w:tr>
      <w:tr w:rsidR="00346B7D" w:rsidRPr="006325C2" w:rsidTr="001A4117">
        <w:tc>
          <w:tcPr>
            <w:tcW w:w="2041" w:type="pct"/>
            <w:vAlign w:val="center"/>
          </w:tcPr>
          <w:p w:rsidR="00346B7D" w:rsidRPr="006325C2" w:rsidRDefault="00346B7D" w:rsidP="00DD4FF7">
            <w:pPr>
              <w:spacing w:before="60" w:line="288" w:lineRule="auto"/>
              <w:ind w:left="180"/>
            </w:pPr>
            <w:r w:rsidRPr="006325C2">
              <w:t xml:space="preserve">500-800 or 600-1000 </w:t>
            </w:r>
          </w:p>
        </w:tc>
        <w:tc>
          <w:tcPr>
            <w:tcW w:w="970" w:type="pct"/>
          </w:tcPr>
          <w:p w:rsidR="00346B7D" w:rsidRPr="006325C2" w:rsidRDefault="00346B7D" w:rsidP="0030430A">
            <w:pPr>
              <w:spacing w:line="288" w:lineRule="auto"/>
              <w:jc w:val="right"/>
            </w:pPr>
            <w:r w:rsidRPr="006325C2">
              <w:t>2,083 / 3,065</w:t>
            </w:r>
          </w:p>
        </w:tc>
        <w:tc>
          <w:tcPr>
            <w:tcW w:w="1016" w:type="pct"/>
          </w:tcPr>
          <w:p w:rsidR="00346B7D" w:rsidRPr="006325C2" w:rsidRDefault="00346B7D" w:rsidP="0030430A">
            <w:pPr>
              <w:spacing w:line="288" w:lineRule="auto"/>
            </w:pPr>
            <w:r w:rsidRPr="006325C2">
              <w:t>1.08 (1.10, 1.16)</w:t>
            </w:r>
          </w:p>
        </w:tc>
        <w:tc>
          <w:tcPr>
            <w:tcW w:w="973" w:type="pct"/>
          </w:tcPr>
          <w:p w:rsidR="00346B7D" w:rsidRPr="006325C2" w:rsidRDefault="00346B7D" w:rsidP="0030430A">
            <w:pPr>
              <w:spacing w:line="288" w:lineRule="auto"/>
            </w:pPr>
            <w:r w:rsidRPr="006325C2">
              <w:t>1.06 (0.98, 1.14)</w:t>
            </w:r>
          </w:p>
        </w:tc>
      </w:tr>
      <w:tr w:rsidR="00346B7D" w:rsidRPr="006325C2" w:rsidTr="001A4117">
        <w:tc>
          <w:tcPr>
            <w:tcW w:w="2041" w:type="pct"/>
            <w:vAlign w:val="center"/>
          </w:tcPr>
          <w:p w:rsidR="00346B7D" w:rsidRPr="006325C2" w:rsidRDefault="00346B7D" w:rsidP="00DD4FF7">
            <w:pPr>
              <w:spacing w:before="60" w:line="288" w:lineRule="auto"/>
              <w:ind w:left="180"/>
            </w:pPr>
            <w:r w:rsidRPr="006325C2">
              <w:t>800-1000 or 1000-1200</w:t>
            </w:r>
          </w:p>
        </w:tc>
        <w:tc>
          <w:tcPr>
            <w:tcW w:w="970" w:type="pct"/>
          </w:tcPr>
          <w:p w:rsidR="00346B7D" w:rsidRPr="006325C2" w:rsidRDefault="00346B7D" w:rsidP="0030430A">
            <w:pPr>
              <w:spacing w:line="288" w:lineRule="auto"/>
              <w:jc w:val="right"/>
            </w:pPr>
            <w:r w:rsidRPr="006325C2">
              <w:t>990 / 1,442</w:t>
            </w:r>
          </w:p>
        </w:tc>
        <w:tc>
          <w:tcPr>
            <w:tcW w:w="1016" w:type="pct"/>
          </w:tcPr>
          <w:p w:rsidR="00346B7D" w:rsidRPr="006325C2" w:rsidRDefault="00346B7D" w:rsidP="0030430A">
            <w:pPr>
              <w:spacing w:line="288" w:lineRule="auto"/>
            </w:pPr>
            <w:r w:rsidRPr="006325C2">
              <w:t>1.00 (ref)</w:t>
            </w:r>
          </w:p>
        </w:tc>
        <w:tc>
          <w:tcPr>
            <w:tcW w:w="973" w:type="pct"/>
          </w:tcPr>
          <w:p w:rsidR="00346B7D" w:rsidRPr="006325C2" w:rsidRDefault="00346B7D" w:rsidP="0030430A">
            <w:pPr>
              <w:spacing w:line="288" w:lineRule="auto"/>
            </w:pPr>
            <w:r w:rsidRPr="006325C2">
              <w:t>1.00 (ref)</w:t>
            </w:r>
          </w:p>
        </w:tc>
      </w:tr>
      <w:tr w:rsidR="00346B7D" w:rsidRPr="006325C2" w:rsidTr="001A4117">
        <w:tc>
          <w:tcPr>
            <w:tcW w:w="2041" w:type="pct"/>
            <w:vAlign w:val="center"/>
          </w:tcPr>
          <w:p w:rsidR="00346B7D" w:rsidRPr="006325C2" w:rsidRDefault="00346B7D" w:rsidP="00DD4FF7">
            <w:pPr>
              <w:spacing w:before="60" w:line="288" w:lineRule="auto"/>
              <w:ind w:left="180"/>
            </w:pPr>
            <w:r w:rsidRPr="006325C2">
              <w:t>1000-1500 or 1200-1800</w:t>
            </w:r>
          </w:p>
        </w:tc>
        <w:tc>
          <w:tcPr>
            <w:tcW w:w="970" w:type="pct"/>
          </w:tcPr>
          <w:p w:rsidR="00346B7D" w:rsidRPr="006325C2" w:rsidRDefault="00346B7D" w:rsidP="0030430A">
            <w:pPr>
              <w:spacing w:line="288" w:lineRule="auto"/>
              <w:jc w:val="right"/>
            </w:pPr>
            <w:r w:rsidRPr="006325C2">
              <w:t>1,164 / 1,660</w:t>
            </w:r>
          </w:p>
        </w:tc>
        <w:tc>
          <w:tcPr>
            <w:tcW w:w="1016" w:type="pct"/>
          </w:tcPr>
          <w:p w:rsidR="00346B7D" w:rsidRPr="006325C2" w:rsidRDefault="00346B7D" w:rsidP="0030430A">
            <w:pPr>
              <w:spacing w:line="288" w:lineRule="auto"/>
            </w:pPr>
            <w:r w:rsidRPr="006325C2">
              <w:t>0.99 (0.91, 1.08)</w:t>
            </w:r>
          </w:p>
        </w:tc>
        <w:tc>
          <w:tcPr>
            <w:tcW w:w="973" w:type="pct"/>
          </w:tcPr>
          <w:p w:rsidR="00346B7D" w:rsidRPr="006325C2" w:rsidRDefault="00346B7D" w:rsidP="0030430A">
            <w:pPr>
              <w:spacing w:line="288" w:lineRule="auto"/>
            </w:pPr>
            <w:r w:rsidRPr="006325C2">
              <w:t>1.04 (0.96, 1.14)</w:t>
            </w:r>
          </w:p>
        </w:tc>
      </w:tr>
      <w:tr w:rsidR="00346B7D" w:rsidRPr="006325C2" w:rsidTr="001A4117">
        <w:tc>
          <w:tcPr>
            <w:tcW w:w="2041" w:type="pct"/>
            <w:tcBorders>
              <w:bottom w:val="single" w:sz="4" w:space="0" w:color="auto"/>
            </w:tcBorders>
            <w:vAlign w:val="center"/>
          </w:tcPr>
          <w:p w:rsidR="00346B7D" w:rsidRPr="006325C2" w:rsidRDefault="00346B7D" w:rsidP="00DD4FF7">
            <w:pPr>
              <w:spacing w:before="60" w:line="288" w:lineRule="auto"/>
              <w:ind w:left="180"/>
            </w:pPr>
            <w:r w:rsidRPr="006325C2">
              <w:t>&gt;1500 or &gt;1800</w:t>
            </w:r>
          </w:p>
        </w:tc>
        <w:tc>
          <w:tcPr>
            <w:tcW w:w="970" w:type="pct"/>
            <w:tcBorders>
              <w:bottom w:val="single" w:sz="4" w:space="0" w:color="auto"/>
            </w:tcBorders>
          </w:tcPr>
          <w:p w:rsidR="00346B7D" w:rsidRPr="006325C2" w:rsidRDefault="00346B7D" w:rsidP="0030430A">
            <w:pPr>
              <w:spacing w:line="288" w:lineRule="auto"/>
              <w:jc w:val="right"/>
            </w:pPr>
            <w:r w:rsidRPr="006325C2">
              <w:t>371 / 504</w:t>
            </w:r>
          </w:p>
        </w:tc>
        <w:tc>
          <w:tcPr>
            <w:tcW w:w="1016" w:type="pct"/>
            <w:tcBorders>
              <w:bottom w:val="single" w:sz="4" w:space="0" w:color="auto"/>
            </w:tcBorders>
          </w:tcPr>
          <w:p w:rsidR="00346B7D" w:rsidRPr="006325C2" w:rsidRDefault="00346B7D" w:rsidP="0030430A">
            <w:pPr>
              <w:spacing w:line="288" w:lineRule="auto"/>
            </w:pPr>
            <w:r w:rsidRPr="006325C2">
              <w:t>0.99 (0.88, 1.12)</w:t>
            </w:r>
          </w:p>
        </w:tc>
        <w:tc>
          <w:tcPr>
            <w:tcW w:w="973" w:type="pct"/>
            <w:tcBorders>
              <w:bottom w:val="single" w:sz="4" w:space="0" w:color="auto"/>
            </w:tcBorders>
          </w:tcPr>
          <w:p w:rsidR="00346B7D" w:rsidRPr="006325C2" w:rsidRDefault="00346B7D" w:rsidP="0030430A">
            <w:pPr>
              <w:spacing w:line="288" w:lineRule="auto"/>
            </w:pPr>
            <w:r w:rsidRPr="006325C2">
              <w:t>1.07 (0.95, 1.21)</w:t>
            </w:r>
          </w:p>
        </w:tc>
      </w:tr>
      <w:tr w:rsidR="00816678" w:rsidRPr="006325C2" w:rsidTr="001A4117">
        <w:tc>
          <w:tcPr>
            <w:tcW w:w="2041" w:type="pct"/>
            <w:tcBorders>
              <w:top w:val="single" w:sz="4" w:space="0" w:color="auto"/>
              <w:bottom w:val="nil"/>
            </w:tcBorders>
            <w:vAlign w:val="center"/>
          </w:tcPr>
          <w:p w:rsidR="00816678" w:rsidRPr="006325C2" w:rsidRDefault="00933310" w:rsidP="00933310">
            <w:pPr>
              <w:spacing w:before="60" w:line="288" w:lineRule="auto"/>
            </w:pPr>
            <w:r w:rsidRPr="006325C2">
              <w:t>F</w:t>
            </w:r>
            <w:r w:rsidR="00816678" w:rsidRPr="006325C2">
              <w:t>emale</w:t>
            </w:r>
          </w:p>
        </w:tc>
        <w:tc>
          <w:tcPr>
            <w:tcW w:w="970" w:type="pct"/>
            <w:tcBorders>
              <w:top w:val="single" w:sz="4" w:space="0" w:color="auto"/>
              <w:bottom w:val="nil"/>
            </w:tcBorders>
            <w:vAlign w:val="center"/>
          </w:tcPr>
          <w:p w:rsidR="00816678" w:rsidRPr="006325C2" w:rsidRDefault="00816678" w:rsidP="0030430A">
            <w:pPr>
              <w:spacing w:before="60" w:line="288" w:lineRule="auto"/>
              <w:jc w:val="right"/>
            </w:pPr>
          </w:p>
        </w:tc>
        <w:tc>
          <w:tcPr>
            <w:tcW w:w="1016" w:type="pct"/>
            <w:tcBorders>
              <w:top w:val="single" w:sz="4" w:space="0" w:color="auto"/>
              <w:bottom w:val="nil"/>
            </w:tcBorders>
            <w:vAlign w:val="center"/>
          </w:tcPr>
          <w:p w:rsidR="00816678" w:rsidRPr="006325C2" w:rsidRDefault="00816678" w:rsidP="0030430A">
            <w:pPr>
              <w:spacing w:before="60" w:line="288" w:lineRule="auto"/>
            </w:pPr>
          </w:p>
        </w:tc>
        <w:tc>
          <w:tcPr>
            <w:tcW w:w="973" w:type="pct"/>
            <w:tcBorders>
              <w:top w:val="single" w:sz="4" w:space="0" w:color="auto"/>
              <w:bottom w:val="nil"/>
            </w:tcBorders>
            <w:vAlign w:val="center"/>
          </w:tcPr>
          <w:p w:rsidR="00816678" w:rsidRPr="006325C2" w:rsidRDefault="00816678" w:rsidP="0030430A">
            <w:pPr>
              <w:spacing w:before="60" w:line="288" w:lineRule="auto"/>
            </w:pPr>
          </w:p>
        </w:tc>
      </w:tr>
      <w:tr w:rsidR="00346B7D" w:rsidRPr="006325C2" w:rsidTr="001A4117">
        <w:tc>
          <w:tcPr>
            <w:tcW w:w="2041" w:type="pct"/>
            <w:tcBorders>
              <w:top w:val="nil"/>
              <w:bottom w:val="nil"/>
            </w:tcBorders>
            <w:vAlign w:val="center"/>
          </w:tcPr>
          <w:p w:rsidR="00346B7D" w:rsidRPr="006325C2" w:rsidRDefault="00346B7D" w:rsidP="00DD4FF7">
            <w:pPr>
              <w:spacing w:before="60" w:line="288" w:lineRule="auto"/>
              <w:ind w:left="180"/>
            </w:pPr>
            <w:r w:rsidRPr="006325C2">
              <w:t>&lt;500 or &lt;600</w:t>
            </w:r>
          </w:p>
        </w:tc>
        <w:tc>
          <w:tcPr>
            <w:tcW w:w="970" w:type="pct"/>
            <w:tcBorders>
              <w:top w:val="nil"/>
              <w:bottom w:val="nil"/>
            </w:tcBorders>
            <w:vAlign w:val="center"/>
          </w:tcPr>
          <w:p w:rsidR="00346B7D" w:rsidRPr="006325C2" w:rsidRDefault="00346B7D" w:rsidP="0030430A">
            <w:pPr>
              <w:spacing w:before="60" w:line="288" w:lineRule="auto"/>
              <w:jc w:val="right"/>
            </w:pPr>
            <w:r w:rsidRPr="006325C2">
              <w:t>542 / 837</w:t>
            </w:r>
          </w:p>
        </w:tc>
        <w:tc>
          <w:tcPr>
            <w:tcW w:w="1016" w:type="pct"/>
            <w:tcBorders>
              <w:top w:val="nil"/>
              <w:bottom w:val="nil"/>
            </w:tcBorders>
          </w:tcPr>
          <w:p w:rsidR="00346B7D" w:rsidRPr="006325C2" w:rsidRDefault="00346B7D" w:rsidP="0030430A">
            <w:pPr>
              <w:spacing w:before="60" w:line="288" w:lineRule="auto"/>
            </w:pPr>
            <w:r w:rsidRPr="006325C2">
              <w:t>1.19 (1.02, 1.37)</w:t>
            </w:r>
          </w:p>
        </w:tc>
        <w:tc>
          <w:tcPr>
            <w:tcW w:w="973" w:type="pct"/>
            <w:tcBorders>
              <w:top w:val="nil"/>
              <w:bottom w:val="nil"/>
            </w:tcBorders>
          </w:tcPr>
          <w:p w:rsidR="00346B7D" w:rsidRPr="006325C2" w:rsidRDefault="00346B7D" w:rsidP="00082E4A">
            <w:pPr>
              <w:spacing w:before="60" w:line="288" w:lineRule="auto"/>
            </w:pPr>
            <w:r w:rsidRPr="006325C2">
              <w:t>1.0</w:t>
            </w:r>
            <w:r w:rsidR="00082E4A" w:rsidRPr="006325C2">
              <w:t>8</w:t>
            </w:r>
            <w:r w:rsidRPr="006325C2">
              <w:t xml:space="preserve"> (0.92, 1.25)</w:t>
            </w:r>
          </w:p>
        </w:tc>
      </w:tr>
      <w:tr w:rsidR="00346B7D" w:rsidRPr="006325C2" w:rsidTr="001A4117">
        <w:tc>
          <w:tcPr>
            <w:tcW w:w="2041" w:type="pct"/>
            <w:tcBorders>
              <w:top w:val="nil"/>
              <w:bottom w:val="nil"/>
            </w:tcBorders>
            <w:vAlign w:val="center"/>
          </w:tcPr>
          <w:p w:rsidR="00346B7D" w:rsidRPr="006325C2" w:rsidRDefault="00346B7D" w:rsidP="00DD4FF7">
            <w:pPr>
              <w:spacing w:before="60" w:line="288" w:lineRule="auto"/>
              <w:ind w:left="180"/>
            </w:pPr>
            <w:r w:rsidRPr="006325C2">
              <w:t xml:space="preserve">500-800 or 600-1000 </w:t>
            </w:r>
          </w:p>
        </w:tc>
        <w:tc>
          <w:tcPr>
            <w:tcW w:w="970" w:type="pct"/>
            <w:tcBorders>
              <w:top w:val="nil"/>
              <w:bottom w:val="nil"/>
            </w:tcBorders>
            <w:vAlign w:val="center"/>
          </w:tcPr>
          <w:p w:rsidR="00346B7D" w:rsidRPr="006325C2" w:rsidRDefault="00346B7D" w:rsidP="0030430A">
            <w:pPr>
              <w:spacing w:before="60" w:line="288" w:lineRule="auto"/>
              <w:jc w:val="right"/>
            </w:pPr>
            <w:r w:rsidRPr="006325C2">
              <w:t>1,076 / 1,727</w:t>
            </w:r>
          </w:p>
        </w:tc>
        <w:tc>
          <w:tcPr>
            <w:tcW w:w="1016" w:type="pct"/>
            <w:tcBorders>
              <w:top w:val="nil"/>
              <w:bottom w:val="nil"/>
            </w:tcBorders>
          </w:tcPr>
          <w:p w:rsidR="00346B7D" w:rsidRPr="006325C2" w:rsidRDefault="00346B7D" w:rsidP="0030430A">
            <w:pPr>
              <w:spacing w:before="60" w:line="288" w:lineRule="auto"/>
            </w:pPr>
            <w:r w:rsidRPr="006325C2">
              <w:t>1.10 (0.97, 1.26)</w:t>
            </w:r>
          </w:p>
        </w:tc>
        <w:tc>
          <w:tcPr>
            <w:tcW w:w="973" w:type="pct"/>
            <w:tcBorders>
              <w:top w:val="nil"/>
              <w:bottom w:val="nil"/>
            </w:tcBorders>
          </w:tcPr>
          <w:p w:rsidR="00346B7D" w:rsidRPr="006325C2" w:rsidRDefault="00346B7D" w:rsidP="0030430A">
            <w:pPr>
              <w:spacing w:before="60" w:line="288" w:lineRule="auto"/>
            </w:pPr>
            <w:r w:rsidRPr="006325C2">
              <w:t>1.03 (0.90, 1.17)</w:t>
            </w:r>
          </w:p>
        </w:tc>
      </w:tr>
      <w:tr w:rsidR="00346B7D" w:rsidRPr="006325C2" w:rsidTr="001A4117">
        <w:tc>
          <w:tcPr>
            <w:tcW w:w="2041" w:type="pct"/>
            <w:tcBorders>
              <w:top w:val="nil"/>
              <w:bottom w:val="nil"/>
            </w:tcBorders>
            <w:vAlign w:val="center"/>
          </w:tcPr>
          <w:p w:rsidR="00346B7D" w:rsidRPr="006325C2" w:rsidRDefault="00346B7D" w:rsidP="00DD4FF7">
            <w:pPr>
              <w:spacing w:before="60" w:line="288" w:lineRule="auto"/>
              <w:ind w:left="180"/>
            </w:pPr>
            <w:r w:rsidRPr="006325C2">
              <w:t>800-1000 or 1000-1200</w:t>
            </w:r>
          </w:p>
        </w:tc>
        <w:tc>
          <w:tcPr>
            <w:tcW w:w="970" w:type="pct"/>
            <w:tcBorders>
              <w:top w:val="nil"/>
              <w:bottom w:val="nil"/>
            </w:tcBorders>
            <w:vAlign w:val="center"/>
          </w:tcPr>
          <w:p w:rsidR="00346B7D" w:rsidRPr="006325C2" w:rsidRDefault="00346B7D" w:rsidP="0030430A">
            <w:pPr>
              <w:spacing w:before="60" w:line="288" w:lineRule="auto"/>
              <w:jc w:val="right"/>
            </w:pPr>
            <w:r w:rsidRPr="006325C2">
              <w:t>311 / 547</w:t>
            </w:r>
          </w:p>
        </w:tc>
        <w:tc>
          <w:tcPr>
            <w:tcW w:w="1016" w:type="pct"/>
            <w:tcBorders>
              <w:top w:val="nil"/>
              <w:bottom w:val="nil"/>
            </w:tcBorders>
          </w:tcPr>
          <w:p w:rsidR="00346B7D" w:rsidRPr="006325C2" w:rsidRDefault="00346B7D" w:rsidP="0030430A">
            <w:pPr>
              <w:spacing w:before="60" w:line="288" w:lineRule="auto"/>
            </w:pPr>
            <w:r w:rsidRPr="006325C2">
              <w:t>1.00 (ref)</w:t>
            </w:r>
          </w:p>
        </w:tc>
        <w:tc>
          <w:tcPr>
            <w:tcW w:w="973" w:type="pct"/>
            <w:tcBorders>
              <w:top w:val="nil"/>
              <w:bottom w:val="nil"/>
            </w:tcBorders>
          </w:tcPr>
          <w:p w:rsidR="00346B7D" w:rsidRPr="006325C2" w:rsidRDefault="00346B7D" w:rsidP="0030430A">
            <w:pPr>
              <w:spacing w:before="60" w:line="288" w:lineRule="auto"/>
            </w:pPr>
            <w:r w:rsidRPr="006325C2">
              <w:t>1.00 (ref)</w:t>
            </w:r>
          </w:p>
        </w:tc>
      </w:tr>
      <w:tr w:rsidR="00346B7D" w:rsidRPr="006325C2" w:rsidTr="001A4117">
        <w:tc>
          <w:tcPr>
            <w:tcW w:w="2041" w:type="pct"/>
            <w:tcBorders>
              <w:top w:val="nil"/>
              <w:bottom w:val="nil"/>
            </w:tcBorders>
            <w:vAlign w:val="center"/>
          </w:tcPr>
          <w:p w:rsidR="00346B7D" w:rsidRPr="006325C2" w:rsidRDefault="00346B7D" w:rsidP="00DD4FF7">
            <w:pPr>
              <w:spacing w:before="60" w:line="288" w:lineRule="auto"/>
              <w:ind w:left="180"/>
            </w:pPr>
            <w:r w:rsidRPr="006325C2">
              <w:t>1000-1500 or 1200-1800</w:t>
            </w:r>
          </w:p>
        </w:tc>
        <w:tc>
          <w:tcPr>
            <w:tcW w:w="970" w:type="pct"/>
            <w:tcBorders>
              <w:top w:val="nil"/>
              <w:bottom w:val="nil"/>
            </w:tcBorders>
            <w:vAlign w:val="center"/>
          </w:tcPr>
          <w:p w:rsidR="00346B7D" w:rsidRPr="006325C2" w:rsidRDefault="00346B7D" w:rsidP="0030430A">
            <w:pPr>
              <w:spacing w:before="60" w:line="288" w:lineRule="auto"/>
              <w:jc w:val="right"/>
            </w:pPr>
            <w:r w:rsidRPr="006325C2">
              <w:t>368 / 591</w:t>
            </w:r>
          </w:p>
        </w:tc>
        <w:tc>
          <w:tcPr>
            <w:tcW w:w="1016" w:type="pct"/>
            <w:tcBorders>
              <w:top w:val="nil"/>
              <w:bottom w:val="nil"/>
            </w:tcBorders>
          </w:tcPr>
          <w:p w:rsidR="00346B7D" w:rsidRPr="006325C2" w:rsidRDefault="00346B7D" w:rsidP="0030430A">
            <w:pPr>
              <w:spacing w:before="60" w:line="288" w:lineRule="auto"/>
            </w:pPr>
            <w:r w:rsidRPr="006325C2">
              <w:t>1.09 (0.94, 1.27)</w:t>
            </w:r>
          </w:p>
        </w:tc>
        <w:tc>
          <w:tcPr>
            <w:tcW w:w="973" w:type="pct"/>
            <w:tcBorders>
              <w:top w:val="nil"/>
              <w:bottom w:val="nil"/>
            </w:tcBorders>
          </w:tcPr>
          <w:p w:rsidR="00346B7D" w:rsidRPr="006325C2" w:rsidRDefault="00346B7D" w:rsidP="0030430A">
            <w:pPr>
              <w:spacing w:before="60" w:line="288" w:lineRule="auto"/>
            </w:pPr>
            <w:r w:rsidRPr="006325C2">
              <w:t>1.12 (0.96, 1.31)</w:t>
            </w:r>
          </w:p>
        </w:tc>
      </w:tr>
      <w:tr w:rsidR="00346B7D" w:rsidRPr="006325C2" w:rsidTr="001A4117">
        <w:tc>
          <w:tcPr>
            <w:tcW w:w="2041" w:type="pct"/>
            <w:tcBorders>
              <w:top w:val="nil"/>
              <w:bottom w:val="nil"/>
            </w:tcBorders>
            <w:vAlign w:val="center"/>
          </w:tcPr>
          <w:p w:rsidR="00346B7D" w:rsidRPr="006325C2" w:rsidRDefault="00346B7D" w:rsidP="00DD4FF7">
            <w:pPr>
              <w:spacing w:before="60" w:line="288" w:lineRule="auto"/>
              <w:ind w:left="180"/>
            </w:pPr>
            <w:r w:rsidRPr="006325C2">
              <w:t>&gt;1500 or &gt;1800</w:t>
            </w:r>
          </w:p>
        </w:tc>
        <w:tc>
          <w:tcPr>
            <w:tcW w:w="970" w:type="pct"/>
            <w:tcBorders>
              <w:top w:val="nil"/>
              <w:bottom w:val="nil"/>
            </w:tcBorders>
            <w:vAlign w:val="center"/>
          </w:tcPr>
          <w:p w:rsidR="00346B7D" w:rsidRPr="006325C2" w:rsidRDefault="00346B7D" w:rsidP="0030430A">
            <w:pPr>
              <w:spacing w:before="60" w:line="288" w:lineRule="auto"/>
              <w:jc w:val="right"/>
            </w:pPr>
            <w:r w:rsidRPr="006325C2">
              <w:t>89 / 134</w:t>
            </w:r>
          </w:p>
        </w:tc>
        <w:tc>
          <w:tcPr>
            <w:tcW w:w="1016" w:type="pct"/>
            <w:tcBorders>
              <w:top w:val="nil"/>
              <w:bottom w:val="nil"/>
            </w:tcBorders>
          </w:tcPr>
          <w:p w:rsidR="00346B7D" w:rsidRPr="006325C2" w:rsidRDefault="00346B7D" w:rsidP="0030430A">
            <w:pPr>
              <w:spacing w:before="60" w:line="288" w:lineRule="auto"/>
            </w:pPr>
            <w:r w:rsidRPr="006325C2">
              <w:t>1.24 (0.98, 1.58)</w:t>
            </w:r>
          </w:p>
        </w:tc>
        <w:tc>
          <w:tcPr>
            <w:tcW w:w="973" w:type="pct"/>
            <w:tcBorders>
              <w:top w:val="nil"/>
              <w:bottom w:val="nil"/>
            </w:tcBorders>
          </w:tcPr>
          <w:p w:rsidR="00346B7D" w:rsidRPr="006325C2" w:rsidRDefault="00346B7D" w:rsidP="00346B7D">
            <w:pPr>
              <w:spacing w:before="60" w:line="288" w:lineRule="auto"/>
            </w:pPr>
            <w:r w:rsidRPr="006325C2">
              <w:t>1.33 (1.05, 1.70)</w:t>
            </w:r>
          </w:p>
        </w:tc>
      </w:tr>
      <w:tr w:rsidR="00816678" w:rsidRPr="006325C2" w:rsidTr="001A4117">
        <w:tc>
          <w:tcPr>
            <w:tcW w:w="2041" w:type="pct"/>
            <w:tcBorders>
              <w:top w:val="nil"/>
              <w:bottom w:val="nil"/>
            </w:tcBorders>
            <w:vAlign w:val="center"/>
          </w:tcPr>
          <w:p w:rsidR="00816678" w:rsidRPr="006325C2" w:rsidRDefault="00933310" w:rsidP="00933310">
            <w:pPr>
              <w:spacing w:before="60" w:line="288" w:lineRule="auto"/>
            </w:pPr>
            <w:r w:rsidRPr="006325C2">
              <w:t>M</w:t>
            </w:r>
            <w:r w:rsidR="00816678" w:rsidRPr="006325C2">
              <w:t>ale</w:t>
            </w:r>
          </w:p>
        </w:tc>
        <w:tc>
          <w:tcPr>
            <w:tcW w:w="970" w:type="pct"/>
            <w:tcBorders>
              <w:top w:val="nil"/>
              <w:bottom w:val="nil"/>
            </w:tcBorders>
            <w:vAlign w:val="center"/>
          </w:tcPr>
          <w:p w:rsidR="00816678" w:rsidRPr="006325C2" w:rsidRDefault="00816678" w:rsidP="0030430A">
            <w:pPr>
              <w:spacing w:before="60" w:line="288" w:lineRule="auto"/>
              <w:jc w:val="right"/>
            </w:pPr>
          </w:p>
        </w:tc>
        <w:tc>
          <w:tcPr>
            <w:tcW w:w="1016" w:type="pct"/>
            <w:tcBorders>
              <w:top w:val="nil"/>
              <w:bottom w:val="nil"/>
            </w:tcBorders>
            <w:vAlign w:val="center"/>
          </w:tcPr>
          <w:p w:rsidR="00816678" w:rsidRPr="006325C2" w:rsidRDefault="00816678" w:rsidP="0030430A">
            <w:pPr>
              <w:spacing w:before="60" w:line="288" w:lineRule="auto"/>
            </w:pPr>
          </w:p>
        </w:tc>
        <w:tc>
          <w:tcPr>
            <w:tcW w:w="973" w:type="pct"/>
            <w:tcBorders>
              <w:top w:val="nil"/>
              <w:bottom w:val="nil"/>
            </w:tcBorders>
            <w:vAlign w:val="center"/>
          </w:tcPr>
          <w:p w:rsidR="00816678" w:rsidRPr="006325C2" w:rsidRDefault="00816678" w:rsidP="0030430A">
            <w:pPr>
              <w:spacing w:before="60" w:line="288" w:lineRule="auto"/>
            </w:pPr>
          </w:p>
        </w:tc>
      </w:tr>
      <w:tr w:rsidR="00346B7D" w:rsidRPr="006325C2" w:rsidTr="001A4117">
        <w:tc>
          <w:tcPr>
            <w:tcW w:w="2041" w:type="pct"/>
            <w:tcBorders>
              <w:top w:val="nil"/>
              <w:bottom w:val="nil"/>
            </w:tcBorders>
            <w:vAlign w:val="center"/>
          </w:tcPr>
          <w:p w:rsidR="00346B7D" w:rsidRPr="006325C2" w:rsidRDefault="00346B7D" w:rsidP="00DD4FF7">
            <w:pPr>
              <w:spacing w:before="60" w:line="288" w:lineRule="auto"/>
              <w:ind w:left="180"/>
            </w:pPr>
            <w:r w:rsidRPr="006325C2">
              <w:t>&lt;500 or &lt;600</w:t>
            </w:r>
          </w:p>
        </w:tc>
        <w:tc>
          <w:tcPr>
            <w:tcW w:w="970" w:type="pct"/>
            <w:tcBorders>
              <w:top w:val="nil"/>
              <w:bottom w:val="nil"/>
            </w:tcBorders>
          </w:tcPr>
          <w:p w:rsidR="00346B7D" w:rsidRPr="006325C2" w:rsidRDefault="00346B7D" w:rsidP="0030430A">
            <w:pPr>
              <w:spacing w:before="60" w:line="288" w:lineRule="auto"/>
              <w:jc w:val="right"/>
            </w:pPr>
            <w:r w:rsidRPr="006325C2">
              <w:t>386 / 505</w:t>
            </w:r>
          </w:p>
        </w:tc>
        <w:tc>
          <w:tcPr>
            <w:tcW w:w="1016" w:type="pct"/>
            <w:tcBorders>
              <w:top w:val="nil"/>
              <w:bottom w:val="nil"/>
            </w:tcBorders>
          </w:tcPr>
          <w:p w:rsidR="00346B7D" w:rsidRPr="006325C2" w:rsidRDefault="00346B7D" w:rsidP="0030430A">
            <w:pPr>
              <w:spacing w:before="60" w:line="288" w:lineRule="auto"/>
            </w:pPr>
            <w:r w:rsidRPr="006325C2">
              <w:t>1.20 (1.04, 1.39)</w:t>
            </w:r>
          </w:p>
        </w:tc>
        <w:tc>
          <w:tcPr>
            <w:tcW w:w="973" w:type="pct"/>
            <w:tcBorders>
              <w:top w:val="nil"/>
              <w:bottom w:val="nil"/>
            </w:tcBorders>
          </w:tcPr>
          <w:p w:rsidR="00346B7D" w:rsidRPr="006325C2" w:rsidRDefault="00346B7D" w:rsidP="0030430A">
            <w:pPr>
              <w:spacing w:before="60" w:line="288" w:lineRule="auto"/>
            </w:pPr>
            <w:r w:rsidRPr="006325C2">
              <w:t>1.25 (1.08, 1.45)</w:t>
            </w:r>
          </w:p>
        </w:tc>
      </w:tr>
      <w:tr w:rsidR="00346B7D" w:rsidRPr="006325C2" w:rsidTr="001A4117">
        <w:tc>
          <w:tcPr>
            <w:tcW w:w="2041" w:type="pct"/>
            <w:tcBorders>
              <w:top w:val="nil"/>
              <w:bottom w:val="nil"/>
            </w:tcBorders>
            <w:vAlign w:val="center"/>
          </w:tcPr>
          <w:p w:rsidR="00346B7D" w:rsidRPr="006325C2" w:rsidRDefault="00346B7D" w:rsidP="00DD4FF7">
            <w:pPr>
              <w:spacing w:before="60" w:line="288" w:lineRule="auto"/>
              <w:ind w:left="180"/>
            </w:pPr>
            <w:r w:rsidRPr="006325C2">
              <w:t xml:space="preserve">500-800 or 600-1000 </w:t>
            </w:r>
          </w:p>
        </w:tc>
        <w:tc>
          <w:tcPr>
            <w:tcW w:w="970" w:type="pct"/>
            <w:tcBorders>
              <w:top w:val="nil"/>
              <w:bottom w:val="nil"/>
            </w:tcBorders>
          </w:tcPr>
          <w:p w:rsidR="00346B7D" w:rsidRPr="006325C2" w:rsidRDefault="00346B7D" w:rsidP="0030430A">
            <w:pPr>
              <w:spacing w:before="60" w:line="288" w:lineRule="auto"/>
              <w:jc w:val="right"/>
            </w:pPr>
            <w:r w:rsidRPr="006325C2">
              <w:t>1,007 / 1,338</w:t>
            </w:r>
          </w:p>
        </w:tc>
        <w:tc>
          <w:tcPr>
            <w:tcW w:w="1016" w:type="pct"/>
            <w:tcBorders>
              <w:top w:val="nil"/>
              <w:bottom w:val="nil"/>
            </w:tcBorders>
          </w:tcPr>
          <w:p w:rsidR="00346B7D" w:rsidRPr="006325C2" w:rsidRDefault="00346B7D" w:rsidP="0030430A">
            <w:pPr>
              <w:spacing w:before="60" w:line="288" w:lineRule="auto"/>
            </w:pPr>
            <w:r w:rsidRPr="006325C2">
              <w:t>1.05 (0.95, 1.16)</w:t>
            </w:r>
          </w:p>
        </w:tc>
        <w:tc>
          <w:tcPr>
            <w:tcW w:w="973" w:type="pct"/>
            <w:tcBorders>
              <w:top w:val="nil"/>
              <w:bottom w:val="nil"/>
            </w:tcBorders>
          </w:tcPr>
          <w:p w:rsidR="00346B7D" w:rsidRPr="006325C2" w:rsidRDefault="00346B7D" w:rsidP="0030430A">
            <w:pPr>
              <w:spacing w:before="60" w:line="288" w:lineRule="auto"/>
            </w:pPr>
            <w:r w:rsidRPr="006325C2">
              <w:t>1.07 (0.97, 1.18)</w:t>
            </w:r>
          </w:p>
        </w:tc>
      </w:tr>
      <w:tr w:rsidR="00346B7D" w:rsidRPr="006325C2" w:rsidTr="001A4117">
        <w:tc>
          <w:tcPr>
            <w:tcW w:w="2041" w:type="pct"/>
            <w:tcBorders>
              <w:top w:val="nil"/>
              <w:bottom w:val="nil"/>
            </w:tcBorders>
            <w:vAlign w:val="center"/>
          </w:tcPr>
          <w:p w:rsidR="00346B7D" w:rsidRPr="006325C2" w:rsidRDefault="00346B7D" w:rsidP="00DD4FF7">
            <w:pPr>
              <w:spacing w:before="60" w:line="288" w:lineRule="auto"/>
              <w:ind w:left="180"/>
            </w:pPr>
            <w:r w:rsidRPr="006325C2">
              <w:t>800-1000 or 1000-1200</w:t>
            </w:r>
          </w:p>
        </w:tc>
        <w:tc>
          <w:tcPr>
            <w:tcW w:w="970" w:type="pct"/>
            <w:tcBorders>
              <w:top w:val="nil"/>
              <w:bottom w:val="nil"/>
            </w:tcBorders>
          </w:tcPr>
          <w:p w:rsidR="00346B7D" w:rsidRPr="006325C2" w:rsidRDefault="00346B7D" w:rsidP="0030430A">
            <w:pPr>
              <w:spacing w:before="60" w:line="288" w:lineRule="auto"/>
              <w:jc w:val="right"/>
            </w:pPr>
            <w:r w:rsidRPr="006325C2">
              <w:t>679 / 895</w:t>
            </w:r>
          </w:p>
        </w:tc>
        <w:tc>
          <w:tcPr>
            <w:tcW w:w="1016" w:type="pct"/>
            <w:tcBorders>
              <w:top w:val="nil"/>
              <w:bottom w:val="nil"/>
            </w:tcBorders>
          </w:tcPr>
          <w:p w:rsidR="00346B7D" w:rsidRPr="006325C2" w:rsidRDefault="00346B7D" w:rsidP="0030430A">
            <w:pPr>
              <w:spacing w:before="60" w:line="288" w:lineRule="auto"/>
            </w:pPr>
            <w:r w:rsidRPr="006325C2">
              <w:t>1.00 (ref)</w:t>
            </w:r>
          </w:p>
        </w:tc>
        <w:tc>
          <w:tcPr>
            <w:tcW w:w="973" w:type="pct"/>
            <w:tcBorders>
              <w:top w:val="nil"/>
              <w:bottom w:val="nil"/>
            </w:tcBorders>
          </w:tcPr>
          <w:p w:rsidR="00346B7D" w:rsidRPr="006325C2" w:rsidRDefault="00346B7D" w:rsidP="0030430A">
            <w:pPr>
              <w:spacing w:before="60" w:line="288" w:lineRule="auto"/>
            </w:pPr>
            <w:r w:rsidRPr="006325C2">
              <w:t>1.00 (ref)</w:t>
            </w:r>
          </w:p>
        </w:tc>
      </w:tr>
      <w:tr w:rsidR="00346B7D" w:rsidRPr="006325C2" w:rsidTr="001A4117">
        <w:tc>
          <w:tcPr>
            <w:tcW w:w="2041" w:type="pct"/>
            <w:tcBorders>
              <w:top w:val="nil"/>
              <w:bottom w:val="nil"/>
            </w:tcBorders>
            <w:vAlign w:val="center"/>
          </w:tcPr>
          <w:p w:rsidR="00346B7D" w:rsidRPr="006325C2" w:rsidRDefault="00346B7D" w:rsidP="00DD4FF7">
            <w:pPr>
              <w:spacing w:before="60" w:line="288" w:lineRule="auto"/>
              <w:ind w:left="180"/>
            </w:pPr>
            <w:r w:rsidRPr="006325C2">
              <w:t>1000-1500 or 1200-1800</w:t>
            </w:r>
          </w:p>
        </w:tc>
        <w:tc>
          <w:tcPr>
            <w:tcW w:w="970" w:type="pct"/>
            <w:tcBorders>
              <w:top w:val="nil"/>
              <w:bottom w:val="nil"/>
            </w:tcBorders>
          </w:tcPr>
          <w:p w:rsidR="00346B7D" w:rsidRPr="006325C2" w:rsidRDefault="00346B7D" w:rsidP="0030430A">
            <w:pPr>
              <w:spacing w:before="60" w:line="288" w:lineRule="auto"/>
              <w:jc w:val="right"/>
            </w:pPr>
            <w:r w:rsidRPr="006325C2">
              <w:t>796 / 1,069</w:t>
            </w:r>
          </w:p>
        </w:tc>
        <w:tc>
          <w:tcPr>
            <w:tcW w:w="1016" w:type="pct"/>
            <w:tcBorders>
              <w:top w:val="nil"/>
              <w:bottom w:val="nil"/>
            </w:tcBorders>
          </w:tcPr>
          <w:p w:rsidR="00346B7D" w:rsidRPr="006325C2" w:rsidRDefault="00346B7D" w:rsidP="0030430A">
            <w:pPr>
              <w:spacing w:before="60" w:line="288" w:lineRule="auto"/>
            </w:pPr>
            <w:r w:rsidRPr="006325C2">
              <w:t>0.94 (0.85, 1.05)</w:t>
            </w:r>
          </w:p>
        </w:tc>
        <w:tc>
          <w:tcPr>
            <w:tcW w:w="973" w:type="pct"/>
            <w:tcBorders>
              <w:top w:val="nil"/>
              <w:bottom w:val="nil"/>
            </w:tcBorders>
          </w:tcPr>
          <w:p w:rsidR="00346B7D" w:rsidRPr="006325C2" w:rsidRDefault="00346B7D" w:rsidP="0030430A">
            <w:pPr>
              <w:spacing w:before="60" w:line="288" w:lineRule="auto"/>
            </w:pPr>
            <w:r w:rsidRPr="006325C2">
              <w:t>0.99 (0.90, 1.10)</w:t>
            </w:r>
          </w:p>
        </w:tc>
      </w:tr>
      <w:tr w:rsidR="00346B7D" w:rsidRPr="006325C2" w:rsidTr="00923645">
        <w:tc>
          <w:tcPr>
            <w:tcW w:w="2041" w:type="pct"/>
            <w:tcBorders>
              <w:top w:val="nil"/>
              <w:bottom w:val="single" w:sz="4" w:space="0" w:color="auto"/>
            </w:tcBorders>
            <w:vAlign w:val="center"/>
          </w:tcPr>
          <w:p w:rsidR="00346B7D" w:rsidRPr="006325C2" w:rsidRDefault="00346B7D" w:rsidP="00DD4FF7">
            <w:pPr>
              <w:spacing w:before="60" w:line="288" w:lineRule="auto"/>
              <w:ind w:left="180"/>
            </w:pPr>
            <w:r w:rsidRPr="006325C2">
              <w:t>&gt;1500 or &gt;1800</w:t>
            </w:r>
          </w:p>
        </w:tc>
        <w:tc>
          <w:tcPr>
            <w:tcW w:w="970" w:type="pct"/>
            <w:tcBorders>
              <w:top w:val="nil"/>
              <w:bottom w:val="single" w:sz="4" w:space="0" w:color="auto"/>
            </w:tcBorders>
          </w:tcPr>
          <w:p w:rsidR="00346B7D" w:rsidRPr="006325C2" w:rsidRDefault="00346B7D" w:rsidP="0030430A">
            <w:pPr>
              <w:spacing w:before="60" w:line="288" w:lineRule="auto"/>
              <w:jc w:val="right"/>
            </w:pPr>
            <w:r w:rsidRPr="006325C2">
              <w:t>282 / 370</w:t>
            </w:r>
          </w:p>
        </w:tc>
        <w:tc>
          <w:tcPr>
            <w:tcW w:w="1016" w:type="pct"/>
            <w:tcBorders>
              <w:top w:val="nil"/>
              <w:bottom w:val="single" w:sz="4" w:space="0" w:color="auto"/>
            </w:tcBorders>
          </w:tcPr>
          <w:p w:rsidR="00346B7D" w:rsidRPr="006325C2" w:rsidRDefault="00346B7D" w:rsidP="0030430A">
            <w:pPr>
              <w:spacing w:before="60" w:line="288" w:lineRule="auto"/>
            </w:pPr>
            <w:r w:rsidRPr="006325C2">
              <w:t>0.93 (0.80, 1.06)</w:t>
            </w:r>
          </w:p>
        </w:tc>
        <w:tc>
          <w:tcPr>
            <w:tcW w:w="973" w:type="pct"/>
            <w:tcBorders>
              <w:top w:val="nil"/>
              <w:bottom w:val="single" w:sz="4" w:space="0" w:color="auto"/>
            </w:tcBorders>
          </w:tcPr>
          <w:p w:rsidR="00346B7D" w:rsidRPr="006325C2" w:rsidRDefault="00346B7D" w:rsidP="0030430A">
            <w:pPr>
              <w:spacing w:before="60" w:line="288" w:lineRule="auto"/>
            </w:pPr>
            <w:r w:rsidRPr="006325C2">
              <w:t>0.99 (0.86, 1.14)</w:t>
            </w:r>
          </w:p>
        </w:tc>
      </w:tr>
      <w:tr w:rsidR="00933310" w:rsidRPr="006325C2" w:rsidTr="001A4117">
        <w:tc>
          <w:tcPr>
            <w:tcW w:w="2041" w:type="pct"/>
            <w:tcBorders>
              <w:top w:val="single" w:sz="4" w:space="0" w:color="auto"/>
              <w:bottom w:val="nil"/>
            </w:tcBorders>
            <w:vAlign w:val="center"/>
          </w:tcPr>
          <w:p w:rsidR="00933310" w:rsidRPr="006325C2" w:rsidRDefault="00933310" w:rsidP="0030430A">
            <w:pPr>
              <w:spacing w:before="60" w:line="288" w:lineRule="auto"/>
            </w:pPr>
            <w:r w:rsidRPr="006325C2">
              <w:t>Whites</w:t>
            </w:r>
          </w:p>
        </w:tc>
        <w:tc>
          <w:tcPr>
            <w:tcW w:w="970" w:type="pct"/>
            <w:tcBorders>
              <w:top w:val="single" w:sz="4" w:space="0" w:color="auto"/>
              <w:bottom w:val="nil"/>
            </w:tcBorders>
          </w:tcPr>
          <w:p w:rsidR="00933310" w:rsidRPr="006325C2" w:rsidRDefault="00933310" w:rsidP="0030430A">
            <w:pPr>
              <w:spacing w:before="60" w:line="288" w:lineRule="auto"/>
              <w:jc w:val="right"/>
            </w:pPr>
          </w:p>
        </w:tc>
        <w:tc>
          <w:tcPr>
            <w:tcW w:w="1016" w:type="pct"/>
            <w:tcBorders>
              <w:top w:val="single" w:sz="4" w:space="0" w:color="auto"/>
              <w:bottom w:val="nil"/>
            </w:tcBorders>
          </w:tcPr>
          <w:p w:rsidR="00933310" w:rsidRPr="006325C2" w:rsidRDefault="00933310" w:rsidP="0030430A">
            <w:pPr>
              <w:spacing w:before="60" w:line="288" w:lineRule="auto"/>
            </w:pPr>
          </w:p>
        </w:tc>
        <w:tc>
          <w:tcPr>
            <w:tcW w:w="973" w:type="pct"/>
            <w:tcBorders>
              <w:top w:val="single" w:sz="4" w:space="0" w:color="auto"/>
              <w:bottom w:val="nil"/>
            </w:tcBorders>
          </w:tcPr>
          <w:p w:rsidR="00933310" w:rsidRPr="006325C2" w:rsidRDefault="00933310" w:rsidP="0030430A">
            <w:pPr>
              <w:spacing w:before="60" w:line="288" w:lineRule="auto"/>
            </w:pPr>
          </w:p>
        </w:tc>
      </w:tr>
      <w:tr w:rsidR="00933310" w:rsidRPr="006325C2" w:rsidTr="00923645">
        <w:tc>
          <w:tcPr>
            <w:tcW w:w="2041" w:type="pct"/>
            <w:tcBorders>
              <w:top w:val="nil"/>
              <w:bottom w:val="nil"/>
            </w:tcBorders>
            <w:vAlign w:val="center"/>
          </w:tcPr>
          <w:p w:rsidR="00933310" w:rsidRPr="006325C2" w:rsidRDefault="00933310" w:rsidP="004C080F">
            <w:pPr>
              <w:spacing w:before="60" w:line="288" w:lineRule="auto"/>
              <w:ind w:left="180"/>
            </w:pPr>
            <w:r w:rsidRPr="006325C2">
              <w:t>&lt;500 or &lt;600</w:t>
            </w:r>
          </w:p>
        </w:tc>
        <w:tc>
          <w:tcPr>
            <w:tcW w:w="970" w:type="pct"/>
            <w:tcBorders>
              <w:top w:val="nil"/>
              <w:bottom w:val="nil"/>
            </w:tcBorders>
          </w:tcPr>
          <w:p w:rsidR="00933310" w:rsidRPr="006325C2" w:rsidRDefault="00933310" w:rsidP="0030430A">
            <w:pPr>
              <w:spacing w:before="60" w:line="288" w:lineRule="auto"/>
              <w:jc w:val="right"/>
            </w:pPr>
            <w:r w:rsidRPr="006325C2">
              <w:t>507 / 691</w:t>
            </w:r>
          </w:p>
        </w:tc>
        <w:tc>
          <w:tcPr>
            <w:tcW w:w="1016" w:type="pct"/>
            <w:tcBorders>
              <w:top w:val="nil"/>
              <w:bottom w:val="nil"/>
            </w:tcBorders>
          </w:tcPr>
          <w:p w:rsidR="00933310" w:rsidRPr="006325C2" w:rsidRDefault="0058221F" w:rsidP="0030430A">
            <w:pPr>
              <w:spacing w:before="60" w:line="288" w:lineRule="auto"/>
            </w:pPr>
            <w:r w:rsidRPr="006325C2">
              <w:t>1.19 (1.06, 1.33)</w:t>
            </w:r>
          </w:p>
        </w:tc>
        <w:tc>
          <w:tcPr>
            <w:tcW w:w="973" w:type="pct"/>
            <w:tcBorders>
              <w:top w:val="nil"/>
              <w:bottom w:val="nil"/>
            </w:tcBorders>
          </w:tcPr>
          <w:p w:rsidR="00933310" w:rsidRPr="006325C2" w:rsidRDefault="0058221F" w:rsidP="0030430A">
            <w:pPr>
              <w:spacing w:before="60" w:line="288" w:lineRule="auto"/>
            </w:pPr>
            <w:r w:rsidRPr="006325C2">
              <w:t>1.16 (1.03, 1.31)</w:t>
            </w:r>
          </w:p>
        </w:tc>
      </w:tr>
      <w:tr w:rsidR="00933310" w:rsidRPr="006325C2" w:rsidTr="00923645">
        <w:tc>
          <w:tcPr>
            <w:tcW w:w="2041" w:type="pct"/>
            <w:tcBorders>
              <w:top w:val="nil"/>
              <w:bottom w:val="nil"/>
            </w:tcBorders>
            <w:vAlign w:val="center"/>
          </w:tcPr>
          <w:p w:rsidR="00933310" w:rsidRPr="006325C2" w:rsidRDefault="00933310" w:rsidP="004C080F">
            <w:pPr>
              <w:spacing w:before="60" w:line="288" w:lineRule="auto"/>
              <w:ind w:left="180"/>
            </w:pPr>
            <w:r w:rsidRPr="006325C2">
              <w:t xml:space="preserve">500-800 or 600-1000 </w:t>
            </w:r>
          </w:p>
        </w:tc>
        <w:tc>
          <w:tcPr>
            <w:tcW w:w="970" w:type="pct"/>
            <w:tcBorders>
              <w:top w:val="nil"/>
              <w:bottom w:val="nil"/>
            </w:tcBorders>
          </w:tcPr>
          <w:p w:rsidR="00933310" w:rsidRPr="006325C2" w:rsidRDefault="00933310" w:rsidP="0030430A">
            <w:pPr>
              <w:spacing w:before="60" w:line="288" w:lineRule="auto"/>
              <w:jc w:val="right"/>
            </w:pPr>
            <w:r w:rsidRPr="006325C2">
              <w:t>1,673 / 2,377</w:t>
            </w:r>
          </w:p>
        </w:tc>
        <w:tc>
          <w:tcPr>
            <w:tcW w:w="1016" w:type="pct"/>
            <w:tcBorders>
              <w:top w:val="nil"/>
              <w:bottom w:val="nil"/>
            </w:tcBorders>
          </w:tcPr>
          <w:p w:rsidR="00933310" w:rsidRPr="006325C2" w:rsidRDefault="0058221F" w:rsidP="0030430A">
            <w:pPr>
              <w:spacing w:before="60" w:line="288" w:lineRule="auto"/>
            </w:pPr>
            <w:r w:rsidRPr="006325C2">
              <w:t>1.07 (0.99, 1.17)</w:t>
            </w:r>
          </w:p>
        </w:tc>
        <w:tc>
          <w:tcPr>
            <w:tcW w:w="973" w:type="pct"/>
            <w:tcBorders>
              <w:top w:val="nil"/>
              <w:bottom w:val="nil"/>
            </w:tcBorders>
          </w:tcPr>
          <w:p w:rsidR="0058221F" w:rsidRPr="006325C2" w:rsidRDefault="0058221F" w:rsidP="0030430A">
            <w:pPr>
              <w:spacing w:before="60" w:line="288" w:lineRule="auto"/>
            </w:pPr>
            <w:r w:rsidRPr="006325C2">
              <w:t>1.06 (0.97, 1.15)</w:t>
            </w:r>
          </w:p>
        </w:tc>
      </w:tr>
      <w:tr w:rsidR="00933310" w:rsidRPr="006325C2" w:rsidTr="00923645">
        <w:tc>
          <w:tcPr>
            <w:tcW w:w="2041" w:type="pct"/>
            <w:tcBorders>
              <w:top w:val="nil"/>
              <w:bottom w:val="nil"/>
            </w:tcBorders>
            <w:vAlign w:val="center"/>
          </w:tcPr>
          <w:p w:rsidR="00933310" w:rsidRPr="006325C2" w:rsidRDefault="00933310" w:rsidP="004C080F">
            <w:pPr>
              <w:spacing w:before="60" w:line="288" w:lineRule="auto"/>
              <w:ind w:left="180"/>
            </w:pPr>
            <w:r w:rsidRPr="006325C2">
              <w:t>800-1000 or 1000-1200</w:t>
            </w:r>
          </w:p>
        </w:tc>
        <w:tc>
          <w:tcPr>
            <w:tcW w:w="970" w:type="pct"/>
            <w:tcBorders>
              <w:top w:val="nil"/>
              <w:bottom w:val="nil"/>
            </w:tcBorders>
          </w:tcPr>
          <w:p w:rsidR="00933310" w:rsidRPr="006325C2" w:rsidRDefault="00933310" w:rsidP="0030430A">
            <w:pPr>
              <w:spacing w:before="60" w:line="288" w:lineRule="auto"/>
              <w:jc w:val="right"/>
            </w:pPr>
            <w:r w:rsidRPr="006325C2">
              <w:t>873 / 1,254</w:t>
            </w:r>
          </w:p>
        </w:tc>
        <w:tc>
          <w:tcPr>
            <w:tcW w:w="1016" w:type="pct"/>
            <w:tcBorders>
              <w:top w:val="nil"/>
              <w:bottom w:val="nil"/>
            </w:tcBorders>
          </w:tcPr>
          <w:p w:rsidR="00933310" w:rsidRPr="006325C2" w:rsidRDefault="00933310" w:rsidP="004C080F">
            <w:pPr>
              <w:spacing w:before="60" w:line="288" w:lineRule="auto"/>
            </w:pPr>
            <w:r w:rsidRPr="006325C2">
              <w:t>1.00 (ref)</w:t>
            </w:r>
          </w:p>
        </w:tc>
        <w:tc>
          <w:tcPr>
            <w:tcW w:w="973" w:type="pct"/>
            <w:tcBorders>
              <w:top w:val="nil"/>
              <w:bottom w:val="nil"/>
            </w:tcBorders>
          </w:tcPr>
          <w:p w:rsidR="00933310" w:rsidRPr="006325C2" w:rsidRDefault="00933310" w:rsidP="004C080F">
            <w:pPr>
              <w:spacing w:before="60" w:line="288" w:lineRule="auto"/>
            </w:pPr>
            <w:r w:rsidRPr="006325C2">
              <w:t>1.00 (ref)</w:t>
            </w:r>
          </w:p>
        </w:tc>
      </w:tr>
      <w:tr w:rsidR="00933310" w:rsidRPr="006325C2" w:rsidTr="00923645">
        <w:tc>
          <w:tcPr>
            <w:tcW w:w="2041" w:type="pct"/>
            <w:tcBorders>
              <w:top w:val="nil"/>
              <w:bottom w:val="nil"/>
            </w:tcBorders>
            <w:vAlign w:val="center"/>
          </w:tcPr>
          <w:p w:rsidR="00933310" w:rsidRPr="006325C2" w:rsidRDefault="00933310" w:rsidP="004C080F">
            <w:pPr>
              <w:spacing w:before="60" w:line="288" w:lineRule="auto"/>
              <w:ind w:left="180"/>
            </w:pPr>
            <w:r w:rsidRPr="006325C2">
              <w:t>1000-1500 or 1200-1800</w:t>
            </w:r>
          </w:p>
        </w:tc>
        <w:tc>
          <w:tcPr>
            <w:tcW w:w="970" w:type="pct"/>
            <w:tcBorders>
              <w:top w:val="nil"/>
              <w:bottom w:val="nil"/>
            </w:tcBorders>
          </w:tcPr>
          <w:p w:rsidR="00933310" w:rsidRPr="006325C2" w:rsidRDefault="00933310" w:rsidP="0030430A">
            <w:pPr>
              <w:spacing w:before="60" w:line="288" w:lineRule="auto"/>
              <w:jc w:val="right"/>
            </w:pPr>
            <w:r w:rsidRPr="006325C2">
              <w:t>1,103 / 1,539</w:t>
            </w:r>
          </w:p>
        </w:tc>
        <w:tc>
          <w:tcPr>
            <w:tcW w:w="1016" w:type="pct"/>
            <w:tcBorders>
              <w:top w:val="nil"/>
              <w:bottom w:val="nil"/>
            </w:tcBorders>
          </w:tcPr>
          <w:p w:rsidR="00933310" w:rsidRPr="006325C2" w:rsidRDefault="0058221F" w:rsidP="0030430A">
            <w:pPr>
              <w:spacing w:before="60" w:line="288" w:lineRule="auto"/>
            </w:pPr>
            <w:r w:rsidRPr="006325C2">
              <w:t>1.02 (0.93, 1.11)</w:t>
            </w:r>
          </w:p>
        </w:tc>
        <w:tc>
          <w:tcPr>
            <w:tcW w:w="973" w:type="pct"/>
            <w:tcBorders>
              <w:top w:val="nil"/>
              <w:bottom w:val="nil"/>
            </w:tcBorders>
          </w:tcPr>
          <w:p w:rsidR="00933310" w:rsidRPr="006325C2" w:rsidRDefault="0058221F" w:rsidP="0030430A">
            <w:pPr>
              <w:spacing w:before="60" w:line="288" w:lineRule="auto"/>
            </w:pPr>
            <w:r w:rsidRPr="006325C2">
              <w:t>1.05 (0.96, 1.15)</w:t>
            </w:r>
          </w:p>
        </w:tc>
      </w:tr>
      <w:tr w:rsidR="00933310" w:rsidRPr="006325C2" w:rsidTr="00923645">
        <w:tc>
          <w:tcPr>
            <w:tcW w:w="2041" w:type="pct"/>
            <w:tcBorders>
              <w:top w:val="nil"/>
              <w:bottom w:val="nil"/>
            </w:tcBorders>
            <w:vAlign w:val="center"/>
          </w:tcPr>
          <w:p w:rsidR="00933310" w:rsidRPr="006325C2" w:rsidRDefault="00933310" w:rsidP="004C080F">
            <w:pPr>
              <w:spacing w:before="60" w:line="288" w:lineRule="auto"/>
              <w:ind w:left="180"/>
            </w:pPr>
            <w:r w:rsidRPr="006325C2">
              <w:t>&gt;1500 or &gt;1800</w:t>
            </w:r>
          </w:p>
        </w:tc>
        <w:tc>
          <w:tcPr>
            <w:tcW w:w="970" w:type="pct"/>
            <w:tcBorders>
              <w:top w:val="nil"/>
              <w:bottom w:val="nil"/>
            </w:tcBorders>
          </w:tcPr>
          <w:p w:rsidR="00933310" w:rsidRPr="006325C2" w:rsidRDefault="00933310" w:rsidP="0030430A">
            <w:pPr>
              <w:spacing w:before="60" w:line="288" w:lineRule="auto"/>
              <w:jc w:val="right"/>
            </w:pPr>
            <w:r w:rsidRPr="006325C2">
              <w:t>358 / 480</w:t>
            </w:r>
          </w:p>
        </w:tc>
        <w:tc>
          <w:tcPr>
            <w:tcW w:w="1016" w:type="pct"/>
            <w:tcBorders>
              <w:top w:val="nil"/>
              <w:bottom w:val="nil"/>
            </w:tcBorders>
          </w:tcPr>
          <w:p w:rsidR="00933310" w:rsidRPr="006325C2" w:rsidRDefault="0058221F" w:rsidP="0030430A">
            <w:pPr>
              <w:spacing w:before="60" w:line="288" w:lineRule="auto"/>
            </w:pPr>
            <w:r w:rsidRPr="006325C2">
              <w:t>1.02 (0.90, 1.15)</w:t>
            </w:r>
          </w:p>
        </w:tc>
        <w:tc>
          <w:tcPr>
            <w:tcW w:w="973" w:type="pct"/>
            <w:tcBorders>
              <w:top w:val="nil"/>
              <w:bottom w:val="nil"/>
            </w:tcBorders>
          </w:tcPr>
          <w:p w:rsidR="00933310" w:rsidRPr="006325C2" w:rsidRDefault="0058221F" w:rsidP="0030430A">
            <w:pPr>
              <w:spacing w:before="60" w:line="288" w:lineRule="auto"/>
            </w:pPr>
            <w:r w:rsidRPr="006325C2">
              <w:t>1.09 (0.96, 1.23)</w:t>
            </w:r>
          </w:p>
        </w:tc>
      </w:tr>
      <w:tr w:rsidR="00923645" w:rsidRPr="006325C2" w:rsidTr="00923645">
        <w:tc>
          <w:tcPr>
            <w:tcW w:w="2041" w:type="pct"/>
            <w:tcBorders>
              <w:top w:val="nil"/>
              <w:bottom w:val="nil"/>
            </w:tcBorders>
            <w:vAlign w:val="center"/>
          </w:tcPr>
          <w:p w:rsidR="00923645" w:rsidRPr="006325C2" w:rsidRDefault="00923645" w:rsidP="004C080F">
            <w:pPr>
              <w:spacing w:before="60" w:line="288" w:lineRule="auto"/>
            </w:pPr>
            <w:r w:rsidRPr="006325C2">
              <w:t>Asians</w:t>
            </w:r>
          </w:p>
        </w:tc>
        <w:tc>
          <w:tcPr>
            <w:tcW w:w="970" w:type="pct"/>
            <w:tcBorders>
              <w:top w:val="nil"/>
              <w:bottom w:val="nil"/>
            </w:tcBorders>
          </w:tcPr>
          <w:p w:rsidR="00923645" w:rsidRPr="006325C2" w:rsidRDefault="00923645" w:rsidP="004C080F">
            <w:pPr>
              <w:spacing w:before="60" w:line="288" w:lineRule="auto"/>
              <w:jc w:val="right"/>
            </w:pPr>
          </w:p>
        </w:tc>
        <w:tc>
          <w:tcPr>
            <w:tcW w:w="1016" w:type="pct"/>
            <w:tcBorders>
              <w:top w:val="nil"/>
              <w:bottom w:val="nil"/>
            </w:tcBorders>
          </w:tcPr>
          <w:p w:rsidR="00923645" w:rsidRPr="006325C2" w:rsidRDefault="00923645" w:rsidP="004C080F">
            <w:pPr>
              <w:spacing w:before="60" w:line="288" w:lineRule="auto"/>
            </w:pPr>
          </w:p>
        </w:tc>
        <w:tc>
          <w:tcPr>
            <w:tcW w:w="973" w:type="pct"/>
            <w:tcBorders>
              <w:top w:val="nil"/>
              <w:bottom w:val="nil"/>
            </w:tcBorders>
          </w:tcPr>
          <w:p w:rsidR="00923645" w:rsidRPr="006325C2" w:rsidRDefault="00923645" w:rsidP="004C080F">
            <w:pPr>
              <w:spacing w:before="60" w:line="288" w:lineRule="auto"/>
            </w:pPr>
          </w:p>
        </w:tc>
      </w:tr>
      <w:tr w:rsidR="00923645" w:rsidRPr="006325C2" w:rsidTr="00923645">
        <w:tc>
          <w:tcPr>
            <w:tcW w:w="2041" w:type="pct"/>
            <w:tcBorders>
              <w:top w:val="nil"/>
              <w:bottom w:val="nil"/>
            </w:tcBorders>
            <w:vAlign w:val="center"/>
          </w:tcPr>
          <w:p w:rsidR="00923645" w:rsidRPr="006325C2" w:rsidRDefault="00923645" w:rsidP="004C080F">
            <w:pPr>
              <w:spacing w:before="60" w:line="288" w:lineRule="auto"/>
              <w:ind w:left="180"/>
            </w:pPr>
            <w:r w:rsidRPr="006325C2">
              <w:t>&lt;500 or &lt;600</w:t>
            </w:r>
          </w:p>
        </w:tc>
        <w:tc>
          <w:tcPr>
            <w:tcW w:w="970" w:type="pct"/>
            <w:tcBorders>
              <w:top w:val="nil"/>
              <w:bottom w:val="nil"/>
            </w:tcBorders>
          </w:tcPr>
          <w:p w:rsidR="00923645" w:rsidRPr="006325C2" w:rsidRDefault="00923645" w:rsidP="004C080F">
            <w:pPr>
              <w:spacing w:before="60" w:line="288" w:lineRule="auto"/>
              <w:jc w:val="right"/>
            </w:pPr>
            <w:r w:rsidRPr="006325C2">
              <w:t>363 / 548</w:t>
            </w:r>
          </w:p>
        </w:tc>
        <w:tc>
          <w:tcPr>
            <w:tcW w:w="1016" w:type="pct"/>
            <w:tcBorders>
              <w:top w:val="nil"/>
              <w:bottom w:val="nil"/>
            </w:tcBorders>
          </w:tcPr>
          <w:p w:rsidR="00923645" w:rsidRPr="006325C2" w:rsidRDefault="00923645" w:rsidP="004C080F">
            <w:pPr>
              <w:spacing w:before="60" w:line="288" w:lineRule="auto"/>
            </w:pPr>
            <w:r w:rsidRPr="006325C2">
              <w:t>1.18 (1.00, 1.39)</w:t>
            </w:r>
          </w:p>
        </w:tc>
        <w:tc>
          <w:tcPr>
            <w:tcW w:w="973" w:type="pct"/>
            <w:tcBorders>
              <w:top w:val="nil"/>
              <w:bottom w:val="nil"/>
            </w:tcBorders>
          </w:tcPr>
          <w:p w:rsidR="00923645" w:rsidRPr="006325C2" w:rsidRDefault="00923645" w:rsidP="004C080F">
            <w:pPr>
              <w:spacing w:before="60" w:line="288" w:lineRule="auto"/>
            </w:pPr>
            <w:r w:rsidRPr="006325C2">
              <w:t>1.20 (1.01, 1.43)</w:t>
            </w:r>
          </w:p>
        </w:tc>
      </w:tr>
      <w:tr w:rsidR="00923645" w:rsidRPr="006325C2" w:rsidTr="00923645">
        <w:tc>
          <w:tcPr>
            <w:tcW w:w="2041" w:type="pct"/>
            <w:tcBorders>
              <w:top w:val="nil"/>
              <w:bottom w:val="nil"/>
            </w:tcBorders>
            <w:vAlign w:val="center"/>
          </w:tcPr>
          <w:p w:rsidR="00923645" w:rsidRPr="006325C2" w:rsidRDefault="00923645" w:rsidP="004C080F">
            <w:pPr>
              <w:spacing w:before="60" w:line="288" w:lineRule="auto"/>
              <w:ind w:left="180"/>
            </w:pPr>
            <w:r w:rsidRPr="006325C2">
              <w:t xml:space="preserve">500-1000 or 600-1200 </w:t>
            </w:r>
          </w:p>
        </w:tc>
        <w:tc>
          <w:tcPr>
            <w:tcW w:w="970" w:type="pct"/>
            <w:tcBorders>
              <w:top w:val="nil"/>
              <w:bottom w:val="nil"/>
            </w:tcBorders>
          </w:tcPr>
          <w:p w:rsidR="00923645" w:rsidRPr="006325C2" w:rsidRDefault="00923645" w:rsidP="004C080F">
            <w:pPr>
              <w:spacing w:before="60" w:line="288" w:lineRule="auto"/>
              <w:jc w:val="right"/>
            </w:pPr>
            <w:r w:rsidRPr="006325C2">
              <w:t>326 / 562</w:t>
            </w:r>
          </w:p>
        </w:tc>
        <w:tc>
          <w:tcPr>
            <w:tcW w:w="1016" w:type="pct"/>
            <w:tcBorders>
              <w:top w:val="nil"/>
              <w:bottom w:val="nil"/>
            </w:tcBorders>
          </w:tcPr>
          <w:p w:rsidR="00923645" w:rsidRPr="006325C2" w:rsidRDefault="00923645" w:rsidP="004C080F">
            <w:pPr>
              <w:spacing w:before="60" w:line="288" w:lineRule="auto"/>
            </w:pPr>
            <w:r w:rsidRPr="006325C2">
              <w:t>1.00 (ref)</w:t>
            </w:r>
          </w:p>
        </w:tc>
        <w:tc>
          <w:tcPr>
            <w:tcW w:w="973" w:type="pct"/>
            <w:tcBorders>
              <w:top w:val="nil"/>
              <w:bottom w:val="nil"/>
            </w:tcBorders>
          </w:tcPr>
          <w:p w:rsidR="00923645" w:rsidRPr="006325C2" w:rsidRDefault="00923645" w:rsidP="004C080F">
            <w:pPr>
              <w:spacing w:before="60" w:line="288" w:lineRule="auto"/>
            </w:pPr>
            <w:r w:rsidRPr="006325C2">
              <w:t>1.00 (ref)</w:t>
            </w:r>
          </w:p>
        </w:tc>
      </w:tr>
      <w:tr w:rsidR="00923645" w:rsidRPr="006325C2" w:rsidTr="00923645">
        <w:tc>
          <w:tcPr>
            <w:tcW w:w="2041" w:type="pct"/>
            <w:tcBorders>
              <w:top w:val="nil"/>
              <w:bottom w:val="nil"/>
            </w:tcBorders>
            <w:vAlign w:val="center"/>
          </w:tcPr>
          <w:p w:rsidR="00923645" w:rsidRPr="006325C2" w:rsidRDefault="00923645" w:rsidP="004C080F">
            <w:pPr>
              <w:spacing w:before="60" w:line="288" w:lineRule="auto"/>
              <w:ind w:left="180"/>
            </w:pPr>
            <w:r w:rsidRPr="006325C2">
              <w:t>&gt;1000 or &gt;1200</w:t>
            </w:r>
          </w:p>
        </w:tc>
        <w:tc>
          <w:tcPr>
            <w:tcW w:w="970" w:type="pct"/>
            <w:tcBorders>
              <w:top w:val="nil"/>
              <w:bottom w:val="nil"/>
            </w:tcBorders>
          </w:tcPr>
          <w:p w:rsidR="00923645" w:rsidRPr="006325C2" w:rsidRDefault="00923645" w:rsidP="004C080F">
            <w:pPr>
              <w:spacing w:before="60" w:line="288" w:lineRule="auto"/>
              <w:jc w:val="right"/>
            </w:pPr>
            <w:r w:rsidRPr="006325C2">
              <w:t>33 / 76</w:t>
            </w:r>
          </w:p>
        </w:tc>
        <w:tc>
          <w:tcPr>
            <w:tcW w:w="1016" w:type="pct"/>
            <w:tcBorders>
              <w:top w:val="nil"/>
              <w:bottom w:val="nil"/>
            </w:tcBorders>
          </w:tcPr>
          <w:p w:rsidR="00923645" w:rsidRPr="006325C2" w:rsidRDefault="00923645" w:rsidP="004C080F">
            <w:pPr>
              <w:spacing w:before="60" w:line="288" w:lineRule="auto"/>
            </w:pPr>
            <w:r w:rsidRPr="006325C2">
              <w:t>0.72 (0.50, 1.05)</w:t>
            </w:r>
          </w:p>
        </w:tc>
        <w:tc>
          <w:tcPr>
            <w:tcW w:w="973" w:type="pct"/>
            <w:tcBorders>
              <w:top w:val="nil"/>
              <w:bottom w:val="nil"/>
            </w:tcBorders>
          </w:tcPr>
          <w:p w:rsidR="00923645" w:rsidRPr="006325C2" w:rsidRDefault="00923645" w:rsidP="004C080F">
            <w:pPr>
              <w:spacing w:before="60" w:line="288" w:lineRule="auto"/>
            </w:pPr>
            <w:r w:rsidRPr="006325C2">
              <w:t>0.76 (0.52, 1.12)</w:t>
            </w:r>
          </w:p>
        </w:tc>
      </w:tr>
      <w:tr w:rsidR="00923645" w:rsidRPr="006325C2" w:rsidTr="00923645">
        <w:tc>
          <w:tcPr>
            <w:tcW w:w="2041" w:type="pct"/>
            <w:tcBorders>
              <w:top w:val="nil"/>
              <w:bottom w:val="nil"/>
            </w:tcBorders>
            <w:vAlign w:val="center"/>
          </w:tcPr>
          <w:p w:rsidR="00923645" w:rsidRPr="006325C2" w:rsidRDefault="00923645" w:rsidP="0030430A">
            <w:pPr>
              <w:spacing w:before="60" w:line="288" w:lineRule="auto"/>
            </w:pPr>
            <w:r w:rsidRPr="006325C2">
              <w:t>Blacks</w:t>
            </w:r>
          </w:p>
        </w:tc>
        <w:tc>
          <w:tcPr>
            <w:tcW w:w="970" w:type="pct"/>
            <w:tcBorders>
              <w:top w:val="nil"/>
              <w:bottom w:val="nil"/>
            </w:tcBorders>
          </w:tcPr>
          <w:p w:rsidR="00923645" w:rsidRPr="006325C2" w:rsidRDefault="00923645" w:rsidP="0030430A">
            <w:pPr>
              <w:spacing w:before="60" w:line="288" w:lineRule="auto"/>
              <w:jc w:val="right"/>
            </w:pPr>
          </w:p>
        </w:tc>
        <w:tc>
          <w:tcPr>
            <w:tcW w:w="1016" w:type="pct"/>
            <w:tcBorders>
              <w:top w:val="nil"/>
              <w:bottom w:val="nil"/>
            </w:tcBorders>
          </w:tcPr>
          <w:p w:rsidR="00923645" w:rsidRPr="006325C2" w:rsidRDefault="00923645" w:rsidP="0030430A">
            <w:pPr>
              <w:spacing w:before="60" w:line="288" w:lineRule="auto"/>
            </w:pPr>
          </w:p>
        </w:tc>
        <w:tc>
          <w:tcPr>
            <w:tcW w:w="973" w:type="pct"/>
            <w:tcBorders>
              <w:top w:val="nil"/>
              <w:bottom w:val="nil"/>
            </w:tcBorders>
          </w:tcPr>
          <w:p w:rsidR="00923645" w:rsidRPr="006325C2" w:rsidRDefault="00923645" w:rsidP="0030430A">
            <w:pPr>
              <w:spacing w:before="60" w:line="288" w:lineRule="auto"/>
            </w:pPr>
          </w:p>
        </w:tc>
      </w:tr>
      <w:tr w:rsidR="00923645" w:rsidRPr="006325C2" w:rsidTr="00923645">
        <w:tc>
          <w:tcPr>
            <w:tcW w:w="2041" w:type="pct"/>
            <w:tcBorders>
              <w:top w:val="nil"/>
              <w:bottom w:val="nil"/>
            </w:tcBorders>
            <w:vAlign w:val="center"/>
          </w:tcPr>
          <w:p w:rsidR="00923645" w:rsidRPr="006325C2" w:rsidRDefault="00923645" w:rsidP="004C080F">
            <w:pPr>
              <w:spacing w:before="60" w:line="288" w:lineRule="auto"/>
              <w:ind w:left="180"/>
            </w:pPr>
            <w:r w:rsidRPr="006325C2">
              <w:t>&lt;500 or &lt;600</w:t>
            </w:r>
          </w:p>
        </w:tc>
        <w:tc>
          <w:tcPr>
            <w:tcW w:w="970" w:type="pct"/>
            <w:tcBorders>
              <w:top w:val="nil"/>
              <w:bottom w:val="nil"/>
            </w:tcBorders>
          </w:tcPr>
          <w:p w:rsidR="00923645" w:rsidRPr="006325C2" w:rsidRDefault="00923645" w:rsidP="0030430A">
            <w:pPr>
              <w:spacing w:before="60" w:line="288" w:lineRule="auto"/>
              <w:jc w:val="right"/>
            </w:pPr>
            <w:r w:rsidRPr="006325C2">
              <w:t>53 / 93</w:t>
            </w:r>
          </w:p>
        </w:tc>
        <w:tc>
          <w:tcPr>
            <w:tcW w:w="1016" w:type="pct"/>
            <w:tcBorders>
              <w:top w:val="nil"/>
              <w:bottom w:val="nil"/>
            </w:tcBorders>
          </w:tcPr>
          <w:p w:rsidR="00923645" w:rsidRPr="006325C2" w:rsidRDefault="00923645" w:rsidP="0030430A">
            <w:pPr>
              <w:spacing w:before="60" w:line="288" w:lineRule="auto"/>
            </w:pPr>
            <w:r w:rsidRPr="006325C2">
              <w:t>0.83 (0.60, 1.17)</w:t>
            </w:r>
          </w:p>
        </w:tc>
        <w:tc>
          <w:tcPr>
            <w:tcW w:w="973" w:type="pct"/>
            <w:tcBorders>
              <w:top w:val="nil"/>
              <w:bottom w:val="nil"/>
            </w:tcBorders>
          </w:tcPr>
          <w:p w:rsidR="00923645" w:rsidRPr="006325C2" w:rsidRDefault="00923645" w:rsidP="0030430A">
            <w:pPr>
              <w:spacing w:before="60" w:line="288" w:lineRule="auto"/>
            </w:pPr>
            <w:r w:rsidRPr="006325C2">
              <w:t>0.79 (0.55, 1.14)</w:t>
            </w:r>
          </w:p>
        </w:tc>
      </w:tr>
      <w:tr w:rsidR="00923645" w:rsidRPr="006325C2" w:rsidTr="00923645">
        <w:tc>
          <w:tcPr>
            <w:tcW w:w="2041" w:type="pct"/>
            <w:tcBorders>
              <w:top w:val="nil"/>
              <w:bottom w:val="nil"/>
            </w:tcBorders>
            <w:vAlign w:val="center"/>
          </w:tcPr>
          <w:p w:rsidR="00923645" w:rsidRPr="006325C2" w:rsidRDefault="00923645" w:rsidP="00923645">
            <w:pPr>
              <w:spacing w:before="60" w:line="288" w:lineRule="auto"/>
              <w:ind w:left="180"/>
            </w:pPr>
            <w:r w:rsidRPr="006325C2">
              <w:t xml:space="preserve">500-1000 or 600-1200 </w:t>
            </w:r>
          </w:p>
        </w:tc>
        <w:tc>
          <w:tcPr>
            <w:tcW w:w="970" w:type="pct"/>
            <w:tcBorders>
              <w:top w:val="nil"/>
              <w:bottom w:val="nil"/>
            </w:tcBorders>
          </w:tcPr>
          <w:p w:rsidR="00923645" w:rsidRPr="006325C2" w:rsidRDefault="00923645" w:rsidP="0030430A">
            <w:pPr>
              <w:spacing w:before="60" w:line="288" w:lineRule="auto"/>
              <w:jc w:val="right"/>
            </w:pPr>
            <w:r w:rsidRPr="006325C2">
              <w:t>171 / 269</w:t>
            </w:r>
          </w:p>
        </w:tc>
        <w:tc>
          <w:tcPr>
            <w:tcW w:w="1016" w:type="pct"/>
            <w:tcBorders>
              <w:top w:val="nil"/>
              <w:bottom w:val="nil"/>
            </w:tcBorders>
          </w:tcPr>
          <w:p w:rsidR="00923645" w:rsidRPr="006325C2" w:rsidRDefault="00923645" w:rsidP="004C080F">
            <w:pPr>
              <w:spacing w:before="60" w:line="288" w:lineRule="auto"/>
            </w:pPr>
            <w:r w:rsidRPr="006325C2">
              <w:t>1.00 (ref)</w:t>
            </w:r>
          </w:p>
        </w:tc>
        <w:tc>
          <w:tcPr>
            <w:tcW w:w="973" w:type="pct"/>
            <w:tcBorders>
              <w:top w:val="nil"/>
              <w:bottom w:val="nil"/>
            </w:tcBorders>
          </w:tcPr>
          <w:p w:rsidR="00923645" w:rsidRPr="006325C2" w:rsidRDefault="00923645" w:rsidP="004C080F">
            <w:pPr>
              <w:spacing w:before="60" w:line="288" w:lineRule="auto"/>
            </w:pPr>
            <w:r w:rsidRPr="006325C2">
              <w:t>1.00 (ref)</w:t>
            </w:r>
          </w:p>
        </w:tc>
      </w:tr>
      <w:tr w:rsidR="00923645" w:rsidRPr="006325C2" w:rsidTr="00923645">
        <w:tc>
          <w:tcPr>
            <w:tcW w:w="2041" w:type="pct"/>
            <w:tcBorders>
              <w:top w:val="nil"/>
              <w:bottom w:val="nil"/>
            </w:tcBorders>
            <w:vAlign w:val="center"/>
          </w:tcPr>
          <w:p w:rsidR="00923645" w:rsidRPr="006325C2" w:rsidRDefault="00923645" w:rsidP="00923645">
            <w:pPr>
              <w:spacing w:before="60" w:line="288" w:lineRule="auto"/>
              <w:ind w:left="180"/>
            </w:pPr>
            <w:r w:rsidRPr="006325C2">
              <w:t>&gt;1000 or &gt;1200</w:t>
            </w:r>
          </w:p>
        </w:tc>
        <w:tc>
          <w:tcPr>
            <w:tcW w:w="970" w:type="pct"/>
            <w:tcBorders>
              <w:top w:val="nil"/>
              <w:bottom w:val="nil"/>
            </w:tcBorders>
          </w:tcPr>
          <w:p w:rsidR="00923645" w:rsidRPr="006325C2" w:rsidRDefault="00923645" w:rsidP="0030430A">
            <w:pPr>
              <w:spacing w:before="60" w:line="288" w:lineRule="auto"/>
              <w:jc w:val="right"/>
            </w:pPr>
            <w:r w:rsidRPr="006325C2">
              <w:t>25 / 47</w:t>
            </w:r>
          </w:p>
        </w:tc>
        <w:tc>
          <w:tcPr>
            <w:tcW w:w="1016" w:type="pct"/>
            <w:tcBorders>
              <w:top w:val="nil"/>
              <w:bottom w:val="nil"/>
            </w:tcBorders>
          </w:tcPr>
          <w:p w:rsidR="00923645" w:rsidRPr="006325C2" w:rsidRDefault="00923645" w:rsidP="0030430A">
            <w:pPr>
              <w:spacing w:before="60" w:line="288" w:lineRule="auto"/>
            </w:pPr>
            <w:r w:rsidRPr="006325C2">
              <w:t>0.58 (0.36, 0.91)</w:t>
            </w:r>
          </w:p>
        </w:tc>
        <w:tc>
          <w:tcPr>
            <w:tcW w:w="973" w:type="pct"/>
            <w:tcBorders>
              <w:top w:val="nil"/>
              <w:bottom w:val="nil"/>
            </w:tcBorders>
          </w:tcPr>
          <w:p w:rsidR="00923645" w:rsidRPr="006325C2" w:rsidRDefault="00923645" w:rsidP="0030430A">
            <w:pPr>
              <w:spacing w:before="60" w:line="288" w:lineRule="auto"/>
            </w:pPr>
            <w:r w:rsidRPr="006325C2">
              <w:t>0.77 (0.46, 1.27)</w:t>
            </w:r>
          </w:p>
        </w:tc>
      </w:tr>
      <w:tr w:rsidR="00923645" w:rsidRPr="006325C2" w:rsidTr="00923645">
        <w:tc>
          <w:tcPr>
            <w:tcW w:w="2041" w:type="pct"/>
            <w:tcBorders>
              <w:top w:val="single" w:sz="4" w:space="0" w:color="auto"/>
              <w:bottom w:val="nil"/>
            </w:tcBorders>
            <w:vAlign w:val="center"/>
          </w:tcPr>
          <w:p w:rsidR="00923645" w:rsidRPr="006325C2" w:rsidRDefault="00923645" w:rsidP="0030430A">
            <w:pPr>
              <w:spacing w:before="60" w:line="288" w:lineRule="auto"/>
            </w:pPr>
            <w:r w:rsidRPr="006325C2">
              <w:t>Never smokers</w:t>
            </w:r>
          </w:p>
        </w:tc>
        <w:tc>
          <w:tcPr>
            <w:tcW w:w="970" w:type="pct"/>
            <w:tcBorders>
              <w:top w:val="single" w:sz="4" w:space="0" w:color="auto"/>
              <w:bottom w:val="nil"/>
            </w:tcBorders>
          </w:tcPr>
          <w:p w:rsidR="00923645" w:rsidRPr="006325C2" w:rsidRDefault="00923645" w:rsidP="0030430A">
            <w:pPr>
              <w:spacing w:before="60" w:line="288" w:lineRule="auto"/>
              <w:jc w:val="right"/>
            </w:pPr>
          </w:p>
        </w:tc>
        <w:tc>
          <w:tcPr>
            <w:tcW w:w="1016" w:type="pct"/>
            <w:tcBorders>
              <w:top w:val="single" w:sz="4" w:space="0" w:color="auto"/>
              <w:bottom w:val="nil"/>
            </w:tcBorders>
          </w:tcPr>
          <w:p w:rsidR="00923645" w:rsidRPr="006325C2" w:rsidRDefault="00923645" w:rsidP="0030430A">
            <w:pPr>
              <w:spacing w:before="60" w:line="288" w:lineRule="auto"/>
            </w:pPr>
          </w:p>
        </w:tc>
        <w:tc>
          <w:tcPr>
            <w:tcW w:w="973" w:type="pct"/>
            <w:tcBorders>
              <w:top w:val="single" w:sz="4" w:space="0" w:color="auto"/>
              <w:bottom w:val="nil"/>
            </w:tcBorders>
          </w:tcPr>
          <w:p w:rsidR="00923645" w:rsidRPr="006325C2" w:rsidRDefault="00923645" w:rsidP="0030430A">
            <w:pPr>
              <w:spacing w:before="60" w:line="288" w:lineRule="auto"/>
            </w:pP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&lt;500 or &lt;600</w:t>
            </w:r>
          </w:p>
        </w:tc>
        <w:tc>
          <w:tcPr>
            <w:tcW w:w="970" w:type="pct"/>
            <w:tcBorders>
              <w:top w:val="nil"/>
              <w:bottom w:val="nil"/>
            </w:tcBorders>
          </w:tcPr>
          <w:p w:rsidR="00923645" w:rsidRPr="006325C2" w:rsidRDefault="00923645" w:rsidP="0030430A">
            <w:pPr>
              <w:spacing w:before="60" w:line="288" w:lineRule="auto"/>
              <w:jc w:val="right"/>
            </w:pPr>
            <w:r w:rsidRPr="006325C2">
              <w:t>143 / 260</w:t>
            </w:r>
          </w:p>
        </w:tc>
        <w:tc>
          <w:tcPr>
            <w:tcW w:w="1016" w:type="pct"/>
            <w:tcBorders>
              <w:top w:val="nil"/>
              <w:bottom w:val="nil"/>
            </w:tcBorders>
          </w:tcPr>
          <w:p w:rsidR="00923645" w:rsidRPr="006325C2" w:rsidRDefault="00923645" w:rsidP="0030430A">
            <w:pPr>
              <w:spacing w:before="60" w:line="288" w:lineRule="auto"/>
            </w:pPr>
            <w:r w:rsidRPr="006325C2">
              <w:t>1.32 (0.94, 1.85)</w:t>
            </w:r>
          </w:p>
        </w:tc>
        <w:tc>
          <w:tcPr>
            <w:tcW w:w="973" w:type="pct"/>
            <w:tcBorders>
              <w:top w:val="nil"/>
              <w:bottom w:val="nil"/>
            </w:tcBorders>
          </w:tcPr>
          <w:p w:rsidR="00923645" w:rsidRPr="006325C2" w:rsidRDefault="00923645" w:rsidP="0030430A">
            <w:pPr>
              <w:spacing w:before="60" w:line="288" w:lineRule="auto"/>
            </w:pPr>
            <w:r w:rsidRPr="006325C2">
              <w:t>1.45 (1.01, 2.08)</w:t>
            </w: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 xml:space="preserve">500-800 or 600-1000 </w:t>
            </w:r>
          </w:p>
        </w:tc>
        <w:tc>
          <w:tcPr>
            <w:tcW w:w="970" w:type="pct"/>
            <w:tcBorders>
              <w:top w:val="nil"/>
              <w:bottom w:val="nil"/>
            </w:tcBorders>
          </w:tcPr>
          <w:p w:rsidR="00923645" w:rsidRPr="006325C2" w:rsidRDefault="00923645" w:rsidP="0030430A">
            <w:pPr>
              <w:spacing w:before="60" w:line="288" w:lineRule="auto"/>
              <w:jc w:val="right"/>
            </w:pPr>
            <w:r w:rsidRPr="006325C2">
              <w:t>204 / 410</w:t>
            </w:r>
          </w:p>
        </w:tc>
        <w:tc>
          <w:tcPr>
            <w:tcW w:w="1016" w:type="pct"/>
            <w:tcBorders>
              <w:top w:val="nil"/>
              <w:bottom w:val="nil"/>
            </w:tcBorders>
          </w:tcPr>
          <w:p w:rsidR="00923645" w:rsidRPr="006325C2" w:rsidRDefault="00923645" w:rsidP="0030430A">
            <w:pPr>
              <w:spacing w:before="60" w:line="288" w:lineRule="auto"/>
            </w:pPr>
            <w:r w:rsidRPr="006325C2">
              <w:t>1.06 (0.73, 1.41)</w:t>
            </w:r>
          </w:p>
        </w:tc>
        <w:tc>
          <w:tcPr>
            <w:tcW w:w="973" w:type="pct"/>
            <w:tcBorders>
              <w:top w:val="nil"/>
              <w:bottom w:val="nil"/>
            </w:tcBorders>
          </w:tcPr>
          <w:p w:rsidR="00923645" w:rsidRPr="006325C2" w:rsidRDefault="00923645" w:rsidP="0030430A">
            <w:pPr>
              <w:spacing w:before="60" w:line="288" w:lineRule="auto"/>
            </w:pPr>
            <w:r w:rsidRPr="006325C2">
              <w:t>1.12 (0.82, 1.53)</w:t>
            </w: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800-1000 or 1000-1200</w:t>
            </w:r>
          </w:p>
        </w:tc>
        <w:tc>
          <w:tcPr>
            <w:tcW w:w="970" w:type="pct"/>
            <w:tcBorders>
              <w:top w:val="nil"/>
              <w:bottom w:val="nil"/>
            </w:tcBorders>
          </w:tcPr>
          <w:p w:rsidR="00923645" w:rsidRPr="006325C2" w:rsidRDefault="00923645" w:rsidP="0030430A">
            <w:pPr>
              <w:spacing w:before="60" w:line="288" w:lineRule="auto"/>
              <w:jc w:val="right"/>
            </w:pPr>
            <w:r w:rsidRPr="006325C2">
              <w:t>71 / 146</w:t>
            </w:r>
          </w:p>
        </w:tc>
        <w:tc>
          <w:tcPr>
            <w:tcW w:w="1016" w:type="pct"/>
            <w:tcBorders>
              <w:top w:val="nil"/>
              <w:bottom w:val="nil"/>
            </w:tcBorders>
          </w:tcPr>
          <w:p w:rsidR="00923645" w:rsidRPr="006325C2" w:rsidRDefault="00923645" w:rsidP="0030430A">
            <w:pPr>
              <w:spacing w:before="60" w:line="288" w:lineRule="auto"/>
            </w:pPr>
            <w:r w:rsidRPr="006325C2">
              <w:t>1.00 (ref)</w:t>
            </w:r>
          </w:p>
        </w:tc>
        <w:tc>
          <w:tcPr>
            <w:tcW w:w="973" w:type="pct"/>
            <w:tcBorders>
              <w:top w:val="nil"/>
              <w:bottom w:val="nil"/>
            </w:tcBorders>
          </w:tcPr>
          <w:p w:rsidR="00923645" w:rsidRPr="006325C2" w:rsidRDefault="00923645" w:rsidP="0030430A">
            <w:pPr>
              <w:spacing w:before="60" w:line="288" w:lineRule="auto"/>
            </w:pPr>
            <w:r w:rsidRPr="006325C2">
              <w:t>1.00 (ref)</w:t>
            </w: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1000-1500 or 1200-1800</w:t>
            </w:r>
          </w:p>
        </w:tc>
        <w:tc>
          <w:tcPr>
            <w:tcW w:w="970" w:type="pct"/>
            <w:tcBorders>
              <w:top w:val="nil"/>
              <w:bottom w:val="nil"/>
            </w:tcBorders>
          </w:tcPr>
          <w:p w:rsidR="00923645" w:rsidRPr="006325C2" w:rsidRDefault="00923645" w:rsidP="0030430A">
            <w:pPr>
              <w:spacing w:before="60" w:line="288" w:lineRule="auto"/>
              <w:jc w:val="right"/>
            </w:pPr>
            <w:r w:rsidRPr="006325C2">
              <w:t>100 / 181</w:t>
            </w:r>
          </w:p>
        </w:tc>
        <w:tc>
          <w:tcPr>
            <w:tcW w:w="1016" w:type="pct"/>
            <w:tcBorders>
              <w:top w:val="nil"/>
              <w:bottom w:val="nil"/>
            </w:tcBorders>
          </w:tcPr>
          <w:p w:rsidR="00923645" w:rsidRPr="006325C2" w:rsidRDefault="00923645" w:rsidP="0030430A">
            <w:pPr>
              <w:spacing w:before="60" w:line="288" w:lineRule="auto"/>
            </w:pPr>
            <w:r w:rsidRPr="006325C2">
              <w:t>1.01 (0.73, 1.40)</w:t>
            </w:r>
          </w:p>
        </w:tc>
        <w:tc>
          <w:tcPr>
            <w:tcW w:w="973" w:type="pct"/>
            <w:tcBorders>
              <w:top w:val="nil"/>
              <w:bottom w:val="nil"/>
            </w:tcBorders>
          </w:tcPr>
          <w:p w:rsidR="00923645" w:rsidRPr="006325C2" w:rsidRDefault="00923645" w:rsidP="0030430A">
            <w:pPr>
              <w:spacing w:before="60" w:line="288" w:lineRule="auto"/>
            </w:pPr>
            <w:r w:rsidRPr="006325C2">
              <w:t>1.06 (0.76, 1.49)</w:t>
            </w: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&gt;1500 or &gt;1800</w:t>
            </w:r>
          </w:p>
        </w:tc>
        <w:tc>
          <w:tcPr>
            <w:tcW w:w="970" w:type="pct"/>
            <w:tcBorders>
              <w:top w:val="nil"/>
              <w:bottom w:val="nil"/>
            </w:tcBorders>
          </w:tcPr>
          <w:p w:rsidR="00923645" w:rsidRPr="006325C2" w:rsidRDefault="00923645" w:rsidP="0030430A">
            <w:pPr>
              <w:spacing w:before="60" w:line="288" w:lineRule="auto"/>
              <w:jc w:val="right"/>
            </w:pPr>
            <w:r w:rsidRPr="006325C2">
              <w:t>20 / 41</w:t>
            </w:r>
          </w:p>
        </w:tc>
        <w:tc>
          <w:tcPr>
            <w:tcW w:w="1016" w:type="pct"/>
            <w:tcBorders>
              <w:top w:val="nil"/>
              <w:bottom w:val="nil"/>
            </w:tcBorders>
          </w:tcPr>
          <w:p w:rsidR="00923645" w:rsidRPr="006325C2" w:rsidRDefault="00923645" w:rsidP="0030430A">
            <w:pPr>
              <w:spacing w:before="60" w:line="288" w:lineRule="auto"/>
            </w:pPr>
            <w:r w:rsidRPr="006325C2">
              <w:t>0.84 (0.50, 1.42)</w:t>
            </w:r>
          </w:p>
        </w:tc>
        <w:tc>
          <w:tcPr>
            <w:tcW w:w="973" w:type="pct"/>
            <w:tcBorders>
              <w:top w:val="nil"/>
              <w:bottom w:val="nil"/>
            </w:tcBorders>
          </w:tcPr>
          <w:p w:rsidR="00923645" w:rsidRPr="006325C2" w:rsidRDefault="00923645" w:rsidP="0030430A">
            <w:pPr>
              <w:spacing w:before="60" w:line="288" w:lineRule="auto"/>
            </w:pPr>
            <w:r w:rsidRPr="006325C2">
              <w:t>0.86 (0.50, 1.47)</w:t>
            </w:r>
          </w:p>
        </w:tc>
      </w:tr>
      <w:tr w:rsidR="00923645" w:rsidRPr="006325C2" w:rsidTr="001A4117">
        <w:tc>
          <w:tcPr>
            <w:tcW w:w="2041" w:type="pct"/>
            <w:tcBorders>
              <w:top w:val="nil"/>
              <w:bottom w:val="nil"/>
            </w:tcBorders>
            <w:vAlign w:val="center"/>
          </w:tcPr>
          <w:p w:rsidR="00923645" w:rsidRPr="006325C2" w:rsidRDefault="00923645" w:rsidP="00933310">
            <w:pPr>
              <w:spacing w:before="60" w:line="288" w:lineRule="auto"/>
            </w:pPr>
            <w:r w:rsidRPr="006325C2">
              <w:t>Former / Current smokers</w:t>
            </w:r>
          </w:p>
        </w:tc>
        <w:tc>
          <w:tcPr>
            <w:tcW w:w="970" w:type="pct"/>
            <w:tcBorders>
              <w:top w:val="nil"/>
              <w:bottom w:val="nil"/>
            </w:tcBorders>
          </w:tcPr>
          <w:p w:rsidR="00923645" w:rsidRPr="006325C2" w:rsidRDefault="00923645" w:rsidP="0030430A">
            <w:pPr>
              <w:spacing w:before="60" w:line="288" w:lineRule="auto"/>
              <w:jc w:val="right"/>
            </w:pPr>
          </w:p>
        </w:tc>
        <w:tc>
          <w:tcPr>
            <w:tcW w:w="1016" w:type="pct"/>
            <w:tcBorders>
              <w:top w:val="nil"/>
              <w:bottom w:val="nil"/>
            </w:tcBorders>
          </w:tcPr>
          <w:p w:rsidR="00923645" w:rsidRPr="006325C2" w:rsidRDefault="00923645" w:rsidP="0030430A">
            <w:pPr>
              <w:spacing w:before="60" w:line="288" w:lineRule="auto"/>
            </w:pPr>
          </w:p>
        </w:tc>
        <w:tc>
          <w:tcPr>
            <w:tcW w:w="973" w:type="pct"/>
            <w:tcBorders>
              <w:top w:val="nil"/>
              <w:bottom w:val="nil"/>
            </w:tcBorders>
          </w:tcPr>
          <w:p w:rsidR="00923645" w:rsidRPr="006325C2" w:rsidRDefault="00923645" w:rsidP="0030430A">
            <w:pPr>
              <w:spacing w:before="60" w:line="288" w:lineRule="auto"/>
            </w:pP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&lt;500 or &lt;600</w:t>
            </w:r>
          </w:p>
        </w:tc>
        <w:tc>
          <w:tcPr>
            <w:tcW w:w="970" w:type="pct"/>
            <w:tcBorders>
              <w:top w:val="nil"/>
              <w:bottom w:val="nil"/>
            </w:tcBorders>
          </w:tcPr>
          <w:p w:rsidR="00923645" w:rsidRPr="006325C2" w:rsidRDefault="00923645" w:rsidP="0030430A">
            <w:pPr>
              <w:spacing w:before="60" w:line="288" w:lineRule="auto"/>
              <w:jc w:val="right"/>
            </w:pPr>
            <w:r w:rsidRPr="006325C2">
              <w:t>785 / 1,082</w:t>
            </w:r>
          </w:p>
        </w:tc>
        <w:tc>
          <w:tcPr>
            <w:tcW w:w="1016" w:type="pct"/>
            <w:tcBorders>
              <w:top w:val="nil"/>
              <w:bottom w:val="nil"/>
            </w:tcBorders>
          </w:tcPr>
          <w:p w:rsidR="00923645" w:rsidRPr="006325C2" w:rsidRDefault="00923645" w:rsidP="0030430A">
            <w:pPr>
              <w:spacing w:before="60" w:line="288" w:lineRule="auto"/>
            </w:pPr>
            <w:r w:rsidRPr="006325C2">
              <w:t>1.12 (1.01, 1.25)</w:t>
            </w:r>
          </w:p>
        </w:tc>
        <w:tc>
          <w:tcPr>
            <w:tcW w:w="973" w:type="pct"/>
            <w:tcBorders>
              <w:top w:val="nil"/>
              <w:bottom w:val="nil"/>
            </w:tcBorders>
          </w:tcPr>
          <w:p w:rsidR="00923645" w:rsidRPr="006325C2" w:rsidRDefault="00923645" w:rsidP="0030430A">
            <w:pPr>
              <w:spacing w:before="60" w:line="288" w:lineRule="auto"/>
            </w:pPr>
            <w:r w:rsidRPr="006325C2">
              <w:t>1.12 (1.01, 1.25)</w:t>
            </w: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 xml:space="preserve">500-800 or 600-1000 </w:t>
            </w:r>
          </w:p>
        </w:tc>
        <w:tc>
          <w:tcPr>
            <w:tcW w:w="970" w:type="pct"/>
            <w:tcBorders>
              <w:top w:val="nil"/>
              <w:bottom w:val="nil"/>
            </w:tcBorders>
          </w:tcPr>
          <w:p w:rsidR="00923645" w:rsidRPr="006325C2" w:rsidRDefault="00923645" w:rsidP="0030430A">
            <w:pPr>
              <w:spacing w:before="60" w:line="288" w:lineRule="auto"/>
              <w:jc w:val="right"/>
            </w:pPr>
            <w:r w:rsidRPr="006325C2">
              <w:t>1,879 / 2,655</w:t>
            </w:r>
          </w:p>
        </w:tc>
        <w:tc>
          <w:tcPr>
            <w:tcW w:w="1016" w:type="pct"/>
            <w:tcBorders>
              <w:top w:val="nil"/>
              <w:bottom w:val="nil"/>
            </w:tcBorders>
          </w:tcPr>
          <w:p w:rsidR="00923645" w:rsidRPr="006325C2" w:rsidRDefault="00923645" w:rsidP="0030430A">
            <w:pPr>
              <w:spacing w:before="60" w:line="288" w:lineRule="auto"/>
            </w:pPr>
            <w:r w:rsidRPr="006325C2">
              <w:t>1.07 (0.99, 1.16)</w:t>
            </w:r>
          </w:p>
        </w:tc>
        <w:tc>
          <w:tcPr>
            <w:tcW w:w="973" w:type="pct"/>
            <w:tcBorders>
              <w:top w:val="nil"/>
              <w:bottom w:val="nil"/>
            </w:tcBorders>
          </w:tcPr>
          <w:p w:rsidR="00923645" w:rsidRPr="006325C2" w:rsidRDefault="00923645" w:rsidP="0030430A">
            <w:pPr>
              <w:spacing w:before="60" w:line="288" w:lineRule="auto"/>
            </w:pPr>
            <w:r w:rsidRPr="006325C2">
              <w:t>1.05 (0.97, 1.14)</w:t>
            </w: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800-1000 or 1000-1200</w:t>
            </w:r>
          </w:p>
        </w:tc>
        <w:tc>
          <w:tcPr>
            <w:tcW w:w="970" w:type="pct"/>
            <w:tcBorders>
              <w:top w:val="nil"/>
              <w:bottom w:val="nil"/>
            </w:tcBorders>
          </w:tcPr>
          <w:p w:rsidR="00923645" w:rsidRPr="006325C2" w:rsidRDefault="00923645" w:rsidP="0030430A">
            <w:pPr>
              <w:spacing w:before="60" w:line="288" w:lineRule="auto"/>
              <w:jc w:val="right"/>
            </w:pPr>
            <w:r w:rsidRPr="006325C2">
              <w:t>919 / 1,296</w:t>
            </w:r>
          </w:p>
        </w:tc>
        <w:tc>
          <w:tcPr>
            <w:tcW w:w="1016" w:type="pct"/>
            <w:tcBorders>
              <w:top w:val="nil"/>
              <w:bottom w:val="nil"/>
            </w:tcBorders>
          </w:tcPr>
          <w:p w:rsidR="00923645" w:rsidRPr="006325C2" w:rsidRDefault="00923645" w:rsidP="0030430A">
            <w:pPr>
              <w:spacing w:before="60" w:line="288" w:lineRule="auto"/>
            </w:pPr>
            <w:r w:rsidRPr="006325C2">
              <w:t>1.00 (ref)</w:t>
            </w:r>
          </w:p>
        </w:tc>
        <w:tc>
          <w:tcPr>
            <w:tcW w:w="973" w:type="pct"/>
            <w:tcBorders>
              <w:top w:val="nil"/>
              <w:bottom w:val="nil"/>
            </w:tcBorders>
          </w:tcPr>
          <w:p w:rsidR="00923645" w:rsidRPr="006325C2" w:rsidRDefault="00923645" w:rsidP="0030430A">
            <w:pPr>
              <w:spacing w:before="60" w:line="288" w:lineRule="auto"/>
            </w:pPr>
            <w:r w:rsidRPr="006325C2">
              <w:t>1.00 (ref)</w:t>
            </w: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1000-1500 or 1200-1800</w:t>
            </w:r>
          </w:p>
        </w:tc>
        <w:tc>
          <w:tcPr>
            <w:tcW w:w="970" w:type="pct"/>
            <w:tcBorders>
              <w:top w:val="nil"/>
              <w:bottom w:val="nil"/>
            </w:tcBorders>
          </w:tcPr>
          <w:p w:rsidR="00923645" w:rsidRPr="006325C2" w:rsidRDefault="00923645" w:rsidP="0030430A">
            <w:pPr>
              <w:spacing w:before="60" w:line="288" w:lineRule="auto"/>
              <w:jc w:val="right"/>
            </w:pPr>
            <w:r w:rsidRPr="006325C2">
              <w:t>1,064 / 1,479</w:t>
            </w:r>
          </w:p>
        </w:tc>
        <w:tc>
          <w:tcPr>
            <w:tcW w:w="1016" w:type="pct"/>
            <w:tcBorders>
              <w:top w:val="nil"/>
              <w:bottom w:val="nil"/>
            </w:tcBorders>
          </w:tcPr>
          <w:p w:rsidR="00923645" w:rsidRPr="006325C2" w:rsidRDefault="00923645" w:rsidP="0030430A">
            <w:pPr>
              <w:spacing w:before="60" w:line="288" w:lineRule="auto"/>
            </w:pPr>
            <w:r w:rsidRPr="006325C2">
              <w:t>1.00 (0.92, 1.10)</w:t>
            </w:r>
          </w:p>
        </w:tc>
        <w:tc>
          <w:tcPr>
            <w:tcW w:w="973" w:type="pct"/>
            <w:tcBorders>
              <w:top w:val="nil"/>
              <w:bottom w:val="nil"/>
            </w:tcBorders>
          </w:tcPr>
          <w:p w:rsidR="00923645" w:rsidRPr="006325C2" w:rsidRDefault="00923645" w:rsidP="0030430A">
            <w:pPr>
              <w:spacing w:before="60" w:line="288" w:lineRule="auto"/>
            </w:pPr>
            <w:r w:rsidRPr="006325C2">
              <w:t>1.04 (0.95, 1.14)</w:t>
            </w:r>
          </w:p>
        </w:tc>
      </w:tr>
      <w:tr w:rsidR="00923645" w:rsidRPr="006325C2" w:rsidTr="001A4117">
        <w:tc>
          <w:tcPr>
            <w:tcW w:w="2041" w:type="pct"/>
            <w:tcBorders>
              <w:top w:val="nil"/>
              <w:bottom w:val="single" w:sz="4" w:space="0" w:color="auto"/>
            </w:tcBorders>
            <w:vAlign w:val="center"/>
          </w:tcPr>
          <w:p w:rsidR="00923645" w:rsidRPr="006325C2" w:rsidRDefault="00923645" w:rsidP="00DD4FF7">
            <w:pPr>
              <w:spacing w:before="60" w:line="288" w:lineRule="auto"/>
              <w:ind w:left="180"/>
            </w:pPr>
            <w:r w:rsidRPr="006325C2">
              <w:t>&gt;1500 or &gt;1800</w:t>
            </w:r>
          </w:p>
        </w:tc>
        <w:tc>
          <w:tcPr>
            <w:tcW w:w="970" w:type="pct"/>
            <w:tcBorders>
              <w:top w:val="nil"/>
              <w:bottom w:val="single" w:sz="4" w:space="0" w:color="auto"/>
            </w:tcBorders>
          </w:tcPr>
          <w:p w:rsidR="00923645" w:rsidRPr="006325C2" w:rsidRDefault="00923645" w:rsidP="0030430A">
            <w:pPr>
              <w:spacing w:before="60" w:line="288" w:lineRule="auto"/>
              <w:jc w:val="right"/>
            </w:pPr>
            <w:r w:rsidRPr="006325C2">
              <w:t>351 / 463</w:t>
            </w:r>
          </w:p>
        </w:tc>
        <w:tc>
          <w:tcPr>
            <w:tcW w:w="1016" w:type="pct"/>
            <w:tcBorders>
              <w:top w:val="nil"/>
              <w:bottom w:val="single" w:sz="4" w:space="0" w:color="auto"/>
            </w:tcBorders>
          </w:tcPr>
          <w:p w:rsidR="00923645" w:rsidRPr="006325C2" w:rsidRDefault="00923645" w:rsidP="0030430A">
            <w:pPr>
              <w:spacing w:before="60" w:line="288" w:lineRule="auto"/>
            </w:pPr>
            <w:r w:rsidRPr="006325C2">
              <w:t>1.02 (0.90, 1.16)</w:t>
            </w:r>
          </w:p>
        </w:tc>
        <w:tc>
          <w:tcPr>
            <w:tcW w:w="973" w:type="pct"/>
            <w:tcBorders>
              <w:top w:val="nil"/>
              <w:bottom w:val="single" w:sz="4" w:space="0" w:color="auto"/>
            </w:tcBorders>
          </w:tcPr>
          <w:p w:rsidR="00923645" w:rsidRPr="006325C2" w:rsidRDefault="00923645" w:rsidP="0030430A">
            <w:pPr>
              <w:spacing w:before="60" w:line="288" w:lineRule="auto"/>
            </w:pPr>
            <w:r w:rsidRPr="006325C2">
              <w:t>1.09 (0.96, 1.23)</w:t>
            </w:r>
          </w:p>
        </w:tc>
      </w:tr>
      <w:tr w:rsidR="00923645" w:rsidRPr="006325C2" w:rsidTr="001A4117">
        <w:tc>
          <w:tcPr>
            <w:tcW w:w="2041" w:type="pct"/>
            <w:tcBorders>
              <w:top w:val="single" w:sz="4" w:space="0" w:color="auto"/>
              <w:bottom w:val="nil"/>
            </w:tcBorders>
            <w:vAlign w:val="center"/>
          </w:tcPr>
          <w:p w:rsidR="00923645" w:rsidRPr="006325C2" w:rsidRDefault="00923645" w:rsidP="0030430A">
            <w:pPr>
              <w:spacing w:before="60" w:line="288" w:lineRule="auto"/>
            </w:pPr>
            <w:r w:rsidRPr="006325C2">
              <w:t>Localized stage cases</w:t>
            </w:r>
          </w:p>
        </w:tc>
        <w:tc>
          <w:tcPr>
            <w:tcW w:w="970" w:type="pct"/>
            <w:tcBorders>
              <w:top w:val="single" w:sz="4" w:space="0" w:color="auto"/>
              <w:bottom w:val="nil"/>
            </w:tcBorders>
            <w:vAlign w:val="center"/>
          </w:tcPr>
          <w:p w:rsidR="00923645" w:rsidRPr="006325C2" w:rsidRDefault="00923645" w:rsidP="0030430A">
            <w:pPr>
              <w:spacing w:before="60" w:line="288" w:lineRule="auto"/>
              <w:jc w:val="right"/>
            </w:pPr>
          </w:p>
        </w:tc>
        <w:tc>
          <w:tcPr>
            <w:tcW w:w="1016" w:type="pct"/>
            <w:tcBorders>
              <w:top w:val="single" w:sz="4" w:space="0" w:color="auto"/>
              <w:bottom w:val="nil"/>
            </w:tcBorders>
            <w:vAlign w:val="center"/>
          </w:tcPr>
          <w:p w:rsidR="00923645" w:rsidRPr="006325C2" w:rsidRDefault="00923645" w:rsidP="0030430A">
            <w:pPr>
              <w:spacing w:before="60" w:line="288" w:lineRule="auto"/>
            </w:pPr>
          </w:p>
        </w:tc>
        <w:tc>
          <w:tcPr>
            <w:tcW w:w="973" w:type="pct"/>
            <w:tcBorders>
              <w:top w:val="single" w:sz="4" w:space="0" w:color="auto"/>
              <w:bottom w:val="nil"/>
            </w:tcBorders>
            <w:vAlign w:val="center"/>
          </w:tcPr>
          <w:p w:rsidR="00923645" w:rsidRPr="006325C2" w:rsidRDefault="00923645" w:rsidP="0030430A">
            <w:pPr>
              <w:spacing w:before="60" w:line="288" w:lineRule="auto"/>
            </w:pP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&lt;500 or &lt;600</w:t>
            </w:r>
          </w:p>
        </w:tc>
        <w:tc>
          <w:tcPr>
            <w:tcW w:w="970" w:type="pct"/>
            <w:tcBorders>
              <w:top w:val="nil"/>
              <w:bottom w:val="nil"/>
            </w:tcBorders>
            <w:vAlign w:val="center"/>
          </w:tcPr>
          <w:p w:rsidR="00923645" w:rsidRPr="006325C2" w:rsidRDefault="00923645" w:rsidP="0030430A">
            <w:pPr>
              <w:spacing w:before="60" w:line="288" w:lineRule="auto"/>
              <w:jc w:val="right"/>
            </w:pPr>
            <w:r w:rsidRPr="006325C2">
              <w:t>293 / 579</w:t>
            </w:r>
          </w:p>
        </w:tc>
        <w:tc>
          <w:tcPr>
            <w:tcW w:w="1016" w:type="pct"/>
            <w:tcBorders>
              <w:top w:val="nil"/>
              <w:bottom w:val="nil"/>
            </w:tcBorders>
            <w:vAlign w:val="center"/>
          </w:tcPr>
          <w:p w:rsidR="00923645" w:rsidRPr="006325C2" w:rsidRDefault="00923645" w:rsidP="0030430A">
            <w:pPr>
              <w:spacing w:before="60" w:line="288" w:lineRule="auto"/>
            </w:pPr>
            <w:r w:rsidRPr="006325C2">
              <w:t>1.28 (1.07, 1.52)</w:t>
            </w:r>
          </w:p>
        </w:tc>
        <w:tc>
          <w:tcPr>
            <w:tcW w:w="973" w:type="pct"/>
            <w:tcBorders>
              <w:top w:val="nil"/>
              <w:bottom w:val="nil"/>
            </w:tcBorders>
            <w:vAlign w:val="center"/>
          </w:tcPr>
          <w:p w:rsidR="00923645" w:rsidRPr="006325C2" w:rsidRDefault="00923645" w:rsidP="00082E4A">
            <w:pPr>
              <w:spacing w:before="60" w:line="288" w:lineRule="auto"/>
            </w:pPr>
            <w:r w:rsidRPr="006325C2">
              <w:t>1.16 (0.97, 1.40)</w:t>
            </w: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 xml:space="preserve">500-800 or 600-1000 </w:t>
            </w:r>
          </w:p>
        </w:tc>
        <w:tc>
          <w:tcPr>
            <w:tcW w:w="970" w:type="pct"/>
            <w:tcBorders>
              <w:top w:val="nil"/>
              <w:bottom w:val="nil"/>
            </w:tcBorders>
            <w:vAlign w:val="center"/>
          </w:tcPr>
          <w:p w:rsidR="00923645" w:rsidRPr="006325C2" w:rsidRDefault="00923645" w:rsidP="0030430A">
            <w:pPr>
              <w:spacing w:before="60" w:line="288" w:lineRule="auto"/>
              <w:jc w:val="right"/>
            </w:pPr>
            <w:r w:rsidRPr="006325C2">
              <w:t>696 / 1,346</w:t>
            </w:r>
          </w:p>
        </w:tc>
        <w:tc>
          <w:tcPr>
            <w:tcW w:w="1016" w:type="pct"/>
            <w:tcBorders>
              <w:top w:val="nil"/>
              <w:bottom w:val="nil"/>
            </w:tcBorders>
          </w:tcPr>
          <w:p w:rsidR="00923645" w:rsidRPr="006325C2" w:rsidRDefault="00923645" w:rsidP="0030430A">
            <w:pPr>
              <w:spacing w:before="60" w:line="288" w:lineRule="auto"/>
            </w:pPr>
            <w:r w:rsidRPr="006325C2">
              <w:t>1.15 (1.00, 1.33)</w:t>
            </w:r>
          </w:p>
        </w:tc>
        <w:tc>
          <w:tcPr>
            <w:tcW w:w="973" w:type="pct"/>
            <w:tcBorders>
              <w:top w:val="nil"/>
              <w:bottom w:val="nil"/>
            </w:tcBorders>
          </w:tcPr>
          <w:p w:rsidR="00923645" w:rsidRPr="006325C2" w:rsidRDefault="00923645" w:rsidP="0030430A">
            <w:pPr>
              <w:spacing w:before="60" w:line="288" w:lineRule="auto"/>
            </w:pPr>
            <w:r w:rsidRPr="006325C2">
              <w:t>1.12 (0.97, 1.29)</w:t>
            </w: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800-1000 or 1000-1200</w:t>
            </w:r>
          </w:p>
        </w:tc>
        <w:tc>
          <w:tcPr>
            <w:tcW w:w="970" w:type="pct"/>
            <w:tcBorders>
              <w:top w:val="nil"/>
              <w:bottom w:val="nil"/>
            </w:tcBorders>
            <w:vAlign w:val="center"/>
          </w:tcPr>
          <w:p w:rsidR="00923645" w:rsidRPr="006325C2" w:rsidRDefault="00923645" w:rsidP="0030430A">
            <w:pPr>
              <w:spacing w:before="60" w:line="288" w:lineRule="auto"/>
              <w:jc w:val="right"/>
            </w:pPr>
            <w:r w:rsidRPr="006325C2">
              <w:t>304 / 604</w:t>
            </w:r>
          </w:p>
        </w:tc>
        <w:tc>
          <w:tcPr>
            <w:tcW w:w="1016" w:type="pct"/>
            <w:tcBorders>
              <w:top w:val="nil"/>
              <w:bottom w:val="nil"/>
            </w:tcBorders>
          </w:tcPr>
          <w:p w:rsidR="00923645" w:rsidRPr="006325C2" w:rsidRDefault="00923645" w:rsidP="0030430A">
            <w:pPr>
              <w:spacing w:before="60" w:line="288" w:lineRule="auto"/>
            </w:pPr>
            <w:r w:rsidRPr="006325C2">
              <w:t>1.00 (ref)</w:t>
            </w:r>
          </w:p>
        </w:tc>
        <w:tc>
          <w:tcPr>
            <w:tcW w:w="973" w:type="pct"/>
            <w:tcBorders>
              <w:top w:val="nil"/>
              <w:bottom w:val="nil"/>
            </w:tcBorders>
          </w:tcPr>
          <w:p w:rsidR="00923645" w:rsidRPr="006325C2" w:rsidRDefault="00923645" w:rsidP="0030430A">
            <w:pPr>
              <w:spacing w:before="60" w:line="288" w:lineRule="auto"/>
            </w:pPr>
            <w:r w:rsidRPr="006325C2">
              <w:t>1.00 (ref)</w:t>
            </w: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1000-1500 or 1200-1800</w:t>
            </w:r>
          </w:p>
        </w:tc>
        <w:tc>
          <w:tcPr>
            <w:tcW w:w="970" w:type="pct"/>
            <w:tcBorders>
              <w:top w:val="nil"/>
              <w:bottom w:val="nil"/>
            </w:tcBorders>
            <w:vAlign w:val="center"/>
          </w:tcPr>
          <w:p w:rsidR="00923645" w:rsidRPr="006325C2" w:rsidRDefault="00923645" w:rsidP="0030430A">
            <w:pPr>
              <w:spacing w:before="60" w:line="288" w:lineRule="auto"/>
              <w:jc w:val="right"/>
            </w:pPr>
            <w:r w:rsidRPr="006325C2">
              <w:t>405 / 739</w:t>
            </w:r>
          </w:p>
        </w:tc>
        <w:tc>
          <w:tcPr>
            <w:tcW w:w="1016" w:type="pct"/>
            <w:tcBorders>
              <w:top w:val="nil"/>
              <w:bottom w:val="nil"/>
            </w:tcBorders>
            <w:vAlign w:val="center"/>
          </w:tcPr>
          <w:p w:rsidR="00923645" w:rsidRPr="006325C2" w:rsidRDefault="00923645" w:rsidP="0030430A">
            <w:pPr>
              <w:spacing w:before="60" w:line="288" w:lineRule="auto"/>
            </w:pPr>
            <w:r w:rsidRPr="006325C2">
              <w:t>1.06 (0.91, 1.23)</w:t>
            </w:r>
          </w:p>
        </w:tc>
        <w:tc>
          <w:tcPr>
            <w:tcW w:w="973" w:type="pct"/>
            <w:tcBorders>
              <w:top w:val="nil"/>
              <w:bottom w:val="nil"/>
            </w:tcBorders>
            <w:vAlign w:val="center"/>
          </w:tcPr>
          <w:p w:rsidR="00923645" w:rsidRPr="006325C2" w:rsidRDefault="00923645" w:rsidP="0030430A">
            <w:pPr>
              <w:spacing w:before="60" w:line="288" w:lineRule="auto"/>
            </w:pPr>
            <w:r w:rsidRPr="006325C2">
              <w:t>1.10 (0.95, 1.28)</w:t>
            </w: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&gt;1500 or &gt;1800</w:t>
            </w:r>
          </w:p>
        </w:tc>
        <w:tc>
          <w:tcPr>
            <w:tcW w:w="970" w:type="pct"/>
            <w:tcBorders>
              <w:top w:val="nil"/>
              <w:bottom w:val="nil"/>
            </w:tcBorders>
            <w:vAlign w:val="center"/>
          </w:tcPr>
          <w:p w:rsidR="00923645" w:rsidRPr="006325C2" w:rsidRDefault="00923645" w:rsidP="0030430A">
            <w:pPr>
              <w:spacing w:before="60" w:line="288" w:lineRule="auto"/>
              <w:jc w:val="right"/>
            </w:pPr>
            <w:r w:rsidRPr="006325C2">
              <w:t>125 / 221</w:t>
            </w:r>
          </w:p>
        </w:tc>
        <w:tc>
          <w:tcPr>
            <w:tcW w:w="1016" w:type="pct"/>
            <w:tcBorders>
              <w:top w:val="nil"/>
              <w:bottom w:val="nil"/>
            </w:tcBorders>
            <w:vAlign w:val="center"/>
          </w:tcPr>
          <w:p w:rsidR="00923645" w:rsidRPr="006325C2" w:rsidRDefault="00923645" w:rsidP="0030430A">
            <w:pPr>
              <w:spacing w:before="60" w:line="288" w:lineRule="auto"/>
            </w:pPr>
            <w:r w:rsidRPr="006325C2">
              <w:t>0.94 (0.76, 1.16)</w:t>
            </w:r>
          </w:p>
        </w:tc>
        <w:tc>
          <w:tcPr>
            <w:tcW w:w="973" w:type="pct"/>
            <w:tcBorders>
              <w:top w:val="nil"/>
              <w:bottom w:val="nil"/>
            </w:tcBorders>
            <w:vAlign w:val="center"/>
          </w:tcPr>
          <w:p w:rsidR="00923645" w:rsidRPr="006325C2" w:rsidRDefault="00923645" w:rsidP="0030430A">
            <w:pPr>
              <w:spacing w:before="60" w:line="288" w:lineRule="auto"/>
            </w:pPr>
            <w:r w:rsidRPr="006325C2">
              <w:t>0.97 (0.78, 1.20)</w:t>
            </w:r>
          </w:p>
        </w:tc>
      </w:tr>
      <w:tr w:rsidR="00923645" w:rsidRPr="006325C2" w:rsidTr="001A4117">
        <w:tc>
          <w:tcPr>
            <w:tcW w:w="2041" w:type="pct"/>
            <w:tcBorders>
              <w:top w:val="nil"/>
              <w:bottom w:val="nil"/>
            </w:tcBorders>
            <w:vAlign w:val="center"/>
          </w:tcPr>
          <w:p w:rsidR="00923645" w:rsidRPr="006325C2" w:rsidRDefault="00923645" w:rsidP="0030430A">
            <w:pPr>
              <w:spacing w:before="60" w:line="288" w:lineRule="auto"/>
            </w:pPr>
            <w:r w:rsidRPr="006325C2">
              <w:t>Regional stage cases</w:t>
            </w:r>
          </w:p>
        </w:tc>
        <w:tc>
          <w:tcPr>
            <w:tcW w:w="970" w:type="pct"/>
            <w:tcBorders>
              <w:top w:val="nil"/>
              <w:bottom w:val="nil"/>
            </w:tcBorders>
            <w:vAlign w:val="center"/>
          </w:tcPr>
          <w:p w:rsidR="00923645" w:rsidRPr="006325C2" w:rsidRDefault="00923645" w:rsidP="0030430A">
            <w:pPr>
              <w:spacing w:before="60" w:line="288" w:lineRule="auto"/>
              <w:jc w:val="right"/>
            </w:pPr>
          </w:p>
        </w:tc>
        <w:tc>
          <w:tcPr>
            <w:tcW w:w="1016" w:type="pct"/>
            <w:tcBorders>
              <w:top w:val="nil"/>
              <w:bottom w:val="nil"/>
            </w:tcBorders>
            <w:vAlign w:val="center"/>
          </w:tcPr>
          <w:p w:rsidR="00923645" w:rsidRPr="006325C2" w:rsidRDefault="00923645" w:rsidP="0030430A">
            <w:pPr>
              <w:spacing w:before="60" w:line="288" w:lineRule="auto"/>
            </w:pPr>
          </w:p>
        </w:tc>
        <w:tc>
          <w:tcPr>
            <w:tcW w:w="973" w:type="pct"/>
            <w:tcBorders>
              <w:top w:val="nil"/>
              <w:bottom w:val="nil"/>
            </w:tcBorders>
            <w:vAlign w:val="center"/>
          </w:tcPr>
          <w:p w:rsidR="00923645" w:rsidRPr="006325C2" w:rsidRDefault="00923645" w:rsidP="0030430A">
            <w:pPr>
              <w:spacing w:before="60" w:line="288" w:lineRule="auto"/>
            </w:pP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&lt;500 or &lt;600</w:t>
            </w:r>
          </w:p>
        </w:tc>
        <w:tc>
          <w:tcPr>
            <w:tcW w:w="970" w:type="pct"/>
            <w:tcBorders>
              <w:top w:val="nil"/>
              <w:bottom w:val="nil"/>
            </w:tcBorders>
            <w:vAlign w:val="center"/>
          </w:tcPr>
          <w:p w:rsidR="00923645" w:rsidRPr="006325C2" w:rsidRDefault="00923645" w:rsidP="0030430A">
            <w:pPr>
              <w:spacing w:before="60" w:line="288" w:lineRule="auto"/>
              <w:jc w:val="right"/>
            </w:pPr>
            <w:r w:rsidRPr="006325C2">
              <w:t>635 / 763</w:t>
            </w:r>
          </w:p>
        </w:tc>
        <w:tc>
          <w:tcPr>
            <w:tcW w:w="1016" w:type="pct"/>
            <w:tcBorders>
              <w:top w:val="nil"/>
              <w:bottom w:val="nil"/>
            </w:tcBorders>
            <w:vAlign w:val="center"/>
          </w:tcPr>
          <w:p w:rsidR="00923645" w:rsidRPr="006325C2" w:rsidRDefault="00923645" w:rsidP="0030430A">
            <w:pPr>
              <w:spacing w:before="60" w:line="288" w:lineRule="auto"/>
            </w:pPr>
            <w:r w:rsidRPr="006325C2">
              <w:t>1.11 (0.98, 1.25)</w:t>
            </w:r>
          </w:p>
        </w:tc>
        <w:tc>
          <w:tcPr>
            <w:tcW w:w="973" w:type="pct"/>
            <w:tcBorders>
              <w:top w:val="nil"/>
              <w:bottom w:val="nil"/>
            </w:tcBorders>
            <w:vAlign w:val="center"/>
          </w:tcPr>
          <w:p w:rsidR="00923645" w:rsidRPr="006325C2" w:rsidRDefault="00923645" w:rsidP="0030430A">
            <w:pPr>
              <w:spacing w:before="60" w:line="288" w:lineRule="auto"/>
            </w:pPr>
            <w:r w:rsidRPr="006325C2">
              <w:t>1.10 (0.97, 1.25)</w:t>
            </w: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 xml:space="preserve">500-800 or 600-1000 </w:t>
            </w:r>
          </w:p>
        </w:tc>
        <w:tc>
          <w:tcPr>
            <w:tcW w:w="970" w:type="pct"/>
            <w:tcBorders>
              <w:top w:val="nil"/>
              <w:bottom w:val="nil"/>
            </w:tcBorders>
            <w:vAlign w:val="center"/>
          </w:tcPr>
          <w:p w:rsidR="00923645" w:rsidRPr="006325C2" w:rsidRDefault="00923645" w:rsidP="0030430A">
            <w:pPr>
              <w:spacing w:before="60" w:line="288" w:lineRule="auto"/>
              <w:jc w:val="right"/>
            </w:pPr>
            <w:r w:rsidRPr="006325C2">
              <w:t>1,387 / 1,719</w:t>
            </w:r>
          </w:p>
        </w:tc>
        <w:tc>
          <w:tcPr>
            <w:tcW w:w="1016" w:type="pct"/>
            <w:tcBorders>
              <w:top w:val="nil"/>
              <w:bottom w:val="nil"/>
            </w:tcBorders>
          </w:tcPr>
          <w:p w:rsidR="00923645" w:rsidRPr="006325C2" w:rsidRDefault="00923645" w:rsidP="0030430A">
            <w:pPr>
              <w:spacing w:before="60" w:line="288" w:lineRule="auto"/>
            </w:pPr>
            <w:r w:rsidRPr="006325C2">
              <w:t>1.01 (0.92, 1.11)</w:t>
            </w:r>
          </w:p>
        </w:tc>
        <w:tc>
          <w:tcPr>
            <w:tcW w:w="973" w:type="pct"/>
            <w:tcBorders>
              <w:top w:val="nil"/>
              <w:bottom w:val="nil"/>
            </w:tcBorders>
          </w:tcPr>
          <w:p w:rsidR="00923645" w:rsidRPr="006325C2" w:rsidRDefault="00923645" w:rsidP="0030430A">
            <w:pPr>
              <w:spacing w:before="60" w:line="288" w:lineRule="auto"/>
            </w:pPr>
            <w:r w:rsidRPr="006325C2">
              <w:t>1.02 (0.93, 1.12)</w:t>
            </w: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800-1000 or 1000-1200</w:t>
            </w:r>
          </w:p>
        </w:tc>
        <w:tc>
          <w:tcPr>
            <w:tcW w:w="970" w:type="pct"/>
            <w:tcBorders>
              <w:top w:val="nil"/>
              <w:bottom w:val="nil"/>
            </w:tcBorders>
            <w:vAlign w:val="center"/>
          </w:tcPr>
          <w:p w:rsidR="00923645" w:rsidRPr="006325C2" w:rsidRDefault="00923645" w:rsidP="0030430A">
            <w:pPr>
              <w:spacing w:before="60" w:line="288" w:lineRule="auto"/>
              <w:jc w:val="right"/>
            </w:pPr>
            <w:r w:rsidRPr="006325C2">
              <w:t>686 / 838</w:t>
            </w:r>
          </w:p>
        </w:tc>
        <w:tc>
          <w:tcPr>
            <w:tcW w:w="1016" w:type="pct"/>
            <w:tcBorders>
              <w:top w:val="nil"/>
              <w:bottom w:val="nil"/>
            </w:tcBorders>
          </w:tcPr>
          <w:p w:rsidR="00923645" w:rsidRPr="006325C2" w:rsidRDefault="00923645" w:rsidP="0030430A">
            <w:pPr>
              <w:spacing w:before="60" w:line="288" w:lineRule="auto"/>
            </w:pPr>
            <w:r w:rsidRPr="006325C2">
              <w:t>1.00 (ref)</w:t>
            </w:r>
          </w:p>
        </w:tc>
        <w:tc>
          <w:tcPr>
            <w:tcW w:w="973" w:type="pct"/>
            <w:tcBorders>
              <w:top w:val="nil"/>
              <w:bottom w:val="nil"/>
            </w:tcBorders>
          </w:tcPr>
          <w:p w:rsidR="00923645" w:rsidRPr="006325C2" w:rsidRDefault="00923645" w:rsidP="0030430A">
            <w:pPr>
              <w:spacing w:before="60" w:line="288" w:lineRule="auto"/>
            </w:pPr>
            <w:r w:rsidRPr="006325C2">
              <w:t>1.00 (ref)</w:t>
            </w:r>
          </w:p>
        </w:tc>
      </w:tr>
      <w:tr w:rsidR="00923645" w:rsidRPr="006325C2" w:rsidTr="001A4117">
        <w:tc>
          <w:tcPr>
            <w:tcW w:w="2041" w:type="pct"/>
            <w:tcBorders>
              <w:top w:val="nil"/>
              <w:bottom w:val="nil"/>
            </w:tcBorders>
            <w:vAlign w:val="center"/>
          </w:tcPr>
          <w:p w:rsidR="00923645" w:rsidRPr="006325C2" w:rsidRDefault="00923645" w:rsidP="00DD4FF7">
            <w:pPr>
              <w:spacing w:before="60" w:line="288" w:lineRule="auto"/>
              <w:ind w:left="180"/>
            </w:pPr>
            <w:r w:rsidRPr="006325C2">
              <w:t>1000-1500 or 1200-1800</w:t>
            </w:r>
          </w:p>
        </w:tc>
        <w:tc>
          <w:tcPr>
            <w:tcW w:w="970" w:type="pct"/>
            <w:tcBorders>
              <w:top w:val="nil"/>
              <w:bottom w:val="nil"/>
            </w:tcBorders>
            <w:vAlign w:val="center"/>
          </w:tcPr>
          <w:p w:rsidR="00923645" w:rsidRPr="006325C2" w:rsidRDefault="00923645" w:rsidP="0030430A">
            <w:pPr>
              <w:spacing w:before="60" w:line="288" w:lineRule="auto"/>
              <w:jc w:val="right"/>
            </w:pPr>
            <w:r w:rsidRPr="006325C2">
              <w:t>759 / 921</w:t>
            </w:r>
          </w:p>
        </w:tc>
        <w:tc>
          <w:tcPr>
            <w:tcW w:w="1016" w:type="pct"/>
            <w:tcBorders>
              <w:top w:val="nil"/>
              <w:bottom w:val="nil"/>
            </w:tcBorders>
            <w:vAlign w:val="center"/>
          </w:tcPr>
          <w:p w:rsidR="00923645" w:rsidRPr="006325C2" w:rsidRDefault="00923645" w:rsidP="0030430A">
            <w:pPr>
              <w:spacing w:before="60" w:line="288" w:lineRule="auto"/>
            </w:pPr>
            <w:r w:rsidRPr="006325C2">
              <w:t>0.99 (0.89, 1.10)</w:t>
            </w:r>
          </w:p>
        </w:tc>
        <w:tc>
          <w:tcPr>
            <w:tcW w:w="973" w:type="pct"/>
            <w:tcBorders>
              <w:top w:val="nil"/>
              <w:bottom w:val="nil"/>
            </w:tcBorders>
            <w:vAlign w:val="center"/>
          </w:tcPr>
          <w:p w:rsidR="00923645" w:rsidRPr="006325C2" w:rsidRDefault="00923645" w:rsidP="0030430A">
            <w:pPr>
              <w:spacing w:before="60" w:line="288" w:lineRule="auto"/>
            </w:pPr>
            <w:r w:rsidRPr="006325C2">
              <w:t>1.01 (0.90, 1.12)</w:t>
            </w:r>
          </w:p>
        </w:tc>
      </w:tr>
      <w:tr w:rsidR="00923645" w:rsidRPr="006325C2" w:rsidTr="001A4117">
        <w:tc>
          <w:tcPr>
            <w:tcW w:w="2041" w:type="pct"/>
            <w:tcBorders>
              <w:top w:val="nil"/>
              <w:bottom w:val="single" w:sz="4" w:space="0" w:color="auto"/>
            </w:tcBorders>
            <w:vAlign w:val="center"/>
          </w:tcPr>
          <w:p w:rsidR="00923645" w:rsidRPr="006325C2" w:rsidRDefault="00923645" w:rsidP="00DD4FF7">
            <w:pPr>
              <w:spacing w:before="60" w:line="288" w:lineRule="auto"/>
              <w:ind w:left="180"/>
            </w:pPr>
            <w:r w:rsidRPr="006325C2">
              <w:t>&gt;1500 or &gt;1800</w:t>
            </w:r>
          </w:p>
        </w:tc>
        <w:tc>
          <w:tcPr>
            <w:tcW w:w="970" w:type="pct"/>
            <w:tcBorders>
              <w:top w:val="nil"/>
              <w:bottom w:val="single" w:sz="4" w:space="0" w:color="auto"/>
            </w:tcBorders>
            <w:vAlign w:val="center"/>
          </w:tcPr>
          <w:p w:rsidR="00923645" w:rsidRPr="006325C2" w:rsidRDefault="00923645" w:rsidP="0030430A">
            <w:pPr>
              <w:spacing w:before="60" w:line="288" w:lineRule="auto"/>
              <w:jc w:val="right"/>
            </w:pPr>
            <w:r w:rsidRPr="006325C2">
              <w:t>246 / 283</w:t>
            </w:r>
          </w:p>
        </w:tc>
        <w:tc>
          <w:tcPr>
            <w:tcW w:w="1016" w:type="pct"/>
            <w:tcBorders>
              <w:top w:val="nil"/>
              <w:bottom w:val="single" w:sz="4" w:space="0" w:color="auto"/>
            </w:tcBorders>
            <w:vAlign w:val="center"/>
          </w:tcPr>
          <w:p w:rsidR="00923645" w:rsidRPr="006325C2" w:rsidRDefault="00923645" w:rsidP="0030430A">
            <w:pPr>
              <w:spacing w:before="60" w:line="288" w:lineRule="auto"/>
            </w:pPr>
            <w:r w:rsidRPr="006325C2">
              <w:t>1.09 (0.94, 1.27)</w:t>
            </w:r>
          </w:p>
        </w:tc>
        <w:tc>
          <w:tcPr>
            <w:tcW w:w="973" w:type="pct"/>
            <w:tcBorders>
              <w:top w:val="nil"/>
              <w:bottom w:val="single" w:sz="4" w:space="0" w:color="auto"/>
            </w:tcBorders>
            <w:vAlign w:val="center"/>
          </w:tcPr>
          <w:p w:rsidR="00923645" w:rsidRPr="006325C2" w:rsidRDefault="00923645" w:rsidP="0030430A">
            <w:pPr>
              <w:spacing w:before="60" w:line="288" w:lineRule="auto"/>
            </w:pPr>
            <w:r w:rsidRPr="006325C2">
              <w:t>1.11 (0.96, 1.29)</w:t>
            </w:r>
          </w:p>
        </w:tc>
      </w:tr>
    </w:tbl>
    <w:p w:rsidR="002537D1" w:rsidRPr="006325C2" w:rsidRDefault="002537D1" w:rsidP="00816678">
      <w:pPr>
        <w:spacing w:before="60" w:after="0" w:line="360" w:lineRule="auto"/>
      </w:pPr>
      <w:r w:rsidRPr="006325C2">
        <w:rPr>
          <w:vertAlign w:val="superscript"/>
        </w:rPr>
        <w:t>1</w:t>
      </w:r>
      <w:r w:rsidRPr="006325C2">
        <w:t xml:space="preserve"> The same covariates as shown in the footnote of Table 2. </w:t>
      </w:r>
      <w:r w:rsidR="00816678" w:rsidRPr="006325C2">
        <w:rPr>
          <w:i/>
        </w:rPr>
        <w:t>P</w:t>
      </w:r>
      <w:r w:rsidR="00816678" w:rsidRPr="006325C2">
        <w:t xml:space="preserve"> for interaction was 0.02 for calcium intake levels with sex, </w:t>
      </w:r>
      <w:r w:rsidR="0067347E" w:rsidRPr="006325C2">
        <w:t xml:space="preserve">0.68 with race/ethnicity, </w:t>
      </w:r>
      <w:r w:rsidR="00816678" w:rsidRPr="006325C2">
        <w:t>0.</w:t>
      </w:r>
      <w:r w:rsidR="001A4117" w:rsidRPr="006325C2">
        <w:t>70</w:t>
      </w:r>
      <w:r w:rsidR="00816678" w:rsidRPr="006325C2">
        <w:t xml:space="preserve"> with smoking </w:t>
      </w:r>
      <w:r w:rsidR="001A4117" w:rsidRPr="006325C2">
        <w:t>(never/ever)</w:t>
      </w:r>
      <w:r w:rsidR="00816678" w:rsidRPr="006325C2">
        <w:t xml:space="preserve">, </w:t>
      </w:r>
      <w:r w:rsidR="005A566E" w:rsidRPr="006325C2">
        <w:t xml:space="preserve">and </w:t>
      </w:r>
      <w:r w:rsidR="00816678" w:rsidRPr="006325C2">
        <w:t>0.4</w:t>
      </w:r>
      <w:r w:rsidR="001A4117" w:rsidRPr="006325C2">
        <w:t>7</w:t>
      </w:r>
      <w:r w:rsidR="00816678" w:rsidRPr="006325C2">
        <w:t xml:space="preserve"> with stage</w:t>
      </w:r>
      <w:r w:rsidR="001A4117" w:rsidRPr="006325C2">
        <w:t xml:space="preserve"> (localized/regional</w:t>
      </w:r>
      <w:r w:rsidR="005A566E" w:rsidRPr="006325C2">
        <w:t>)</w:t>
      </w:r>
      <w:r w:rsidR="00816678" w:rsidRPr="006325C2">
        <w:t>.</w:t>
      </w:r>
      <w:r w:rsidRPr="006325C2">
        <w:t xml:space="preserve"> </w:t>
      </w:r>
    </w:p>
    <w:p w:rsidR="009005F2" w:rsidRPr="006325C2" w:rsidRDefault="009005F2" w:rsidP="00434502">
      <w:pPr>
        <w:autoSpaceDE w:val="0"/>
        <w:autoSpaceDN w:val="0"/>
        <w:adjustRightInd w:val="0"/>
        <w:spacing w:before="60" w:after="0" w:line="480" w:lineRule="auto"/>
      </w:pPr>
    </w:p>
    <w:sectPr w:rsidR="009005F2" w:rsidRPr="006325C2" w:rsidSect="008E4C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CA9" w:rsidRDefault="00F41CA9" w:rsidP="00A91770">
      <w:pPr>
        <w:spacing w:after="0" w:line="240" w:lineRule="auto"/>
      </w:pPr>
      <w:r>
        <w:separator/>
      </w:r>
    </w:p>
  </w:endnote>
  <w:endnote w:type="continuationSeparator" w:id="0">
    <w:p w:rsidR="00F41CA9" w:rsidRDefault="00F41CA9" w:rsidP="00A9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558301"/>
      <w:docPartObj>
        <w:docPartGallery w:val="Page Numbers (Bottom of Page)"/>
        <w:docPartUnique/>
      </w:docPartObj>
    </w:sdtPr>
    <w:sdtEndPr>
      <w:rPr>
        <w:noProof/>
        <w:sz w:val="22"/>
      </w:rPr>
    </w:sdtEndPr>
    <w:sdtContent>
      <w:p w:rsidR="00772C0E" w:rsidRPr="00CA29C2" w:rsidRDefault="00772C0E">
        <w:pPr>
          <w:pStyle w:val="Footer"/>
          <w:jc w:val="center"/>
          <w:rPr>
            <w:sz w:val="22"/>
          </w:rPr>
        </w:pPr>
        <w:r w:rsidRPr="00CA29C2">
          <w:rPr>
            <w:sz w:val="22"/>
          </w:rPr>
          <w:fldChar w:fldCharType="begin"/>
        </w:r>
        <w:r w:rsidRPr="00CA29C2">
          <w:rPr>
            <w:sz w:val="22"/>
          </w:rPr>
          <w:instrText xml:space="preserve"> PAGE   \* MERGEFORMAT </w:instrText>
        </w:r>
        <w:r w:rsidRPr="00CA29C2">
          <w:rPr>
            <w:sz w:val="22"/>
          </w:rPr>
          <w:fldChar w:fldCharType="separate"/>
        </w:r>
        <w:r w:rsidR="00135D2A">
          <w:rPr>
            <w:noProof/>
            <w:sz w:val="22"/>
          </w:rPr>
          <w:t>4</w:t>
        </w:r>
        <w:r w:rsidRPr="00CA29C2">
          <w:rPr>
            <w:noProof/>
            <w:sz w:val="22"/>
          </w:rPr>
          <w:fldChar w:fldCharType="end"/>
        </w:r>
      </w:p>
    </w:sdtContent>
  </w:sdt>
  <w:p w:rsidR="00772C0E" w:rsidRDefault="00772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614351"/>
      <w:docPartObj>
        <w:docPartGallery w:val="Page Numbers (Bottom of Page)"/>
        <w:docPartUnique/>
      </w:docPartObj>
    </w:sdtPr>
    <w:sdtEndPr>
      <w:rPr>
        <w:noProof/>
        <w:sz w:val="22"/>
      </w:rPr>
    </w:sdtEndPr>
    <w:sdtContent>
      <w:p w:rsidR="00772C0E" w:rsidRPr="00CA29C2" w:rsidRDefault="00772C0E">
        <w:pPr>
          <w:pStyle w:val="Footer"/>
          <w:jc w:val="center"/>
          <w:rPr>
            <w:sz w:val="22"/>
          </w:rPr>
        </w:pPr>
        <w:r w:rsidRPr="00CA29C2">
          <w:rPr>
            <w:sz w:val="22"/>
          </w:rPr>
          <w:fldChar w:fldCharType="begin"/>
        </w:r>
        <w:r w:rsidRPr="00CA29C2">
          <w:rPr>
            <w:sz w:val="22"/>
          </w:rPr>
          <w:instrText xml:space="preserve"> PAGE   \* MERGEFORMAT </w:instrText>
        </w:r>
        <w:r w:rsidRPr="00CA29C2">
          <w:rPr>
            <w:sz w:val="22"/>
          </w:rPr>
          <w:fldChar w:fldCharType="separate"/>
        </w:r>
        <w:r w:rsidR="00135D2A">
          <w:rPr>
            <w:noProof/>
            <w:sz w:val="22"/>
          </w:rPr>
          <w:t>40</w:t>
        </w:r>
        <w:r w:rsidRPr="00CA29C2">
          <w:rPr>
            <w:noProof/>
            <w:sz w:val="22"/>
          </w:rPr>
          <w:fldChar w:fldCharType="end"/>
        </w:r>
      </w:p>
    </w:sdtContent>
  </w:sdt>
  <w:p w:rsidR="00772C0E" w:rsidRDefault="00772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CA9" w:rsidRDefault="00F41CA9" w:rsidP="00A91770">
      <w:pPr>
        <w:spacing w:after="0" w:line="240" w:lineRule="auto"/>
      </w:pPr>
      <w:r>
        <w:separator/>
      </w:r>
    </w:p>
  </w:footnote>
  <w:footnote w:type="continuationSeparator" w:id="0">
    <w:p w:rsidR="00F41CA9" w:rsidRDefault="00F41CA9" w:rsidP="00A91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5757"/>
    <w:multiLevelType w:val="hybridMultilevel"/>
    <w:tmpl w:val="EDC65B68"/>
    <w:lvl w:ilvl="0" w:tplc="C192A9EA">
      <w:start w:val="1"/>
      <w:numFmt w:val="bullet"/>
      <w:lvlText w:val=""/>
      <w:lvlJc w:val="left"/>
      <w:pPr>
        <w:ind w:left="540" w:hanging="360"/>
      </w:pPr>
      <w:rPr>
        <w:rFonts w:ascii="Wingdings" w:eastAsiaTheme="minorEastAsia"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D50480F"/>
    <w:multiLevelType w:val="hybridMultilevel"/>
    <w:tmpl w:val="5B2400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61330"/>
    <w:multiLevelType w:val="hybridMultilevel"/>
    <w:tmpl w:val="89FA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52DC8"/>
    <w:multiLevelType w:val="hybridMultilevel"/>
    <w:tmpl w:val="410C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11250"/>
    <w:multiLevelType w:val="hybridMultilevel"/>
    <w:tmpl w:val="98FC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35"/>
    <w:rsid w:val="000049A1"/>
    <w:rsid w:val="00014F64"/>
    <w:rsid w:val="000157AA"/>
    <w:rsid w:val="000161AB"/>
    <w:rsid w:val="0002246E"/>
    <w:rsid w:val="00022577"/>
    <w:rsid w:val="0002395C"/>
    <w:rsid w:val="00023AA8"/>
    <w:rsid w:val="00023CEA"/>
    <w:rsid w:val="00023EEB"/>
    <w:rsid w:val="000251EB"/>
    <w:rsid w:val="0002604E"/>
    <w:rsid w:val="000303DC"/>
    <w:rsid w:val="00031DBB"/>
    <w:rsid w:val="00033027"/>
    <w:rsid w:val="000358CF"/>
    <w:rsid w:val="00035DCE"/>
    <w:rsid w:val="00036810"/>
    <w:rsid w:val="00036E2A"/>
    <w:rsid w:val="00036FE2"/>
    <w:rsid w:val="00037839"/>
    <w:rsid w:val="0004026A"/>
    <w:rsid w:val="000416E8"/>
    <w:rsid w:val="00043073"/>
    <w:rsid w:val="00043D79"/>
    <w:rsid w:val="00044834"/>
    <w:rsid w:val="0004720A"/>
    <w:rsid w:val="00047407"/>
    <w:rsid w:val="000608FA"/>
    <w:rsid w:val="00060FF5"/>
    <w:rsid w:val="00063057"/>
    <w:rsid w:val="00066296"/>
    <w:rsid w:val="0007020E"/>
    <w:rsid w:val="00072766"/>
    <w:rsid w:val="00075E48"/>
    <w:rsid w:val="0008000A"/>
    <w:rsid w:val="00081F3E"/>
    <w:rsid w:val="00082E4A"/>
    <w:rsid w:val="00084FC0"/>
    <w:rsid w:val="00090B69"/>
    <w:rsid w:val="00092B89"/>
    <w:rsid w:val="000956CF"/>
    <w:rsid w:val="00095BBA"/>
    <w:rsid w:val="00095CA0"/>
    <w:rsid w:val="00095EE2"/>
    <w:rsid w:val="00096397"/>
    <w:rsid w:val="00096874"/>
    <w:rsid w:val="00096D6D"/>
    <w:rsid w:val="00096FF2"/>
    <w:rsid w:val="000A10AC"/>
    <w:rsid w:val="000A27F7"/>
    <w:rsid w:val="000A2A4C"/>
    <w:rsid w:val="000A2CED"/>
    <w:rsid w:val="000A2F12"/>
    <w:rsid w:val="000A2F94"/>
    <w:rsid w:val="000A3297"/>
    <w:rsid w:val="000B0E9C"/>
    <w:rsid w:val="000B1007"/>
    <w:rsid w:val="000B24EC"/>
    <w:rsid w:val="000B387B"/>
    <w:rsid w:val="000B626D"/>
    <w:rsid w:val="000B69A4"/>
    <w:rsid w:val="000C190C"/>
    <w:rsid w:val="000C1920"/>
    <w:rsid w:val="000C34C9"/>
    <w:rsid w:val="000C645F"/>
    <w:rsid w:val="000C7CA0"/>
    <w:rsid w:val="000D079B"/>
    <w:rsid w:val="000D224C"/>
    <w:rsid w:val="000D2687"/>
    <w:rsid w:val="000D3633"/>
    <w:rsid w:val="000D6F04"/>
    <w:rsid w:val="000D71F9"/>
    <w:rsid w:val="000E0AB5"/>
    <w:rsid w:val="000E2951"/>
    <w:rsid w:val="000E3004"/>
    <w:rsid w:val="000E7274"/>
    <w:rsid w:val="000F0C63"/>
    <w:rsid w:val="000F4AA4"/>
    <w:rsid w:val="000F5326"/>
    <w:rsid w:val="000F594B"/>
    <w:rsid w:val="000F5CC6"/>
    <w:rsid w:val="000F609D"/>
    <w:rsid w:val="000F7FE7"/>
    <w:rsid w:val="001033BA"/>
    <w:rsid w:val="00104740"/>
    <w:rsid w:val="00104744"/>
    <w:rsid w:val="00105290"/>
    <w:rsid w:val="001105B4"/>
    <w:rsid w:val="00111D44"/>
    <w:rsid w:val="00111DAC"/>
    <w:rsid w:val="00111FF5"/>
    <w:rsid w:val="001122E2"/>
    <w:rsid w:val="00112F24"/>
    <w:rsid w:val="001147ED"/>
    <w:rsid w:val="00126F7E"/>
    <w:rsid w:val="00127EF9"/>
    <w:rsid w:val="001303CD"/>
    <w:rsid w:val="00131DDF"/>
    <w:rsid w:val="00135D2A"/>
    <w:rsid w:val="0013691E"/>
    <w:rsid w:val="001372FE"/>
    <w:rsid w:val="0014773D"/>
    <w:rsid w:val="00152AB0"/>
    <w:rsid w:val="00152DBA"/>
    <w:rsid w:val="0015754C"/>
    <w:rsid w:val="00160212"/>
    <w:rsid w:val="00161AC1"/>
    <w:rsid w:val="0016299F"/>
    <w:rsid w:val="001654B7"/>
    <w:rsid w:val="001732E1"/>
    <w:rsid w:val="00175529"/>
    <w:rsid w:val="00176218"/>
    <w:rsid w:val="001769CE"/>
    <w:rsid w:val="00177BE7"/>
    <w:rsid w:val="00180B2E"/>
    <w:rsid w:val="001824F9"/>
    <w:rsid w:val="00183360"/>
    <w:rsid w:val="001845E7"/>
    <w:rsid w:val="00187EB1"/>
    <w:rsid w:val="00191699"/>
    <w:rsid w:val="00192697"/>
    <w:rsid w:val="001A3AD9"/>
    <w:rsid w:val="001A4117"/>
    <w:rsid w:val="001A43AC"/>
    <w:rsid w:val="001A4AF7"/>
    <w:rsid w:val="001A54C7"/>
    <w:rsid w:val="001A5B78"/>
    <w:rsid w:val="001B1C0D"/>
    <w:rsid w:val="001B49BA"/>
    <w:rsid w:val="001B570D"/>
    <w:rsid w:val="001B6319"/>
    <w:rsid w:val="001C4E3A"/>
    <w:rsid w:val="001C6BF0"/>
    <w:rsid w:val="001C7662"/>
    <w:rsid w:val="001C7A68"/>
    <w:rsid w:val="001D25C5"/>
    <w:rsid w:val="001D29A5"/>
    <w:rsid w:val="001D377D"/>
    <w:rsid w:val="001D4FF6"/>
    <w:rsid w:val="001E1950"/>
    <w:rsid w:val="001E5985"/>
    <w:rsid w:val="001F1DE8"/>
    <w:rsid w:val="001F3A69"/>
    <w:rsid w:val="001F440C"/>
    <w:rsid w:val="001F5FD4"/>
    <w:rsid w:val="00202D9B"/>
    <w:rsid w:val="0020425C"/>
    <w:rsid w:val="00205B97"/>
    <w:rsid w:val="00205EB9"/>
    <w:rsid w:val="002072BF"/>
    <w:rsid w:val="002078C7"/>
    <w:rsid w:val="00210D86"/>
    <w:rsid w:val="002114CF"/>
    <w:rsid w:val="00211D7E"/>
    <w:rsid w:val="0021214D"/>
    <w:rsid w:val="002153BF"/>
    <w:rsid w:val="0022318F"/>
    <w:rsid w:val="00223E47"/>
    <w:rsid w:val="00225908"/>
    <w:rsid w:val="00226943"/>
    <w:rsid w:val="00227F53"/>
    <w:rsid w:val="0023275F"/>
    <w:rsid w:val="00232C3C"/>
    <w:rsid w:val="0023321A"/>
    <w:rsid w:val="00234408"/>
    <w:rsid w:val="002349FC"/>
    <w:rsid w:val="00240BB9"/>
    <w:rsid w:val="00240DF5"/>
    <w:rsid w:val="0025208A"/>
    <w:rsid w:val="00252C59"/>
    <w:rsid w:val="002537D1"/>
    <w:rsid w:val="00257988"/>
    <w:rsid w:val="002635AF"/>
    <w:rsid w:val="00264368"/>
    <w:rsid w:val="0026743F"/>
    <w:rsid w:val="0027217C"/>
    <w:rsid w:val="002724A9"/>
    <w:rsid w:val="00273808"/>
    <w:rsid w:val="00273E03"/>
    <w:rsid w:val="00274BA3"/>
    <w:rsid w:val="002755FB"/>
    <w:rsid w:val="00276087"/>
    <w:rsid w:val="00285C47"/>
    <w:rsid w:val="00287310"/>
    <w:rsid w:val="00291D1B"/>
    <w:rsid w:val="00296C6B"/>
    <w:rsid w:val="002A1A8F"/>
    <w:rsid w:val="002A1D7E"/>
    <w:rsid w:val="002A2C66"/>
    <w:rsid w:val="002A3240"/>
    <w:rsid w:val="002A4257"/>
    <w:rsid w:val="002A538C"/>
    <w:rsid w:val="002A6134"/>
    <w:rsid w:val="002A6871"/>
    <w:rsid w:val="002A7FA0"/>
    <w:rsid w:val="002B06CA"/>
    <w:rsid w:val="002B6AE0"/>
    <w:rsid w:val="002B7D0A"/>
    <w:rsid w:val="002C39C3"/>
    <w:rsid w:val="002C65CF"/>
    <w:rsid w:val="002D0C6D"/>
    <w:rsid w:val="002D0F1F"/>
    <w:rsid w:val="002D2329"/>
    <w:rsid w:val="002D41C3"/>
    <w:rsid w:val="002D54F2"/>
    <w:rsid w:val="002D6FAC"/>
    <w:rsid w:val="002E74B5"/>
    <w:rsid w:val="002E779A"/>
    <w:rsid w:val="002E7F50"/>
    <w:rsid w:val="002F1E8C"/>
    <w:rsid w:val="002F2306"/>
    <w:rsid w:val="002F313C"/>
    <w:rsid w:val="002F4D9A"/>
    <w:rsid w:val="002F4EB8"/>
    <w:rsid w:val="002F6108"/>
    <w:rsid w:val="002F62D2"/>
    <w:rsid w:val="002F7A4B"/>
    <w:rsid w:val="00300DC0"/>
    <w:rsid w:val="00302FC7"/>
    <w:rsid w:val="00303E7A"/>
    <w:rsid w:val="0030430A"/>
    <w:rsid w:val="00304D96"/>
    <w:rsid w:val="00305A0D"/>
    <w:rsid w:val="00307417"/>
    <w:rsid w:val="00310257"/>
    <w:rsid w:val="0031196C"/>
    <w:rsid w:val="00312765"/>
    <w:rsid w:val="0031519F"/>
    <w:rsid w:val="003160C4"/>
    <w:rsid w:val="0031730B"/>
    <w:rsid w:val="003215EC"/>
    <w:rsid w:val="00321F37"/>
    <w:rsid w:val="00325B19"/>
    <w:rsid w:val="00330222"/>
    <w:rsid w:val="00336813"/>
    <w:rsid w:val="00336A26"/>
    <w:rsid w:val="0034602E"/>
    <w:rsid w:val="00346B7D"/>
    <w:rsid w:val="00347A02"/>
    <w:rsid w:val="00352306"/>
    <w:rsid w:val="0035714F"/>
    <w:rsid w:val="00363B25"/>
    <w:rsid w:val="00364266"/>
    <w:rsid w:val="00364725"/>
    <w:rsid w:val="00364897"/>
    <w:rsid w:val="00367EE7"/>
    <w:rsid w:val="003720EB"/>
    <w:rsid w:val="00374C2A"/>
    <w:rsid w:val="00376067"/>
    <w:rsid w:val="003776A3"/>
    <w:rsid w:val="0038182B"/>
    <w:rsid w:val="003824FF"/>
    <w:rsid w:val="00382E5E"/>
    <w:rsid w:val="0038445F"/>
    <w:rsid w:val="003857A7"/>
    <w:rsid w:val="00392265"/>
    <w:rsid w:val="00392928"/>
    <w:rsid w:val="00392DAE"/>
    <w:rsid w:val="00394F7D"/>
    <w:rsid w:val="00395833"/>
    <w:rsid w:val="003A0B3E"/>
    <w:rsid w:val="003A14A8"/>
    <w:rsid w:val="003A1A1D"/>
    <w:rsid w:val="003A2E42"/>
    <w:rsid w:val="003A3E24"/>
    <w:rsid w:val="003A410A"/>
    <w:rsid w:val="003B0C06"/>
    <w:rsid w:val="003B49F4"/>
    <w:rsid w:val="003C0A92"/>
    <w:rsid w:val="003C4621"/>
    <w:rsid w:val="003C6D40"/>
    <w:rsid w:val="003D489E"/>
    <w:rsid w:val="003D6332"/>
    <w:rsid w:val="003E127A"/>
    <w:rsid w:val="003E500C"/>
    <w:rsid w:val="003E5C8B"/>
    <w:rsid w:val="003E6924"/>
    <w:rsid w:val="003F3500"/>
    <w:rsid w:val="003F4152"/>
    <w:rsid w:val="003F43DC"/>
    <w:rsid w:val="003F48E5"/>
    <w:rsid w:val="00401465"/>
    <w:rsid w:val="00402B81"/>
    <w:rsid w:val="004042E5"/>
    <w:rsid w:val="00406860"/>
    <w:rsid w:val="0041191B"/>
    <w:rsid w:val="00412014"/>
    <w:rsid w:val="00413464"/>
    <w:rsid w:val="00416795"/>
    <w:rsid w:val="0041705F"/>
    <w:rsid w:val="00424441"/>
    <w:rsid w:val="00431BD7"/>
    <w:rsid w:val="00434069"/>
    <w:rsid w:val="00434502"/>
    <w:rsid w:val="00435893"/>
    <w:rsid w:val="00437BA2"/>
    <w:rsid w:val="0044053D"/>
    <w:rsid w:val="00440CDD"/>
    <w:rsid w:val="00441A38"/>
    <w:rsid w:val="00442A9E"/>
    <w:rsid w:val="00443CCB"/>
    <w:rsid w:val="00447679"/>
    <w:rsid w:val="004502C4"/>
    <w:rsid w:val="004503BF"/>
    <w:rsid w:val="00450984"/>
    <w:rsid w:val="0045147D"/>
    <w:rsid w:val="00455253"/>
    <w:rsid w:val="00456353"/>
    <w:rsid w:val="00456540"/>
    <w:rsid w:val="00457287"/>
    <w:rsid w:val="004618B2"/>
    <w:rsid w:val="00462906"/>
    <w:rsid w:val="00462CC3"/>
    <w:rsid w:val="0046328A"/>
    <w:rsid w:val="00464347"/>
    <w:rsid w:val="00466744"/>
    <w:rsid w:val="00473ED3"/>
    <w:rsid w:val="0047506B"/>
    <w:rsid w:val="00476BE7"/>
    <w:rsid w:val="00481480"/>
    <w:rsid w:val="00481AFC"/>
    <w:rsid w:val="00484AEE"/>
    <w:rsid w:val="00484FBF"/>
    <w:rsid w:val="00485688"/>
    <w:rsid w:val="00485BF2"/>
    <w:rsid w:val="00487439"/>
    <w:rsid w:val="00490312"/>
    <w:rsid w:val="004914D9"/>
    <w:rsid w:val="00491C10"/>
    <w:rsid w:val="00495E0D"/>
    <w:rsid w:val="004A27C4"/>
    <w:rsid w:val="004A5445"/>
    <w:rsid w:val="004A57EB"/>
    <w:rsid w:val="004A7778"/>
    <w:rsid w:val="004A7F23"/>
    <w:rsid w:val="004B18A5"/>
    <w:rsid w:val="004B59EF"/>
    <w:rsid w:val="004B688A"/>
    <w:rsid w:val="004B7C09"/>
    <w:rsid w:val="004C0805"/>
    <w:rsid w:val="004C080F"/>
    <w:rsid w:val="004C5093"/>
    <w:rsid w:val="004C5BDF"/>
    <w:rsid w:val="004D042B"/>
    <w:rsid w:val="004D0F8A"/>
    <w:rsid w:val="004D62D3"/>
    <w:rsid w:val="004D6BC6"/>
    <w:rsid w:val="004E3984"/>
    <w:rsid w:val="004E39EE"/>
    <w:rsid w:val="004E6476"/>
    <w:rsid w:val="004F3187"/>
    <w:rsid w:val="004F43F9"/>
    <w:rsid w:val="004F5031"/>
    <w:rsid w:val="004F66A2"/>
    <w:rsid w:val="00500706"/>
    <w:rsid w:val="005023B2"/>
    <w:rsid w:val="00505451"/>
    <w:rsid w:val="00505644"/>
    <w:rsid w:val="005068CF"/>
    <w:rsid w:val="00506A57"/>
    <w:rsid w:val="00507D1C"/>
    <w:rsid w:val="0051000E"/>
    <w:rsid w:val="00510045"/>
    <w:rsid w:val="0051014C"/>
    <w:rsid w:val="005144BE"/>
    <w:rsid w:val="005147DF"/>
    <w:rsid w:val="005159C5"/>
    <w:rsid w:val="00520113"/>
    <w:rsid w:val="00521920"/>
    <w:rsid w:val="00523A52"/>
    <w:rsid w:val="00524553"/>
    <w:rsid w:val="0053529D"/>
    <w:rsid w:val="00536222"/>
    <w:rsid w:val="005363C1"/>
    <w:rsid w:val="00537C5C"/>
    <w:rsid w:val="005413F6"/>
    <w:rsid w:val="00541B1C"/>
    <w:rsid w:val="00544898"/>
    <w:rsid w:val="00544A01"/>
    <w:rsid w:val="0054677E"/>
    <w:rsid w:val="005507C0"/>
    <w:rsid w:val="005564BB"/>
    <w:rsid w:val="00564962"/>
    <w:rsid w:val="00565619"/>
    <w:rsid w:val="00565990"/>
    <w:rsid w:val="0056788A"/>
    <w:rsid w:val="005678A9"/>
    <w:rsid w:val="005715D7"/>
    <w:rsid w:val="00573872"/>
    <w:rsid w:val="00573CD3"/>
    <w:rsid w:val="00573D4A"/>
    <w:rsid w:val="00574AE3"/>
    <w:rsid w:val="00577265"/>
    <w:rsid w:val="00577791"/>
    <w:rsid w:val="00577E0B"/>
    <w:rsid w:val="00577EDD"/>
    <w:rsid w:val="0058074E"/>
    <w:rsid w:val="0058074F"/>
    <w:rsid w:val="0058221F"/>
    <w:rsid w:val="0058754C"/>
    <w:rsid w:val="0059003B"/>
    <w:rsid w:val="00592FC3"/>
    <w:rsid w:val="005949D7"/>
    <w:rsid w:val="00594C02"/>
    <w:rsid w:val="005A0054"/>
    <w:rsid w:val="005A0686"/>
    <w:rsid w:val="005A4667"/>
    <w:rsid w:val="005A566E"/>
    <w:rsid w:val="005A6D36"/>
    <w:rsid w:val="005A7EC8"/>
    <w:rsid w:val="005B1B6A"/>
    <w:rsid w:val="005B74CD"/>
    <w:rsid w:val="005C0F89"/>
    <w:rsid w:val="005C3CAB"/>
    <w:rsid w:val="005C539A"/>
    <w:rsid w:val="005C660D"/>
    <w:rsid w:val="005C6642"/>
    <w:rsid w:val="005D0E81"/>
    <w:rsid w:val="005D5705"/>
    <w:rsid w:val="005E059E"/>
    <w:rsid w:val="005E1432"/>
    <w:rsid w:val="005E31A8"/>
    <w:rsid w:val="005E78F9"/>
    <w:rsid w:val="005E7F2B"/>
    <w:rsid w:val="005F0098"/>
    <w:rsid w:val="005F00A7"/>
    <w:rsid w:val="005F265E"/>
    <w:rsid w:val="005F3A51"/>
    <w:rsid w:val="005F462A"/>
    <w:rsid w:val="005F4A04"/>
    <w:rsid w:val="005F507A"/>
    <w:rsid w:val="005F55A7"/>
    <w:rsid w:val="005F6C84"/>
    <w:rsid w:val="005F74AE"/>
    <w:rsid w:val="005F7F72"/>
    <w:rsid w:val="00600CFE"/>
    <w:rsid w:val="00601DCF"/>
    <w:rsid w:val="00603497"/>
    <w:rsid w:val="00605396"/>
    <w:rsid w:val="0060592A"/>
    <w:rsid w:val="00605B99"/>
    <w:rsid w:val="0060600E"/>
    <w:rsid w:val="0061093C"/>
    <w:rsid w:val="006114EF"/>
    <w:rsid w:val="00611918"/>
    <w:rsid w:val="00612192"/>
    <w:rsid w:val="00613365"/>
    <w:rsid w:val="00616B4D"/>
    <w:rsid w:val="0061788A"/>
    <w:rsid w:val="00620791"/>
    <w:rsid w:val="00621361"/>
    <w:rsid w:val="00624466"/>
    <w:rsid w:val="00626E09"/>
    <w:rsid w:val="0063236A"/>
    <w:rsid w:val="006325C2"/>
    <w:rsid w:val="00632661"/>
    <w:rsid w:val="00634182"/>
    <w:rsid w:val="006351B2"/>
    <w:rsid w:val="006353C5"/>
    <w:rsid w:val="006379F3"/>
    <w:rsid w:val="00637AF5"/>
    <w:rsid w:val="00642512"/>
    <w:rsid w:val="00647711"/>
    <w:rsid w:val="00651D86"/>
    <w:rsid w:val="00660671"/>
    <w:rsid w:val="00660D16"/>
    <w:rsid w:val="00662063"/>
    <w:rsid w:val="00662D43"/>
    <w:rsid w:val="00663373"/>
    <w:rsid w:val="00664BF7"/>
    <w:rsid w:val="0066602C"/>
    <w:rsid w:val="00670527"/>
    <w:rsid w:val="00670ADB"/>
    <w:rsid w:val="00671542"/>
    <w:rsid w:val="00671BEA"/>
    <w:rsid w:val="00672BE6"/>
    <w:rsid w:val="0067347E"/>
    <w:rsid w:val="006747D0"/>
    <w:rsid w:val="00675149"/>
    <w:rsid w:val="00681871"/>
    <w:rsid w:val="00683DC7"/>
    <w:rsid w:val="00687E6F"/>
    <w:rsid w:val="006903E5"/>
    <w:rsid w:val="0069341F"/>
    <w:rsid w:val="00694848"/>
    <w:rsid w:val="00695EA5"/>
    <w:rsid w:val="006A1483"/>
    <w:rsid w:val="006A1F83"/>
    <w:rsid w:val="006A1FB1"/>
    <w:rsid w:val="006A28C5"/>
    <w:rsid w:val="006A6C1F"/>
    <w:rsid w:val="006A7D35"/>
    <w:rsid w:val="006B03EB"/>
    <w:rsid w:val="006C4A67"/>
    <w:rsid w:val="006C4B40"/>
    <w:rsid w:val="006C5E54"/>
    <w:rsid w:val="006D0865"/>
    <w:rsid w:val="006D13CB"/>
    <w:rsid w:val="006D5177"/>
    <w:rsid w:val="006D5545"/>
    <w:rsid w:val="006D5B61"/>
    <w:rsid w:val="006D6DA5"/>
    <w:rsid w:val="006E0A93"/>
    <w:rsid w:val="006E110C"/>
    <w:rsid w:val="006E6911"/>
    <w:rsid w:val="006E7C4C"/>
    <w:rsid w:val="006F389F"/>
    <w:rsid w:val="006F58A0"/>
    <w:rsid w:val="006F5ECC"/>
    <w:rsid w:val="006F62ED"/>
    <w:rsid w:val="00702579"/>
    <w:rsid w:val="00703D46"/>
    <w:rsid w:val="00703FD5"/>
    <w:rsid w:val="00705BC5"/>
    <w:rsid w:val="007109EA"/>
    <w:rsid w:val="00716813"/>
    <w:rsid w:val="00717456"/>
    <w:rsid w:val="00717BE8"/>
    <w:rsid w:val="00720AE8"/>
    <w:rsid w:val="00720C8F"/>
    <w:rsid w:val="00724290"/>
    <w:rsid w:val="007261AA"/>
    <w:rsid w:val="00730ADB"/>
    <w:rsid w:val="0073486A"/>
    <w:rsid w:val="00735861"/>
    <w:rsid w:val="007379E7"/>
    <w:rsid w:val="00740063"/>
    <w:rsid w:val="007426AB"/>
    <w:rsid w:val="00742940"/>
    <w:rsid w:val="007450DE"/>
    <w:rsid w:val="00746B8E"/>
    <w:rsid w:val="00747CFB"/>
    <w:rsid w:val="007505D0"/>
    <w:rsid w:val="00750CFF"/>
    <w:rsid w:val="0075524F"/>
    <w:rsid w:val="007602A6"/>
    <w:rsid w:val="007609F0"/>
    <w:rsid w:val="00760D1D"/>
    <w:rsid w:val="00761FFF"/>
    <w:rsid w:val="007648FE"/>
    <w:rsid w:val="00766971"/>
    <w:rsid w:val="00770E0F"/>
    <w:rsid w:val="00771DE9"/>
    <w:rsid w:val="00772C0E"/>
    <w:rsid w:val="00773896"/>
    <w:rsid w:val="00775451"/>
    <w:rsid w:val="0078094A"/>
    <w:rsid w:val="00781AED"/>
    <w:rsid w:val="007830BA"/>
    <w:rsid w:val="00784046"/>
    <w:rsid w:val="007877D4"/>
    <w:rsid w:val="00787AC8"/>
    <w:rsid w:val="00790AED"/>
    <w:rsid w:val="007923C6"/>
    <w:rsid w:val="007A0379"/>
    <w:rsid w:val="007A1BC9"/>
    <w:rsid w:val="007A27C7"/>
    <w:rsid w:val="007A35AA"/>
    <w:rsid w:val="007B1E14"/>
    <w:rsid w:val="007B3044"/>
    <w:rsid w:val="007B3062"/>
    <w:rsid w:val="007B31D7"/>
    <w:rsid w:val="007B5477"/>
    <w:rsid w:val="007B6AFC"/>
    <w:rsid w:val="007C5715"/>
    <w:rsid w:val="007C593D"/>
    <w:rsid w:val="007C64A9"/>
    <w:rsid w:val="007C7017"/>
    <w:rsid w:val="007D0A4B"/>
    <w:rsid w:val="007D13E3"/>
    <w:rsid w:val="007D29C1"/>
    <w:rsid w:val="007D2E18"/>
    <w:rsid w:val="007D6428"/>
    <w:rsid w:val="007E162D"/>
    <w:rsid w:val="007E1C57"/>
    <w:rsid w:val="007E3264"/>
    <w:rsid w:val="007E41C9"/>
    <w:rsid w:val="007E4B02"/>
    <w:rsid w:val="007E6898"/>
    <w:rsid w:val="007E6CAC"/>
    <w:rsid w:val="007E7EB6"/>
    <w:rsid w:val="007F08AA"/>
    <w:rsid w:val="007F1C30"/>
    <w:rsid w:val="007F2534"/>
    <w:rsid w:val="007F5D5F"/>
    <w:rsid w:val="007F7FF9"/>
    <w:rsid w:val="008017BF"/>
    <w:rsid w:val="008022C7"/>
    <w:rsid w:val="00803FA1"/>
    <w:rsid w:val="00806170"/>
    <w:rsid w:val="008071A9"/>
    <w:rsid w:val="0080731C"/>
    <w:rsid w:val="00807F63"/>
    <w:rsid w:val="00810666"/>
    <w:rsid w:val="00813CED"/>
    <w:rsid w:val="00814404"/>
    <w:rsid w:val="008155B8"/>
    <w:rsid w:val="00816678"/>
    <w:rsid w:val="00821E30"/>
    <w:rsid w:val="008224AC"/>
    <w:rsid w:val="00822832"/>
    <w:rsid w:val="00823110"/>
    <w:rsid w:val="008255B4"/>
    <w:rsid w:val="00825734"/>
    <w:rsid w:val="008263AB"/>
    <w:rsid w:val="00827AE3"/>
    <w:rsid w:val="008318B1"/>
    <w:rsid w:val="00833047"/>
    <w:rsid w:val="008336AB"/>
    <w:rsid w:val="00834E96"/>
    <w:rsid w:val="008403AD"/>
    <w:rsid w:val="00840DA6"/>
    <w:rsid w:val="00841AE8"/>
    <w:rsid w:val="0084321B"/>
    <w:rsid w:val="00847A29"/>
    <w:rsid w:val="00855E2E"/>
    <w:rsid w:val="0085661B"/>
    <w:rsid w:val="00856957"/>
    <w:rsid w:val="00856EC7"/>
    <w:rsid w:val="008666DF"/>
    <w:rsid w:val="008668C6"/>
    <w:rsid w:val="00867F21"/>
    <w:rsid w:val="00871386"/>
    <w:rsid w:val="0087343A"/>
    <w:rsid w:val="0087492A"/>
    <w:rsid w:val="008758AE"/>
    <w:rsid w:val="00876739"/>
    <w:rsid w:val="00880F07"/>
    <w:rsid w:val="0088305B"/>
    <w:rsid w:val="00885BC9"/>
    <w:rsid w:val="00886927"/>
    <w:rsid w:val="008A0FA3"/>
    <w:rsid w:val="008A0FB7"/>
    <w:rsid w:val="008A1B18"/>
    <w:rsid w:val="008A2680"/>
    <w:rsid w:val="008A2703"/>
    <w:rsid w:val="008A2D16"/>
    <w:rsid w:val="008A40F1"/>
    <w:rsid w:val="008A4DCA"/>
    <w:rsid w:val="008A7323"/>
    <w:rsid w:val="008B052F"/>
    <w:rsid w:val="008B26E8"/>
    <w:rsid w:val="008B361B"/>
    <w:rsid w:val="008B4807"/>
    <w:rsid w:val="008B4DAD"/>
    <w:rsid w:val="008C263E"/>
    <w:rsid w:val="008C314A"/>
    <w:rsid w:val="008C31D7"/>
    <w:rsid w:val="008C4A2C"/>
    <w:rsid w:val="008D2EDB"/>
    <w:rsid w:val="008D4CF9"/>
    <w:rsid w:val="008D5B74"/>
    <w:rsid w:val="008D6FC2"/>
    <w:rsid w:val="008D717F"/>
    <w:rsid w:val="008E2B8C"/>
    <w:rsid w:val="008E42A0"/>
    <w:rsid w:val="008E4C64"/>
    <w:rsid w:val="008E7035"/>
    <w:rsid w:val="008F1D52"/>
    <w:rsid w:val="008F338D"/>
    <w:rsid w:val="008F3EDB"/>
    <w:rsid w:val="008F534F"/>
    <w:rsid w:val="008F538A"/>
    <w:rsid w:val="008F6170"/>
    <w:rsid w:val="009005F2"/>
    <w:rsid w:val="00900D91"/>
    <w:rsid w:val="00903B68"/>
    <w:rsid w:val="00904007"/>
    <w:rsid w:val="009067FD"/>
    <w:rsid w:val="0091037F"/>
    <w:rsid w:val="00923645"/>
    <w:rsid w:val="009268AD"/>
    <w:rsid w:val="0093122D"/>
    <w:rsid w:val="00933310"/>
    <w:rsid w:val="0093687F"/>
    <w:rsid w:val="00940905"/>
    <w:rsid w:val="009414C1"/>
    <w:rsid w:val="00942EBD"/>
    <w:rsid w:val="00945497"/>
    <w:rsid w:val="009467DC"/>
    <w:rsid w:val="00946C72"/>
    <w:rsid w:val="009518D4"/>
    <w:rsid w:val="00952AE7"/>
    <w:rsid w:val="00952EAD"/>
    <w:rsid w:val="00953A92"/>
    <w:rsid w:val="00953CBC"/>
    <w:rsid w:val="00961132"/>
    <w:rsid w:val="0096178E"/>
    <w:rsid w:val="00961C59"/>
    <w:rsid w:val="0096235E"/>
    <w:rsid w:val="009623EF"/>
    <w:rsid w:val="00962C55"/>
    <w:rsid w:val="0096326F"/>
    <w:rsid w:val="00965DB5"/>
    <w:rsid w:val="009672F0"/>
    <w:rsid w:val="00971323"/>
    <w:rsid w:val="00971B1A"/>
    <w:rsid w:val="009736C9"/>
    <w:rsid w:val="00975C63"/>
    <w:rsid w:val="0097738E"/>
    <w:rsid w:val="00980229"/>
    <w:rsid w:val="0098028D"/>
    <w:rsid w:val="00981509"/>
    <w:rsid w:val="00984EAF"/>
    <w:rsid w:val="00987167"/>
    <w:rsid w:val="009879DB"/>
    <w:rsid w:val="00996C81"/>
    <w:rsid w:val="009A22A6"/>
    <w:rsid w:val="009A2C66"/>
    <w:rsid w:val="009A349F"/>
    <w:rsid w:val="009A3EB7"/>
    <w:rsid w:val="009A60AA"/>
    <w:rsid w:val="009A63F7"/>
    <w:rsid w:val="009A674D"/>
    <w:rsid w:val="009B0C63"/>
    <w:rsid w:val="009B263A"/>
    <w:rsid w:val="009B4749"/>
    <w:rsid w:val="009B7623"/>
    <w:rsid w:val="009C0862"/>
    <w:rsid w:val="009C087E"/>
    <w:rsid w:val="009C21EE"/>
    <w:rsid w:val="009C652F"/>
    <w:rsid w:val="009C7E20"/>
    <w:rsid w:val="009D095C"/>
    <w:rsid w:val="009D72A8"/>
    <w:rsid w:val="009E0DCA"/>
    <w:rsid w:val="009F2978"/>
    <w:rsid w:val="009F352A"/>
    <w:rsid w:val="009F3FDA"/>
    <w:rsid w:val="009F4AE2"/>
    <w:rsid w:val="00A00626"/>
    <w:rsid w:val="00A0172B"/>
    <w:rsid w:val="00A036C9"/>
    <w:rsid w:val="00A04603"/>
    <w:rsid w:val="00A05B67"/>
    <w:rsid w:val="00A10784"/>
    <w:rsid w:val="00A141B0"/>
    <w:rsid w:val="00A16BE7"/>
    <w:rsid w:val="00A21809"/>
    <w:rsid w:val="00A2277B"/>
    <w:rsid w:val="00A240EC"/>
    <w:rsid w:val="00A243EA"/>
    <w:rsid w:val="00A27492"/>
    <w:rsid w:val="00A27953"/>
    <w:rsid w:val="00A404DD"/>
    <w:rsid w:val="00A4172B"/>
    <w:rsid w:val="00A4202C"/>
    <w:rsid w:val="00A42EE7"/>
    <w:rsid w:val="00A44832"/>
    <w:rsid w:val="00A51F00"/>
    <w:rsid w:val="00A53951"/>
    <w:rsid w:val="00A621F0"/>
    <w:rsid w:val="00A63C93"/>
    <w:rsid w:val="00A66797"/>
    <w:rsid w:val="00A67367"/>
    <w:rsid w:val="00A7068D"/>
    <w:rsid w:val="00A70FE6"/>
    <w:rsid w:val="00A724A4"/>
    <w:rsid w:val="00A75420"/>
    <w:rsid w:val="00A823C8"/>
    <w:rsid w:val="00A82C2B"/>
    <w:rsid w:val="00A84940"/>
    <w:rsid w:val="00A854B2"/>
    <w:rsid w:val="00A879BF"/>
    <w:rsid w:val="00A87B51"/>
    <w:rsid w:val="00A91770"/>
    <w:rsid w:val="00A91E6B"/>
    <w:rsid w:val="00A95E9B"/>
    <w:rsid w:val="00A9788C"/>
    <w:rsid w:val="00AA00E7"/>
    <w:rsid w:val="00AA0C64"/>
    <w:rsid w:val="00AA2B35"/>
    <w:rsid w:val="00AA3075"/>
    <w:rsid w:val="00AA30CD"/>
    <w:rsid w:val="00AA33E8"/>
    <w:rsid w:val="00AA4DCE"/>
    <w:rsid w:val="00AA5AD0"/>
    <w:rsid w:val="00AA5CE2"/>
    <w:rsid w:val="00AB116B"/>
    <w:rsid w:val="00AB395C"/>
    <w:rsid w:val="00AB3DF8"/>
    <w:rsid w:val="00AB5CCA"/>
    <w:rsid w:val="00AC1297"/>
    <w:rsid w:val="00AC12D2"/>
    <w:rsid w:val="00AC43BF"/>
    <w:rsid w:val="00AC6293"/>
    <w:rsid w:val="00AD040B"/>
    <w:rsid w:val="00AE06FD"/>
    <w:rsid w:val="00AE2327"/>
    <w:rsid w:val="00AE237B"/>
    <w:rsid w:val="00AE3D89"/>
    <w:rsid w:val="00AE502D"/>
    <w:rsid w:val="00AE5E21"/>
    <w:rsid w:val="00AE6249"/>
    <w:rsid w:val="00AE7404"/>
    <w:rsid w:val="00AF097E"/>
    <w:rsid w:val="00AF0F99"/>
    <w:rsid w:val="00AF3825"/>
    <w:rsid w:val="00AF549E"/>
    <w:rsid w:val="00AF5EB1"/>
    <w:rsid w:val="00AF60AF"/>
    <w:rsid w:val="00AF645C"/>
    <w:rsid w:val="00AF69FC"/>
    <w:rsid w:val="00AF741E"/>
    <w:rsid w:val="00B00034"/>
    <w:rsid w:val="00B00308"/>
    <w:rsid w:val="00B042C0"/>
    <w:rsid w:val="00B05EE2"/>
    <w:rsid w:val="00B06C80"/>
    <w:rsid w:val="00B10ACF"/>
    <w:rsid w:val="00B119CE"/>
    <w:rsid w:val="00B11DEB"/>
    <w:rsid w:val="00B13729"/>
    <w:rsid w:val="00B13CDF"/>
    <w:rsid w:val="00B15CF5"/>
    <w:rsid w:val="00B160F6"/>
    <w:rsid w:val="00B169F4"/>
    <w:rsid w:val="00B171F4"/>
    <w:rsid w:val="00B2003C"/>
    <w:rsid w:val="00B22BAA"/>
    <w:rsid w:val="00B23002"/>
    <w:rsid w:val="00B26562"/>
    <w:rsid w:val="00B30AC7"/>
    <w:rsid w:val="00B30EEC"/>
    <w:rsid w:val="00B32D3B"/>
    <w:rsid w:val="00B344C6"/>
    <w:rsid w:val="00B362B5"/>
    <w:rsid w:val="00B37003"/>
    <w:rsid w:val="00B37BED"/>
    <w:rsid w:val="00B40066"/>
    <w:rsid w:val="00B4075D"/>
    <w:rsid w:val="00B41759"/>
    <w:rsid w:val="00B443D2"/>
    <w:rsid w:val="00B4458C"/>
    <w:rsid w:val="00B46C4F"/>
    <w:rsid w:val="00B46ECB"/>
    <w:rsid w:val="00B57763"/>
    <w:rsid w:val="00B57782"/>
    <w:rsid w:val="00B57EE5"/>
    <w:rsid w:val="00B60D86"/>
    <w:rsid w:val="00B60F6E"/>
    <w:rsid w:val="00B64320"/>
    <w:rsid w:val="00B75A44"/>
    <w:rsid w:val="00B764E2"/>
    <w:rsid w:val="00B80EBA"/>
    <w:rsid w:val="00B82132"/>
    <w:rsid w:val="00B84FC7"/>
    <w:rsid w:val="00B9049D"/>
    <w:rsid w:val="00B91AD1"/>
    <w:rsid w:val="00B92C28"/>
    <w:rsid w:val="00B9470B"/>
    <w:rsid w:val="00B94EA7"/>
    <w:rsid w:val="00B956A1"/>
    <w:rsid w:val="00B956A3"/>
    <w:rsid w:val="00BA1D52"/>
    <w:rsid w:val="00BA2B82"/>
    <w:rsid w:val="00BA3A19"/>
    <w:rsid w:val="00BA4F5B"/>
    <w:rsid w:val="00BB3643"/>
    <w:rsid w:val="00BB61BD"/>
    <w:rsid w:val="00BC16C5"/>
    <w:rsid w:val="00BC21D8"/>
    <w:rsid w:val="00BC2291"/>
    <w:rsid w:val="00BC25C1"/>
    <w:rsid w:val="00BC316E"/>
    <w:rsid w:val="00BC48A2"/>
    <w:rsid w:val="00BC4B57"/>
    <w:rsid w:val="00BD001F"/>
    <w:rsid w:val="00BD038A"/>
    <w:rsid w:val="00BD1A19"/>
    <w:rsid w:val="00BD1B2A"/>
    <w:rsid w:val="00BD3C14"/>
    <w:rsid w:val="00BD5D96"/>
    <w:rsid w:val="00BE44DD"/>
    <w:rsid w:val="00BE50C6"/>
    <w:rsid w:val="00BF07E4"/>
    <w:rsid w:val="00BF0EB0"/>
    <w:rsid w:val="00BF1F79"/>
    <w:rsid w:val="00BF382A"/>
    <w:rsid w:val="00BF4242"/>
    <w:rsid w:val="00BF4429"/>
    <w:rsid w:val="00BF7723"/>
    <w:rsid w:val="00C017B0"/>
    <w:rsid w:val="00C01B6B"/>
    <w:rsid w:val="00C01E8B"/>
    <w:rsid w:val="00C039C9"/>
    <w:rsid w:val="00C13D21"/>
    <w:rsid w:val="00C15C24"/>
    <w:rsid w:val="00C17CF7"/>
    <w:rsid w:val="00C239BF"/>
    <w:rsid w:val="00C313DA"/>
    <w:rsid w:val="00C32D9D"/>
    <w:rsid w:val="00C4101D"/>
    <w:rsid w:val="00C42854"/>
    <w:rsid w:val="00C42A8F"/>
    <w:rsid w:val="00C4432F"/>
    <w:rsid w:val="00C45901"/>
    <w:rsid w:val="00C4677C"/>
    <w:rsid w:val="00C47C75"/>
    <w:rsid w:val="00C47E67"/>
    <w:rsid w:val="00C50F91"/>
    <w:rsid w:val="00C51287"/>
    <w:rsid w:val="00C56780"/>
    <w:rsid w:val="00C575DA"/>
    <w:rsid w:val="00C57CB7"/>
    <w:rsid w:val="00C73B87"/>
    <w:rsid w:val="00C75233"/>
    <w:rsid w:val="00C7550E"/>
    <w:rsid w:val="00C76380"/>
    <w:rsid w:val="00C76B6E"/>
    <w:rsid w:val="00C83B02"/>
    <w:rsid w:val="00C865A6"/>
    <w:rsid w:val="00C913E0"/>
    <w:rsid w:val="00C91BBF"/>
    <w:rsid w:val="00C94943"/>
    <w:rsid w:val="00C94992"/>
    <w:rsid w:val="00C955B5"/>
    <w:rsid w:val="00CA29C2"/>
    <w:rsid w:val="00CA2DB1"/>
    <w:rsid w:val="00CA49E8"/>
    <w:rsid w:val="00CA6293"/>
    <w:rsid w:val="00CB49EE"/>
    <w:rsid w:val="00CB52E7"/>
    <w:rsid w:val="00CB630B"/>
    <w:rsid w:val="00CC03E5"/>
    <w:rsid w:val="00CC2437"/>
    <w:rsid w:val="00CC3E07"/>
    <w:rsid w:val="00CC6A4B"/>
    <w:rsid w:val="00CD0FB7"/>
    <w:rsid w:val="00CD1C7B"/>
    <w:rsid w:val="00CD28F9"/>
    <w:rsid w:val="00CD2ADB"/>
    <w:rsid w:val="00CD2DB6"/>
    <w:rsid w:val="00CD38CD"/>
    <w:rsid w:val="00CD3F15"/>
    <w:rsid w:val="00CD52AD"/>
    <w:rsid w:val="00CD54CB"/>
    <w:rsid w:val="00CD6393"/>
    <w:rsid w:val="00CD6622"/>
    <w:rsid w:val="00CD7214"/>
    <w:rsid w:val="00CD7AA3"/>
    <w:rsid w:val="00CE125B"/>
    <w:rsid w:val="00CE266C"/>
    <w:rsid w:val="00CE3B28"/>
    <w:rsid w:val="00CE59B7"/>
    <w:rsid w:val="00CE6964"/>
    <w:rsid w:val="00CF1143"/>
    <w:rsid w:val="00CF2141"/>
    <w:rsid w:val="00CF3934"/>
    <w:rsid w:val="00CF46EB"/>
    <w:rsid w:val="00CF7DE8"/>
    <w:rsid w:val="00D01C07"/>
    <w:rsid w:val="00D02F4A"/>
    <w:rsid w:val="00D040F2"/>
    <w:rsid w:val="00D06C1A"/>
    <w:rsid w:val="00D1002D"/>
    <w:rsid w:val="00D10331"/>
    <w:rsid w:val="00D104AC"/>
    <w:rsid w:val="00D10637"/>
    <w:rsid w:val="00D174C0"/>
    <w:rsid w:val="00D30244"/>
    <w:rsid w:val="00D302AE"/>
    <w:rsid w:val="00D33262"/>
    <w:rsid w:val="00D3440E"/>
    <w:rsid w:val="00D353DA"/>
    <w:rsid w:val="00D40D98"/>
    <w:rsid w:val="00D41AD5"/>
    <w:rsid w:val="00D425AE"/>
    <w:rsid w:val="00D42B80"/>
    <w:rsid w:val="00D4419B"/>
    <w:rsid w:val="00D44BB6"/>
    <w:rsid w:val="00D46282"/>
    <w:rsid w:val="00D50581"/>
    <w:rsid w:val="00D51FAD"/>
    <w:rsid w:val="00D63E2E"/>
    <w:rsid w:val="00D64E8E"/>
    <w:rsid w:val="00D677AD"/>
    <w:rsid w:val="00D72F18"/>
    <w:rsid w:val="00D74FD1"/>
    <w:rsid w:val="00D75552"/>
    <w:rsid w:val="00D762F5"/>
    <w:rsid w:val="00D773D3"/>
    <w:rsid w:val="00D77580"/>
    <w:rsid w:val="00D82832"/>
    <w:rsid w:val="00D82F13"/>
    <w:rsid w:val="00D85C11"/>
    <w:rsid w:val="00D87D7B"/>
    <w:rsid w:val="00D951DB"/>
    <w:rsid w:val="00D95D5C"/>
    <w:rsid w:val="00D96281"/>
    <w:rsid w:val="00DA1A71"/>
    <w:rsid w:val="00DA2007"/>
    <w:rsid w:val="00DA312D"/>
    <w:rsid w:val="00DA38DC"/>
    <w:rsid w:val="00DA4159"/>
    <w:rsid w:val="00DA5ABA"/>
    <w:rsid w:val="00DA6DF6"/>
    <w:rsid w:val="00DB377A"/>
    <w:rsid w:val="00DB3BF4"/>
    <w:rsid w:val="00DB4B0F"/>
    <w:rsid w:val="00DB50DA"/>
    <w:rsid w:val="00DB64C7"/>
    <w:rsid w:val="00DB64CD"/>
    <w:rsid w:val="00DB709C"/>
    <w:rsid w:val="00DB7D0B"/>
    <w:rsid w:val="00DC32E1"/>
    <w:rsid w:val="00DC32EE"/>
    <w:rsid w:val="00DC6128"/>
    <w:rsid w:val="00DC780D"/>
    <w:rsid w:val="00DD3E5E"/>
    <w:rsid w:val="00DD4FF7"/>
    <w:rsid w:val="00DD5BF7"/>
    <w:rsid w:val="00DD7814"/>
    <w:rsid w:val="00DE0BE9"/>
    <w:rsid w:val="00DE33F7"/>
    <w:rsid w:val="00DE6543"/>
    <w:rsid w:val="00DE7BE4"/>
    <w:rsid w:val="00DF1759"/>
    <w:rsid w:val="00DF30D1"/>
    <w:rsid w:val="00DF5A43"/>
    <w:rsid w:val="00DF6744"/>
    <w:rsid w:val="00DF79C3"/>
    <w:rsid w:val="00E03E7E"/>
    <w:rsid w:val="00E04706"/>
    <w:rsid w:val="00E04F6C"/>
    <w:rsid w:val="00E105CD"/>
    <w:rsid w:val="00E12DE4"/>
    <w:rsid w:val="00E13230"/>
    <w:rsid w:val="00E20487"/>
    <w:rsid w:val="00E21F50"/>
    <w:rsid w:val="00E264C6"/>
    <w:rsid w:val="00E268C1"/>
    <w:rsid w:val="00E32166"/>
    <w:rsid w:val="00E37CC0"/>
    <w:rsid w:val="00E4072A"/>
    <w:rsid w:val="00E411FA"/>
    <w:rsid w:val="00E416A5"/>
    <w:rsid w:val="00E43607"/>
    <w:rsid w:val="00E45CC8"/>
    <w:rsid w:val="00E51B78"/>
    <w:rsid w:val="00E54452"/>
    <w:rsid w:val="00E57153"/>
    <w:rsid w:val="00E577C8"/>
    <w:rsid w:val="00E61E67"/>
    <w:rsid w:val="00E63F1A"/>
    <w:rsid w:val="00E65018"/>
    <w:rsid w:val="00E65495"/>
    <w:rsid w:val="00E66F5B"/>
    <w:rsid w:val="00E70BED"/>
    <w:rsid w:val="00E72250"/>
    <w:rsid w:val="00E72D0F"/>
    <w:rsid w:val="00E75B76"/>
    <w:rsid w:val="00E7714E"/>
    <w:rsid w:val="00E81719"/>
    <w:rsid w:val="00E85E51"/>
    <w:rsid w:val="00E93B7E"/>
    <w:rsid w:val="00EA4F65"/>
    <w:rsid w:val="00EA5687"/>
    <w:rsid w:val="00EB13C5"/>
    <w:rsid w:val="00EB253E"/>
    <w:rsid w:val="00EB2AD9"/>
    <w:rsid w:val="00EB3276"/>
    <w:rsid w:val="00EB54E0"/>
    <w:rsid w:val="00EB64AD"/>
    <w:rsid w:val="00EB6BB7"/>
    <w:rsid w:val="00EC1FA1"/>
    <w:rsid w:val="00EC349A"/>
    <w:rsid w:val="00EC3AAA"/>
    <w:rsid w:val="00EC4861"/>
    <w:rsid w:val="00EC4C17"/>
    <w:rsid w:val="00EC62B5"/>
    <w:rsid w:val="00EC67BC"/>
    <w:rsid w:val="00EC7D09"/>
    <w:rsid w:val="00ED38CE"/>
    <w:rsid w:val="00ED413B"/>
    <w:rsid w:val="00ED46C5"/>
    <w:rsid w:val="00ED51D9"/>
    <w:rsid w:val="00ED5893"/>
    <w:rsid w:val="00ED76CE"/>
    <w:rsid w:val="00EE0EB1"/>
    <w:rsid w:val="00EE2DB5"/>
    <w:rsid w:val="00EE30A2"/>
    <w:rsid w:val="00EE45D9"/>
    <w:rsid w:val="00EE6446"/>
    <w:rsid w:val="00EE6DCF"/>
    <w:rsid w:val="00EE6E26"/>
    <w:rsid w:val="00EF2B39"/>
    <w:rsid w:val="00EF2DE4"/>
    <w:rsid w:val="00EF47B5"/>
    <w:rsid w:val="00EF5CD2"/>
    <w:rsid w:val="00EF7749"/>
    <w:rsid w:val="00F016A4"/>
    <w:rsid w:val="00F022DC"/>
    <w:rsid w:val="00F12E38"/>
    <w:rsid w:val="00F14711"/>
    <w:rsid w:val="00F22672"/>
    <w:rsid w:val="00F23595"/>
    <w:rsid w:val="00F242C7"/>
    <w:rsid w:val="00F26724"/>
    <w:rsid w:val="00F27968"/>
    <w:rsid w:val="00F32797"/>
    <w:rsid w:val="00F37175"/>
    <w:rsid w:val="00F371A9"/>
    <w:rsid w:val="00F378F7"/>
    <w:rsid w:val="00F40C86"/>
    <w:rsid w:val="00F41CA9"/>
    <w:rsid w:val="00F422BC"/>
    <w:rsid w:val="00F42B36"/>
    <w:rsid w:val="00F4768E"/>
    <w:rsid w:val="00F50D63"/>
    <w:rsid w:val="00F52AC1"/>
    <w:rsid w:val="00F55BEB"/>
    <w:rsid w:val="00F60A0F"/>
    <w:rsid w:val="00F62843"/>
    <w:rsid w:val="00F62C9D"/>
    <w:rsid w:val="00F65E25"/>
    <w:rsid w:val="00F716C3"/>
    <w:rsid w:val="00F746B7"/>
    <w:rsid w:val="00F752F9"/>
    <w:rsid w:val="00F75ACD"/>
    <w:rsid w:val="00F76143"/>
    <w:rsid w:val="00F77536"/>
    <w:rsid w:val="00F80821"/>
    <w:rsid w:val="00F83F10"/>
    <w:rsid w:val="00F8641A"/>
    <w:rsid w:val="00F90809"/>
    <w:rsid w:val="00F90ED3"/>
    <w:rsid w:val="00F936EC"/>
    <w:rsid w:val="00F94AB1"/>
    <w:rsid w:val="00FA0D00"/>
    <w:rsid w:val="00FA4214"/>
    <w:rsid w:val="00FA4A05"/>
    <w:rsid w:val="00FA4DCE"/>
    <w:rsid w:val="00FA65CA"/>
    <w:rsid w:val="00FA7311"/>
    <w:rsid w:val="00FB02B0"/>
    <w:rsid w:val="00FB36E5"/>
    <w:rsid w:val="00FB3F2B"/>
    <w:rsid w:val="00FB468F"/>
    <w:rsid w:val="00FB7E35"/>
    <w:rsid w:val="00FC11B6"/>
    <w:rsid w:val="00FC29B8"/>
    <w:rsid w:val="00FC318A"/>
    <w:rsid w:val="00FC61D0"/>
    <w:rsid w:val="00FD2F8B"/>
    <w:rsid w:val="00FD40B5"/>
    <w:rsid w:val="00FD5BE9"/>
    <w:rsid w:val="00FD6279"/>
    <w:rsid w:val="00FE50EA"/>
    <w:rsid w:val="00FE75EA"/>
    <w:rsid w:val="00FE761F"/>
    <w:rsid w:val="00FF136A"/>
    <w:rsid w:val="00FF5740"/>
    <w:rsid w:val="00FF6DC6"/>
    <w:rsid w:val="00FF7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C61D38-11B7-4C65-B6EF-3CE6F0A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BE7"/>
    <w:rPr>
      <w:color w:val="0000FF" w:themeColor="hyperlink"/>
      <w:u w:val="single"/>
    </w:rPr>
  </w:style>
  <w:style w:type="character" w:customStyle="1" w:styleId="acknowledgements">
    <w:name w:val="acknowledgements"/>
    <w:basedOn w:val="DefaultParagraphFont"/>
    <w:rsid w:val="00A16BE7"/>
  </w:style>
  <w:style w:type="table" w:styleId="TableGrid">
    <w:name w:val="Table Grid"/>
    <w:basedOn w:val="TableNormal"/>
    <w:uiPriority w:val="59"/>
    <w:rsid w:val="0025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770"/>
  </w:style>
  <w:style w:type="paragraph" w:styleId="Footer">
    <w:name w:val="footer"/>
    <w:basedOn w:val="Normal"/>
    <w:link w:val="FooterChar"/>
    <w:uiPriority w:val="99"/>
    <w:unhideWhenUsed/>
    <w:rsid w:val="00A91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770"/>
  </w:style>
  <w:style w:type="paragraph" w:styleId="Bibliography">
    <w:name w:val="Bibliography"/>
    <w:basedOn w:val="Normal"/>
    <w:next w:val="Normal"/>
    <w:uiPriority w:val="37"/>
    <w:unhideWhenUsed/>
    <w:rsid w:val="00D64E8E"/>
    <w:pPr>
      <w:spacing w:after="240" w:line="480" w:lineRule="auto"/>
    </w:pPr>
  </w:style>
  <w:style w:type="paragraph" w:styleId="BalloonText">
    <w:name w:val="Balloon Text"/>
    <w:basedOn w:val="Normal"/>
    <w:link w:val="BalloonTextChar"/>
    <w:uiPriority w:val="99"/>
    <w:semiHidden/>
    <w:unhideWhenUsed/>
    <w:rsid w:val="00FE7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61F"/>
    <w:rPr>
      <w:rFonts w:ascii="Tahoma" w:hAnsi="Tahoma" w:cs="Tahoma"/>
      <w:sz w:val="16"/>
      <w:szCs w:val="16"/>
    </w:rPr>
  </w:style>
  <w:style w:type="character" w:styleId="CommentReference">
    <w:name w:val="annotation reference"/>
    <w:basedOn w:val="DefaultParagraphFont"/>
    <w:uiPriority w:val="99"/>
    <w:semiHidden/>
    <w:unhideWhenUsed/>
    <w:rsid w:val="00EE6446"/>
    <w:rPr>
      <w:sz w:val="16"/>
      <w:szCs w:val="16"/>
    </w:rPr>
  </w:style>
  <w:style w:type="paragraph" w:styleId="CommentText">
    <w:name w:val="annotation text"/>
    <w:basedOn w:val="Normal"/>
    <w:link w:val="CommentTextChar"/>
    <w:uiPriority w:val="99"/>
    <w:semiHidden/>
    <w:unhideWhenUsed/>
    <w:rsid w:val="00EE6446"/>
    <w:pPr>
      <w:spacing w:line="240" w:lineRule="auto"/>
    </w:pPr>
    <w:rPr>
      <w:sz w:val="20"/>
      <w:szCs w:val="20"/>
    </w:rPr>
  </w:style>
  <w:style w:type="character" w:customStyle="1" w:styleId="CommentTextChar">
    <w:name w:val="Comment Text Char"/>
    <w:basedOn w:val="DefaultParagraphFont"/>
    <w:link w:val="CommentText"/>
    <w:uiPriority w:val="99"/>
    <w:semiHidden/>
    <w:rsid w:val="00EE6446"/>
    <w:rPr>
      <w:sz w:val="20"/>
      <w:szCs w:val="20"/>
    </w:rPr>
  </w:style>
  <w:style w:type="paragraph" w:styleId="CommentSubject">
    <w:name w:val="annotation subject"/>
    <w:basedOn w:val="CommentText"/>
    <w:next w:val="CommentText"/>
    <w:link w:val="CommentSubjectChar"/>
    <w:uiPriority w:val="99"/>
    <w:semiHidden/>
    <w:unhideWhenUsed/>
    <w:rsid w:val="00EE6446"/>
    <w:rPr>
      <w:b/>
      <w:bCs/>
    </w:rPr>
  </w:style>
  <w:style w:type="character" w:customStyle="1" w:styleId="CommentSubjectChar">
    <w:name w:val="Comment Subject Char"/>
    <w:basedOn w:val="CommentTextChar"/>
    <w:link w:val="CommentSubject"/>
    <w:uiPriority w:val="99"/>
    <w:semiHidden/>
    <w:rsid w:val="00EE6446"/>
    <w:rPr>
      <w:b/>
      <w:bCs/>
      <w:sz w:val="20"/>
      <w:szCs w:val="20"/>
    </w:rPr>
  </w:style>
  <w:style w:type="paragraph" w:styleId="ListParagraph">
    <w:name w:val="List Paragraph"/>
    <w:basedOn w:val="Normal"/>
    <w:uiPriority w:val="34"/>
    <w:qFormat/>
    <w:rsid w:val="009005F2"/>
    <w:pPr>
      <w:ind w:left="720"/>
      <w:contextualSpacing/>
    </w:pPr>
  </w:style>
  <w:style w:type="paragraph" w:styleId="Revision">
    <w:name w:val="Revision"/>
    <w:hidden/>
    <w:uiPriority w:val="99"/>
    <w:semiHidden/>
    <w:rsid w:val="00632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4591">
      <w:bodyDiv w:val="1"/>
      <w:marLeft w:val="0"/>
      <w:marRight w:val="0"/>
      <w:marTop w:val="0"/>
      <w:marBottom w:val="0"/>
      <w:divBdr>
        <w:top w:val="none" w:sz="0" w:space="0" w:color="auto"/>
        <w:left w:val="none" w:sz="0" w:space="0" w:color="auto"/>
        <w:bottom w:val="none" w:sz="0" w:space="0" w:color="auto"/>
        <w:right w:val="none" w:sz="0" w:space="0" w:color="auto"/>
      </w:divBdr>
    </w:div>
    <w:div w:id="239363852">
      <w:bodyDiv w:val="1"/>
      <w:marLeft w:val="0"/>
      <w:marRight w:val="0"/>
      <w:marTop w:val="0"/>
      <w:marBottom w:val="0"/>
      <w:divBdr>
        <w:top w:val="none" w:sz="0" w:space="0" w:color="auto"/>
        <w:left w:val="none" w:sz="0" w:space="0" w:color="auto"/>
        <w:bottom w:val="none" w:sz="0" w:space="0" w:color="auto"/>
        <w:right w:val="none" w:sz="0" w:space="0" w:color="auto"/>
      </w:divBdr>
    </w:div>
    <w:div w:id="315961428">
      <w:bodyDiv w:val="1"/>
      <w:marLeft w:val="0"/>
      <w:marRight w:val="0"/>
      <w:marTop w:val="0"/>
      <w:marBottom w:val="0"/>
      <w:divBdr>
        <w:top w:val="none" w:sz="0" w:space="0" w:color="auto"/>
        <w:left w:val="none" w:sz="0" w:space="0" w:color="auto"/>
        <w:bottom w:val="none" w:sz="0" w:space="0" w:color="auto"/>
        <w:right w:val="none" w:sz="0" w:space="0" w:color="auto"/>
      </w:divBdr>
    </w:div>
    <w:div w:id="518393769">
      <w:bodyDiv w:val="1"/>
      <w:marLeft w:val="0"/>
      <w:marRight w:val="0"/>
      <w:marTop w:val="0"/>
      <w:marBottom w:val="0"/>
      <w:divBdr>
        <w:top w:val="none" w:sz="0" w:space="0" w:color="auto"/>
        <w:left w:val="none" w:sz="0" w:space="0" w:color="auto"/>
        <w:bottom w:val="none" w:sz="0" w:space="0" w:color="auto"/>
        <w:right w:val="none" w:sz="0" w:space="0" w:color="auto"/>
      </w:divBdr>
    </w:div>
    <w:div w:id="887381719">
      <w:bodyDiv w:val="1"/>
      <w:marLeft w:val="0"/>
      <w:marRight w:val="0"/>
      <w:marTop w:val="0"/>
      <w:marBottom w:val="0"/>
      <w:divBdr>
        <w:top w:val="none" w:sz="0" w:space="0" w:color="auto"/>
        <w:left w:val="none" w:sz="0" w:space="0" w:color="auto"/>
        <w:bottom w:val="none" w:sz="0" w:space="0" w:color="auto"/>
        <w:right w:val="none" w:sz="0" w:space="0" w:color="auto"/>
      </w:divBdr>
    </w:div>
    <w:div w:id="985627597">
      <w:bodyDiv w:val="1"/>
      <w:marLeft w:val="0"/>
      <w:marRight w:val="0"/>
      <w:marTop w:val="0"/>
      <w:marBottom w:val="0"/>
      <w:divBdr>
        <w:top w:val="none" w:sz="0" w:space="0" w:color="auto"/>
        <w:left w:val="none" w:sz="0" w:space="0" w:color="auto"/>
        <w:bottom w:val="none" w:sz="0" w:space="0" w:color="auto"/>
        <w:right w:val="none" w:sz="0" w:space="0" w:color="auto"/>
      </w:divBdr>
    </w:div>
    <w:div w:id="1139299936">
      <w:bodyDiv w:val="1"/>
      <w:marLeft w:val="0"/>
      <w:marRight w:val="0"/>
      <w:marTop w:val="0"/>
      <w:marBottom w:val="0"/>
      <w:divBdr>
        <w:top w:val="none" w:sz="0" w:space="0" w:color="auto"/>
        <w:left w:val="none" w:sz="0" w:space="0" w:color="auto"/>
        <w:bottom w:val="none" w:sz="0" w:space="0" w:color="auto"/>
        <w:right w:val="none" w:sz="0" w:space="0" w:color="auto"/>
      </w:divBdr>
    </w:div>
    <w:div w:id="1218321076">
      <w:bodyDiv w:val="1"/>
      <w:marLeft w:val="0"/>
      <w:marRight w:val="0"/>
      <w:marTop w:val="0"/>
      <w:marBottom w:val="0"/>
      <w:divBdr>
        <w:top w:val="none" w:sz="0" w:space="0" w:color="auto"/>
        <w:left w:val="none" w:sz="0" w:space="0" w:color="auto"/>
        <w:bottom w:val="none" w:sz="0" w:space="0" w:color="auto"/>
        <w:right w:val="none" w:sz="0" w:space="0" w:color="auto"/>
      </w:divBdr>
    </w:div>
    <w:div w:id="1525442871">
      <w:bodyDiv w:val="1"/>
      <w:marLeft w:val="0"/>
      <w:marRight w:val="0"/>
      <w:marTop w:val="0"/>
      <w:marBottom w:val="0"/>
      <w:divBdr>
        <w:top w:val="none" w:sz="0" w:space="0" w:color="auto"/>
        <w:left w:val="none" w:sz="0" w:space="0" w:color="auto"/>
        <w:bottom w:val="none" w:sz="0" w:space="0" w:color="auto"/>
        <w:right w:val="none" w:sz="0" w:space="0" w:color="auto"/>
      </w:divBdr>
    </w:div>
    <w:div w:id="1654985427">
      <w:bodyDiv w:val="1"/>
      <w:marLeft w:val="0"/>
      <w:marRight w:val="0"/>
      <w:marTop w:val="0"/>
      <w:marBottom w:val="0"/>
      <w:divBdr>
        <w:top w:val="none" w:sz="0" w:space="0" w:color="auto"/>
        <w:left w:val="none" w:sz="0" w:space="0" w:color="auto"/>
        <w:bottom w:val="none" w:sz="0" w:space="0" w:color="auto"/>
        <w:right w:val="none" w:sz="0" w:space="0" w:color="auto"/>
      </w:divBdr>
    </w:div>
    <w:div w:id="1968000584">
      <w:bodyDiv w:val="1"/>
      <w:marLeft w:val="0"/>
      <w:marRight w:val="0"/>
      <w:marTop w:val="0"/>
      <w:marBottom w:val="0"/>
      <w:divBdr>
        <w:top w:val="none" w:sz="0" w:space="0" w:color="auto"/>
        <w:left w:val="none" w:sz="0" w:space="0" w:color="auto"/>
        <w:bottom w:val="none" w:sz="0" w:space="0" w:color="auto"/>
        <w:right w:val="none" w:sz="0" w:space="0" w:color="auto"/>
      </w:divBdr>
    </w:div>
    <w:div w:id="2066415747">
      <w:bodyDiv w:val="1"/>
      <w:marLeft w:val="0"/>
      <w:marRight w:val="0"/>
      <w:marTop w:val="0"/>
      <w:marBottom w:val="0"/>
      <w:divBdr>
        <w:top w:val="none" w:sz="0" w:space="0" w:color="auto"/>
        <w:left w:val="none" w:sz="0" w:space="0" w:color="auto"/>
        <w:bottom w:val="none" w:sz="0" w:space="0" w:color="auto"/>
        <w:right w:val="none" w:sz="0" w:space="0" w:color="auto"/>
      </w:divBdr>
    </w:div>
    <w:div w:id="21003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ao-ou.shu@vanderbilt.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iao-ou.shu@vanderbil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7201-C388-4500-9E87-FAA08703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51627</Words>
  <Characters>273624</Characters>
  <Application>Microsoft Office Word</Application>
  <DocSecurity>4</DocSecurity>
  <Lines>2280</Lines>
  <Paragraphs>649</Paragraphs>
  <ScaleCrop>false</ScaleCrop>
  <HeadingPairs>
    <vt:vector size="2" baseType="variant">
      <vt:variant>
        <vt:lpstr>Title</vt:lpstr>
      </vt:variant>
      <vt:variant>
        <vt:i4>1</vt:i4>
      </vt:variant>
    </vt:vector>
  </HeadingPairs>
  <TitlesOfParts>
    <vt:vector size="1" baseType="lpstr">
      <vt:lpstr/>
    </vt:vector>
  </TitlesOfParts>
  <Company>Vanderbilt University Medical Center</Company>
  <LinksUpToDate>false</LinksUpToDate>
  <CharactersWithSpaces>324602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Danxia</dc:creator>
  <cp:lastModifiedBy>Arnulf Langhammer</cp:lastModifiedBy>
  <cp:revision>2</cp:revision>
  <cp:lastPrinted>2016-03-21T21:18:00Z</cp:lastPrinted>
  <dcterms:created xsi:type="dcterms:W3CDTF">2018-06-06T13:26:00Z</dcterms:created>
  <dcterms:modified xsi:type="dcterms:W3CDTF">2018-06-06T13:26:00Z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id="Y8aG5fmL"/&gt;&lt;style id="http://www.zotero.org/styles/journal-of-clinical-oncology" hasBibliography="1" bibliographyStyleHasBeenSet="1"/&gt;&lt;prefs&gt;&lt;pref name="fieldType" value="Field"/&gt;&lt;pref name="stor</vt:lpwstr>
  </property>
  <property fmtid="{D5CDD505-2E9C-101B-9397-08002B2CF9AE}" pid="3" name="ZOTERO_PREF_2">
    <vt:lpwstr>eReferences" value="true"/&gt;&lt;pref name="automaticJournalAbbreviations" value="true"/&gt;&lt;pref name="noteType" value="0"/&gt;&lt;/prefs&gt;&lt;/data&gt;</vt:lpwstr>
  </property>
</Properties>
</file>