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639" w:rsidRPr="00A77CBA" w:rsidRDefault="00C80D93" w:rsidP="002A436C">
      <w:pPr>
        <w:pStyle w:val="Tableofcontents"/>
        <w:jc w:val="both"/>
        <w:rPr>
          <w:b/>
          <w:lang w:val="en-GB"/>
        </w:rPr>
      </w:pPr>
      <w:r>
        <w:rPr>
          <w:b/>
          <w:lang w:val="en-GB"/>
        </w:rPr>
        <w:t>Polymer sequencing by molecular machine</w:t>
      </w:r>
      <w:r w:rsidR="00543C1F">
        <w:rPr>
          <w:b/>
          <w:lang w:val="en-GB"/>
        </w:rPr>
        <w:t>s</w:t>
      </w:r>
      <w:r>
        <w:rPr>
          <w:b/>
          <w:lang w:val="en-GB"/>
        </w:rPr>
        <w:t xml:space="preserve">: </w:t>
      </w:r>
      <w:r w:rsidR="00477639" w:rsidRPr="00A77CBA">
        <w:rPr>
          <w:b/>
          <w:lang w:val="en-GB"/>
        </w:rPr>
        <w:t xml:space="preserve">A framework for predicting the resolving power of a sliding contact force spectroscopy </w:t>
      </w:r>
      <w:r w:rsidR="00543C1F">
        <w:rPr>
          <w:b/>
          <w:lang w:val="en-GB"/>
        </w:rPr>
        <w:t>sequencing method</w:t>
      </w:r>
      <w:r>
        <w:rPr>
          <w:b/>
          <w:lang w:val="en-GB"/>
        </w:rPr>
        <w:t>.</w:t>
      </w:r>
    </w:p>
    <w:p w:rsidR="00477639" w:rsidRPr="00A77CBA" w:rsidRDefault="00477639" w:rsidP="002A436C">
      <w:pPr>
        <w:pStyle w:val="Tableofcontents"/>
        <w:jc w:val="both"/>
        <w:rPr>
          <w:lang w:val="en-GB"/>
        </w:rPr>
      </w:pPr>
    </w:p>
    <w:p w:rsidR="00477639" w:rsidRPr="00A77CBA" w:rsidRDefault="00477639" w:rsidP="002A436C">
      <w:pPr>
        <w:pStyle w:val="Tableofcontents"/>
        <w:jc w:val="both"/>
        <w:rPr>
          <w:i/>
          <w:lang w:val="en-GB"/>
        </w:rPr>
      </w:pPr>
      <w:r w:rsidRPr="00A77CBA">
        <w:rPr>
          <w:i/>
          <w:lang w:val="en-GB"/>
        </w:rPr>
        <w:t>Alex Dunlop</w:t>
      </w:r>
      <w:r w:rsidR="00051C28">
        <w:rPr>
          <w:i/>
          <w:vertAlign w:val="superscript"/>
          <w:lang w:val="en-GB"/>
        </w:rPr>
        <w:t>a</w:t>
      </w:r>
      <w:r w:rsidRPr="00A77CBA">
        <w:rPr>
          <w:i/>
          <w:lang w:val="en-GB"/>
        </w:rPr>
        <w:t>, Kate Bowma</w:t>
      </w:r>
      <w:r w:rsidR="00051C28">
        <w:rPr>
          <w:i/>
          <w:lang w:val="en-GB"/>
        </w:rPr>
        <w:t>n</w:t>
      </w:r>
      <w:r w:rsidR="00051C28">
        <w:rPr>
          <w:i/>
          <w:vertAlign w:val="superscript"/>
          <w:lang w:val="en-GB"/>
        </w:rPr>
        <w:t>b</w:t>
      </w:r>
      <w:r w:rsidRPr="00A77CBA">
        <w:rPr>
          <w:i/>
          <w:lang w:val="en-GB"/>
        </w:rPr>
        <w:t xml:space="preserve">, </w:t>
      </w:r>
      <w:r w:rsidR="001727A6">
        <w:rPr>
          <w:i/>
          <w:lang w:val="en-GB"/>
        </w:rPr>
        <w:t>Olav Aarstad</w:t>
      </w:r>
      <w:r w:rsidR="00E1743B">
        <w:rPr>
          <w:i/>
          <w:vertAlign w:val="superscript"/>
          <w:lang w:val="en-GB"/>
        </w:rPr>
        <w:t>c</w:t>
      </w:r>
      <w:r w:rsidR="001727A6">
        <w:rPr>
          <w:i/>
          <w:lang w:val="en-GB"/>
        </w:rPr>
        <w:t xml:space="preserve">, </w:t>
      </w:r>
      <w:r w:rsidR="006A7541" w:rsidRPr="006A7541">
        <w:rPr>
          <w:i/>
          <w:lang w:val="en-GB"/>
        </w:rPr>
        <w:t>Gudmund Skjåk-Bræk</w:t>
      </w:r>
      <w:r w:rsidR="00E1743B">
        <w:rPr>
          <w:i/>
          <w:vertAlign w:val="superscript"/>
          <w:lang w:val="en-GB"/>
        </w:rPr>
        <w:t>c</w:t>
      </w:r>
      <w:r w:rsidR="006A7541" w:rsidRPr="006A7541">
        <w:rPr>
          <w:i/>
          <w:lang w:val="en-GB"/>
        </w:rPr>
        <w:t>,</w:t>
      </w:r>
      <w:r w:rsidR="006A7541" w:rsidRPr="00A77CBA">
        <w:rPr>
          <w:i/>
          <w:lang w:val="en-GB"/>
        </w:rPr>
        <w:t xml:space="preserve"> </w:t>
      </w:r>
      <w:r w:rsidRPr="00A77CBA">
        <w:rPr>
          <w:i/>
          <w:lang w:val="en-GB"/>
        </w:rPr>
        <w:t>Bjørn T. Stokk</w:t>
      </w:r>
      <w:r w:rsidR="00051C28">
        <w:rPr>
          <w:i/>
          <w:lang w:val="en-GB"/>
        </w:rPr>
        <w:t>e</w:t>
      </w:r>
      <w:r w:rsidR="00E1743B">
        <w:rPr>
          <w:i/>
          <w:vertAlign w:val="superscript"/>
          <w:lang w:val="en-GB"/>
        </w:rPr>
        <w:t>d</w:t>
      </w:r>
      <w:r w:rsidRPr="00A77CBA">
        <w:rPr>
          <w:i/>
          <w:lang w:val="en-GB"/>
        </w:rPr>
        <w:t>, Andrew N. Roun</w:t>
      </w:r>
      <w:r w:rsidR="00051C28">
        <w:rPr>
          <w:i/>
          <w:lang w:val="en-GB"/>
        </w:rPr>
        <w:t>d</w:t>
      </w:r>
      <w:r w:rsidR="00051C28">
        <w:rPr>
          <w:i/>
          <w:vertAlign w:val="superscript"/>
          <w:lang w:val="en-GB"/>
        </w:rPr>
        <w:t>b</w:t>
      </w:r>
      <w:r w:rsidRPr="00A77CBA">
        <w:rPr>
          <w:i/>
          <w:vertAlign w:val="superscript"/>
          <w:lang w:val="en-GB"/>
        </w:rPr>
        <w:t>*</w:t>
      </w:r>
      <w:r w:rsidRPr="00A77CBA">
        <w:rPr>
          <w:i/>
          <w:lang w:val="en-GB"/>
        </w:rPr>
        <w:t xml:space="preserve"> </w:t>
      </w:r>
    </w:p>
    <w:p w:rsidR="00477639" w:rsidRPr="00A77CBA" w:rsidRDefault="00477639" w:rsidP="002A436C">
      <w:pPr>
        <w:pStyle w:val="Tableofcontents"/>
        <w:jc w:val="both"/>
        <w:rPr>
          <w:lang w:val="en-GB"/>
        </w:rPr>
      </w:pPr>
    </w:p>
    <w:p w:rsidR="00477639" w:rsidRPr="00A77CBA" w:rsidRDefault="00477639" w:rsidP="002A436C">
      <w:pPr>
        <w:pStyle w:val="Tableofcontents"/>
        <w:jc w:val="both"/>
        <w:rPr>
          <w:lang w:val="en-GB"/>
        </w:rPr>
      </w:pPr>
    </w:p>
    <w:p w:rsidR="00477639" w:rsidRPr="00A77CBA" w:rsidRDefault="00051C28" w:rsidP="002A436C">
      <w:pPr>
        <w:pStyle w:val="Addresses"/>
        <w:jc w:val="both"/>
        <w:outlineLvl w:val="0"/>
        <w:rPr>
          <w:lang w:val="en-GB"/>
        </w:rPr>
      </w:pPr>
      <w:r>
        <w:rPr>
          <w:lang w:val="en-GB"/>
        </w:rPr>
        <w:t>(a)</w:t>
      </w:r>
      <w:r w:rsidR="00477639" w:rsidRPr="00A77CBA">
        <w:rPr>
          <w:lang w:val="en-GB"/>
        </w:rPr>
        <w:t xml:space="preserve"> Dr. A. Dunlop</w:t>
      </w:r>
    </w:p>
    <w:p w:rsidR="00477639" w:rsidRPr="00A77CBA" w:rsidRDefault="00477639" w:rsidP="002A436C">
      <w:pPr>
        <w:pStyle w:val="Addresses"/>
        <w:jc w:val="both"/>
        <w:rPr>
          <w:vertAlign w:val="superscript"/>
          <w:lang w:val="en-GB"/>
        </w:rPr>
      </w:pPr>
      <w:r w:rsidRPr="00A77CBA">
        <w:rPr>
          <w:lang w:val="en-GB"/>
        </w:rPr>
        <w:t>HH Wills Physics Laboratory, University of Bristol, Tyndall Avenue, Bristol BS8 1TL, UK</w:t>
      </w:r>
    </w:p>
    <w:p w:rsidR="00477639" w:rsidRPr="00A77CBA" w:rsidRDefault="00051C28" w:rsidP="002A436C">
      <w:pPr>
        <w:pStyle w:val="Addresses"/>
        <w:jc w:val="both"/>
        <w:outlineLvl w:val="0"/>
        <w:rPr>
          <w:vertAlign w:val="superscript"/>
          <w:lang w:val="en-GB"/>
        </w:rPr>
      </w:pPr>
      <w:r>
        <w:rPr>
          <w:lang w:val="en-GB"/>
        </w:rPr>
        <w:t>(b)</w:t>
      </w:r>
      <w:r w:rsidR="00477639" w:rsidRPr="00A77CBA">
        <w:rPr>
          <w:lang w:val="en-GB"/>
        </w:rPr>
        <w:t xml:space="preserve"> Dr. K. Bowman, Dr. A. N. Round (*corresponding author; e-mail: a.round@uea.ac.uk)</w:t>
      </w:r>
    </w:p>
    <w:p w:rsidR="00477639" w:rsidRDefault="00477639" w:rsidP="002A436C">
      <w:pPr>
        <w:pStyle w:val="Addresses"/>
        <w:jc w:val="both"/>
        <w:rPr>
          <w:lang w:val="en-GB"/>
        </w:rPr>
      </w:pPr>
      <w:r w:rsidRPr="00A77CBA">
        <w:rPr>
          <w:lang w:val="en-GB"/>
        </w:rPr>
        <w:t>School of Pharmacy, University of East Anglia, Norwich Research Park, Norwich NR4 7TJ, UK</w:t>
      </w:r>
    </w:p>
    <w:p w:rsidR="00D9444C" w:rsidRPr="002A436C" w:rsidRDefault="00051C28" w:rsidP="002A436C">
      <w:pPr>
        <w:pStyle w:val="Addresses"/>
        <w:jc w:val="both"/>
        <w:outlineLvl w:val="0"/>
        <w:rPr>
          <w:lang w:val="nb-NO"/>
        </w:rPr>
      </w:pPr>
      <w:r w:rsidRPr="002A436C">
        <w:rPr>
          <w:lang w:val="nb-NO"/>
        </w:rPr>
        <w:t xml:space="preserve">(c) </w:t>
      </w:r>
      <w:r w:rsidR="00D9444C" w:rsidRPr="002A436C">
        <w:rPr>
          <w:lang w:val="nb-NO"/>
        </w:rPr>
        <w:t>Dr. O. A. Aarstad</w:t>
      </w:r>
      <w:r w:rsidR="004A1024" w:rsidRPr="002A436C">
        <w:rPr>
          <w:lang w:val="nb-NO"/>
        </w:rPr>
        <w:t xml:space="preserve">, Prof. </w:t>
      </w:r>
      <w:r w:rsidR="006A7541" w:rsidRPr="002A436C">
        <w:rPr>
          <w:lang w:val="nb-NO"/>
        </w:rPr>
        <w:t>G. Skjåk-Bræk</w:t>
      </w:r>
    </w:p>
    <w:p w:rsidR="006E4464" w:rsidRPr="00D9444C" w:rsidRDefault="006E4464" w:rsidP="002A436C">
      <w:pPr>
        <w:pStyle w:val="Addresses"/>
        <w:jc w:val="both"/>
        <w:rPr>
          <w:lang w:val="en-GB"/>
        </w:rPr>
      </w:pPr>
      <w:r w:rsidRPr="00D9444C">
        <w:t>Department of Biotechnology, The Norwegian University of Science and Technology, NTNU, NO-7491 Trondheim, Norway</w:t>
      </w:r>
    </w:p>
    <w:p w:rsidR="00477639" w:rsidRPr="00A77CBA" w:rsidRDefault="00797C19" w:rsidP="002A436C">
      <w:pPr>
        <w:pStyle w:val="Addresses"/>
        <w:jc w:val="both"/>
        <w:outlineLvl w:val="0"/>
        <w:rPr>
          <w:lang w:val="en-GB"/>
        </w:rPr>
      </w:pPr>
      <w:r>
        <w:rPr>
          <w:lang w:val="en-GB"/>
        </w:rPr>
        <w:t>(d</w:t>
      </w:r>
      <w:r w:rsidR="00051C28">
        <w:rPr>
          <w:lang w:val="en-GB"/>
        </w:rPr>
        <w:t>)</w:t>
      </w:r>
      <w:r w:rsidR="00477639" w:rsidRPr="00A77CBA">
        <w:rPr>
          <w:lang w:val="en-GB"/>
        </w:rPr>
        <w:t xml:space="preserve"> Prof. B. T. Stokke</w:t>
      </w:r>
    </w:p>
    <w:p w:rsidR="00477639" w:rsidRPr="00A77CBA" w:rsidRDefault="00477639" w:rsidP="002A436C">
      <w:pPr>
        <w:pStyle w:val="Addresses"/>
        <w:jc w:val="both"/>
        <w:rPr>
          <w:vertAlign w:val="superscript"/>
          <w:lang w:val="en-GB"/>
        </w:rPr>
      </w:pPr>
      <w:r w:rsidRPr="00A77CBA">
        <w:rPr>
          <w:lang w:val="en-GB"/>
        </w:rPr>
        <w:t>Department of Physics, The Norwegian University of Science and Technology, NTNU, NO-7491 Trondheim, Norway</w:t>
      </w:r>
    </w:p>
    <w:p w:rsidR="00477639" w:rsidRPr="00A77CBA" w:rsidRDefault="00477639" w:rsidP="002A436C">
      <w:pPr>
        <w:pStyle w:val="Addresses"/>
        <w:jc w:val="both"/>
        <w:rPr>
          <w:lang w:val="en-GB"/>
        </w:rPr>
      </w:pPr>
    </w:p>
    <w:p w:rsidR="00477639" w:rsidRPr="00A77CBA" w:rsidRDefault="00477639" w:rsidP="002A436C">
      <w:pPr>
        <w:jc w:val="both"/>
        <w:rPr>
          <w:lang w:val="en-GB"/>
        </w:rPr>
      </w:pPr>
    </w:p>
    <w:p w:rsidR="00477639" w:rsidRPr="00A77CBA" w:rsidRDefault="00477639" w:rsidP="002A436C">
      <w:pPr>
        <w:jc w:val="both"/>
        <w:rPr>
          <w:lang w:val="en-GB"/>
        </w:rPr>
      </w:pPr>
      <w:r w:rsidRPr="00A77CBA">
        <w:rPr>
          <w:bCs/>
          <w:lang w:val="en-GB"/>
        </w:rPr>
        <w:t xml:space="preserve">Keywords: </w:t>
      </w:r>
      <w:r w:rsidR="00543C1F">
        <w:rPr>
          <w:bCs/>
          <w:lang w:val="en-GB"/>
        </w:rPr>
        <w:t xml:space="preserve">molecular machines, </w:t>
      </w:r>
      <w:r w:rsidRPr="00A77CBA">
        <w:rPr>
          <w:lang w:val="en-GB"/>
        </w:rPr>
        <w:t>single molecule force</w:t>
      </w:r>
      <w:r w:rsidRPr="00A77CBA">
        <w:rPr>
          <w:b/>
          <w:lang w:val="en-GB"/>
        </w:rPr>
        <w:t xml:space="preserve"> </w:t>
      </w:r>
      <w:r w:rsidRPr="00A77CBA">
        <w:rPr>
          <w:rFonts w:eastAsia="MS Gothic"/>
          <w:lang w:val="en-GB"/>
        </w:rPr>
        <w:t>spectroscopy, nanopores, polymers, sequencing, rotaxanes</w:t>
      </w:r>
      <w:r w:rsidR="00F31931">
        <w:rPr>
          <w:rFonts w:eastAsia="MS Gothic"/>
          <w:lang w:val="en-GB"/>
        </w:rPr>
        <w:t>, glycosylation, post-translational modification</w:t>
      </w:r>
    </w:p>
    <w:p w:rsidR="00477639" w:rsidRDefault="00477639" w:rsidP="002A436C">
      <w:pPr>
        <w:spacing w:line="480" w:lineRule="auto"/>
        <w:jc w:val="both"/>
        <w:rPr>
          <w:lang w:val="en-GB"/>
        </w:rPr>
      </w:pPr>
    </w:p>
    <w:p w:rsidR="00871F3C" w:rsidRPr="005946AD" w:rsidRDefault="00871F3C" w:rsidP="002A436C">
      <w:pPr>
        <w:spacing w:line="480" w:lineRule="auto"/>
        <w:jc w:val="both"/>
        <w:outlineLvl w:val="0"/>
        <w:rPr>
          <w:b/>
          <w:lang w:val="en-GB"/>
        </w:rPr>
      </w:pPr>
      <w:r w:rsidRPr="005946AD">
        <w:rPr>
          <w:b/>
          <w:lang w:val="en-GB"/>
        </w:rPr>
        <w:t>Abstract</w:t>
      </w:r>
    </w:p>
    <w:p w:rsidR="00871F3C" w:rsidRPr="00E913E6" w:rsidRDefault="00E06309" w:rsidP="002A436C">
      <w:pPr>
        <w:spacing w:line="480" w:lineRule="auto"/>
        <w:jc w:val="both"/>
        <w:rPr>
          <w:lang w:val="en-GB"/>
        </w:rPr>
      </w:pPr>
      <w:r>
        <w:rPr>
          <w:lang w:val="en-GB"/>
        </w:rPr>
        <w:t>W</w:t>
      </w:r>
      <w:r w:rsidR="0041697A" w:rsidRPr="00E913E6">
        <w:rPr>
          <w:lang w:val="en-GB"/>
        </w:rPr>
        <w:t xml:space="preserve">e </w:t>
      </w:r>
      <w:r>
        <w:rPr>
          <w:lang w:val="en-GB"/>
        </w:rPr>
        <w:t>evaluate</w:t>
      </w:r>
      <w:r w:rsidR="003C3718">
        <w:rPr>
          <w:lang w:val="en-GB"/>
        </w:rPr>
        <w:t xml:space="preserve"> </w:t>
      </w:r>
      <w:r w:rsidR="004E7290">
        <w:rPr>
          <w:lang w:val="en-GB"/>
        </w:rPr>
        <w:t xml:space="preserve">an AFM-based single molecule force spectroscopy method </w:t>
      </w:r>
      <w:r>
        <w:rPr>
          <w:lang w:val="en-GB"/>
        </w:rPr>
        <w:t xml:space="preserve">for </w:t>
      </w:r>
      <w:r w:rsidR="00FE0E31">
        <w:rPr>
          <w:lang w:val="en-GB"/>
        </w:rPr>
        <w:t xml:space="preserve">mapping sequences in </w:t>
      </w:r>
      <w:r>
        <w:rPr>
          <w:lang w:val="en-GB"/>
        </w:rPr>
        <w:t xml:space="preserve">otherwise difficult to sequence heteropolymers, including glycosylated proteins and glycans. The </w:t>
      </w:r>
      <w:r w:rsidR="00663E56">
        <w:rPr>
          <w:lang w:val="en-GB"/>
        </w:rPr>
        <w:t xml:space="preserve">sliding contact force spectroscopy (SCFS) </w:t>
      </w:r>
      <w:r>
        <w:rPr>
          <w:lang w:val="en-GB"/>
        </w:rPr>
        <w:t>method</w:t>
      </w:r>
      <w:r w:rsidR="003C3718">
        <w:rPr>
          <w:lang w:val="en-GB"/>
        </w:rPr>
        <w:t xml:space="preserve"> exploits</w:t>
      </w:r>
      <w:r w:rsidR="004E7290">
        <w:rPr>
          <w:lang w:val="en-GB"/>
        </w:rPr>
        <w:t xml:space="preserve"> a sliding contact made between a </w:t>
      </w:r>
      <w:r w:rsidR="006454E7">
        <w:rPr>
          <w:lang w:val="en-GB"/>
        </w:rPr>
        <w:t>nanopore</w:t>
      </w:r>
      <w:r w:rsidR="004E7290">
        <w:rPr>
          <w:lang w:val="en-GB"/>
        </w:rPr>
        <w:t xml:space="preserve"> threaded over a polymer axle and an AFM probe</w:t>
      </w:r>
      <w:r w:rsidR="003C3718">
        <w:rPr>
          <w:lang w:val="en-GB"/>
        </w:rPr>
        <w:t>.</w:t>
      </w:r>
      <w:r w:rsidR="004E7290">
        <w:rPr>
          <w:lang w:val="en-GB"/>
        </w:rPr>
        <w:t xml:space="preserve"> </w:t>
      </w:r>
      <w:r w:rsidR="003C3718">
        <w:rPr>
          <w:lang w:val="en-GB"/>
        </w:rPr>
        <w:t xml:space="preserve">We find that for </w:t>
      </w:r>
      <w:r w:rsidR="00075256" w:rsidRPr="00075256">
        <w:rPr>
          <w:lang w:val="en-GB"/>
        </w:rPr>
        <w:t xml:space="preserve">sliding </w:t>
      </w:r>
      <w:r w:rsidR="00075256" w:rsidRPr="00075256">
        <w:t>α</w:t>
      </w:r>
      <w:r w:rsidR="00075256" w:rsidRPr="002A436C">
        <w:rPr>
          <w:lang w:val="en-US"/>
        </w:rPr>
        <w:t xml:space="preserve">- and </w:t>
      </w:r>
      <w:r w:rsidR="00075256" w:rsidRPr="00075256">
        <w:t>β</w:t>
      </w:r>
      <w:r w:rsidR="00075256">
        <w:rPr>
          <w:lang w:val="en-GB"/>
        </w:rPr>
        <w:t xml:space="preserve">- cyclodextrin nanopores over </w:t>
      </w:r>
      <w:r w:rsidR="003C3718">
        <w:rPr>
          <w:lang w:val="en-GB"/>
        </w:rPr>
        <w:t>a wide r</w:t>
      </w:r>
      <w:r w:rsidR="00075256">
        <w:rPr>
          <w:lang w:val="en-GB"/>
        </w:rPr>
        <w:t>ange of hydrophilic monomers</w:t>
      </w:r>
      <w:r w:rsidR="003C3718">
        <w:rPr>
          <w:lang w:val="en-GB"/>
        </w:rPr>
        <w:t xml:space="preserve">, the </w:t>
      </w:r>
      <w:r w:rsidR="00AC74DD">
        <w:rPr>
          <w:lang w:val="en-GB"/>
        </w:rPr>
        <w:t xml:space="preserve">free energy of </w:t>
      </w:r>
      <w:r w:rsidR="00075256">
        <w:rPr>
          <w:lang w:val="en-GB"/>
        </w:rPr>
        <w:t xml:space="preserve">sliding is proportional to the </w:t>
      </w:r>
      <w:r w:rsidR="003C3718">
        <w:rPr>
          <w:lang w:val="en-GB"/>
        </w:rPr>
        <w:t>sum of two dimensionless</w:t>
      </w:r>
      <w:r w:rsidR="00075256">
        <w:rPr>
          <w:lang w:val="en-GB"/>
        </w:rPr>
        <w:t>, easily calculable</w:t>
      </w:r>
      <w:r w:rsidR="003C3718">
        <w:rPr>
          <w:lang w:val="en-GB"/>
        </w:rPr>
        <w:t xml:space="preserve"> parameters representing </w:t>
      </w:r>
      <w:r w:rsidR="006454E7">
        <w:rPr>
          <w:lang w:val="en-GB"/>
        </w:rPr>
        <w:t xml:space="preserve">the </w:t>
      </w:r>
      <w:r w:rsidR="00075256">
        <w:rPr>
          <w:lang w:val="en-GB"/>
        </w:rPr>
        <w:t xml:space="preserve">relative </w:t>
      </w:r>
      <w:r>
        <w:rPr>
          <w:lang w:val="en-GB"/>
        </w:rPr>
        <w:t>partitioning</w:t>
      </w:r>
      <w:r w:rsidR="006454E7">
        <w:rPr>
          <w:lang w:val="en-GB"/>
        </w:rPr>
        <w:t xml:space="preserve"> of the monomer inside the nanopore</w:t>
      </w:r>
      <w:r w:rsidR="00075256">
        <w:rPr>
          <w:lang w:val="en-GB"/>
        </w:rPr>
        <w:t xml:space="preserve"> or in the aqueous phase, and the friction arising from sliding the </w:t>
      </w:r>
      <w:r w:rsidR="00663E56">
        <w:rPr>
          <w:lang w:val="en-GB"/>
        </w:rPr>
        <w:t>nanopore over the monomer</w:t>
      </w:r>
      <w:r w:rsidR="00075256">
        <w:rPr>
          <w:lang w:val="en-GB"/>
        </w:rPr>
        <w:t xml:space="preserve">. </w:t>
      </w:r>
      <w:r w:rsidR="00075256" w:rsidRPr="00663E56">
        <w:rPr>
          <w:lang w:val="en-GB"/>
        </w:rPr>
        <w:t>Using this relation</w:t>
      </w:r>
      <w:r w:rsidR="0028098F">
        <w:rPr>
          <w:lang w:val="en-GB"/>
        </w:rPr>
        <w:t>ship</w:t>
      </w:r>
      <w:r w:rsidR="00075256" w:rsidRPr="00663E56">
        <w:rPr>
          <w:lang w:val="en-GB"/>
        </w:rPr>
        <w:t xml:space="preserve"> we</w:t>
      </w:r>
      <w:r w:rsidR="00075256">
        <w:rPr>
          <w:lang w:val="en-GB"/>
        </w:rPr>
        <w:t xml:space="preserve"> </w:t>
      </w:r>
      <w:r w:rsidR="009E16C0">
        <w:rPr>
          <w:lang w:val="en-GB"/>
        </w:rPr>
        <w:t xml:space="preserve">calculate sliding energies for nucleic acids, amino acids, glycan and synthetic monomers and </w:t>
      </w:r>
      <w:r w:rsidR="00663E56">
        <w:rPr>
          <w:lang w:val="en-GB"/>
        </w:rPr>
        <w:t xml:space="preserve">predict </w:t>
      </w:r>
      <w:r w:rsidR="005753E5">
        <w:rPr>
          <w:lang w:val="en-GB"/>
        </w:rPr>
        <w:t xml:space="preserve">on the basis of these calculations </w:t>
      </w:r>
      <w:r w:rsidR="00663E56">
        <w:rPr>
          <w:lang w:val="en-GB"/>
        </w:rPr>
        <w:t>that SCFS will detect N- and O-</w:t>
      </w:r>
      <w:r w:rsidR="00663E56">
        <w:rPr>
          <w:lang w:val="en-GB"/>
        </w:rPr>
        <w:lastRenderedPageBreak/>
        <w:t>glycosylation of proteins and patterns of sidechains in glycans</w:t>
      </w:r>
      <w:r w:rsidR="009E16C0">
        <w:rPr>
          <w:lang w:val="en-GB"/>
        </w:rPr>
        <w:t>.</w:t>
      </w:r>
      <w:r w:rsidR="005753E5">
        <w:rPr>
          <w:lang w:val="en-GB"/>
        </w:rPr>
        <w:t xml:space="preserve"> For these applications, SCFS offers an alternative to sequence mapping by mass spectrometry or newly-emerging nanopore technologies that may be </w:t>
      </w:r>
      <w:r w:rsidR="00AD27F5">
        <w:rPr>
          <w:lang w:val="en-GB"/>
        </w:rPr>
        <w:t>easily implemented</w:t>
      </w:r>
      <w:r w:rsidR="005753E5">
        <w:rPr>
          <w:lang w:val="en-GB"/>
        </w:rPr>
        <w:t xml:space="preserve"> using a standard AFM.</w:t>
      </w:r>
    </w:p>
    <w:p w:rsidR="00871F3C" w:rsidRPr="00A77CBA" w:rsidRDefault="00871F3C" w:rsidP="002A436C">
      <w:pPr>
        <w:spacing w:line="480" w:lineRule="auto"/>
        <w:jc w:val="both"/>
        <w:rPr>
          <w:lang w:val="en-GB"/>
        </w:rPr>
      </w:pPr>
    </w:p>
    <w:p w:rsidR="00477639" w:rsidRPr="00297352" w:rsidRDefault="00477639" w:rsidP="002A436C">
      <w:pPr>
        <w:pStyle w:val="Head1"/>
        <w:jc w:val="both"/>
      </w:pPr>
      <w:r w:rsidRPr="00297352">
        <w:t>Introduction</w:t>
      </w:r>
    </w:p>
    <w:p w:rsidR="00477639" w:rsidRPr="000C2BAB" w:rsidRDefault="00E06309" w:rsidP="002A436C">
      <w:pPr>
        <w:pStyle w:val="Head1"/>
        <w:jc w:val="both"/>
      </w:pPr>
      <w:r w:rsidRPr="000C2BAB">
        <w:t>While the sequencing of DNA is now routine, with more rapid and more accurate approaches under constant development, a method for sequencing long stretches of other polymers, whether naturally occurring (such as polysaccharides) or synthetic, does not exist.</w:t>
      </w:r>
      <w:r w:rsidR="00690D20" w:rsidRPr="000C2BAB">
        <w:t xml:space="preserve"> There is a pressing, unmet need for a polysaccharide sequence mapping tool</w:t>
      </w:r>
      <w:r w:rsidR="008A3921" w:rsidRPr="000C2BAB">
        <w:t xml:space="preserve">, since these polymers lack a canonical sequence and instead the pattern of monomer </w:t>
      </w:r>
      <w:r w:rsidR="0088179E" w:rsidRPr="000C2BAB">
        <w:t xml:space="preserve">and branching </w:t>
      </w:r>
      <w:r w:rsidR="008A3921" w:rsidRPr="000C2BAB">
        <w:t>sequence depends on several factors, determined by cellular metabolism, developmental stage, nutrient availability and others</w:t>
      </w:r>
      <w:r w:rsidR="00514836" w:rsidRPr="008A087E">
        <w:fldChar w:fldCharType="begin"/>
      </w:r>
      <w:r w:rsidR="00126622" w:rsidRPr="000C2BAB">
        <w:instrText xml:space="preserve"> ADDIN PAPERS2_CITATIONS &lt;citation&gt;&lt;uuid&gt;A49B10AC-F637-411A-A47F-95FFECE65985&lt;/uuid&gt;&lt;priority&gt;0&lt;/priority&gt;&lt;publications&gt;&lt;publication&gt;&lt;uuid&gt;9363E58E-3A4F-472B-AD62-6A738C366E26&lt;/uuid&gt;&lt;volume&gt;27&lt;/volume&gt;&lt;accepted_date&gt;99201608161200000000222000&lt;/accepted_date&gt;&lt;doi&gt;10.1093/glycob/cww086&lt;/doi&gt;&lt;startpage&gt;3&lt;/startpage&gt;&lt;revision_date&gt;99201608151200000000222000&lt;/revision_date&gt;&lt;publication_date&gt;99201701001200000000220000&lt;/publication_date&gt;&lt;url&gt;https://academic.oup.com/glycob/article-lookup/doi/10.1093/glycob/cww086&lt;/url&gt;&lt;type&gt;400&lt;/type&gt;&lt;title&gt;Biological roles of glycans.&lt;/title&gt;&lt;submission_date&gt;99201608021200000000222000&lt;/submission_date&gt;&lt;number&gt;1&lt;/number&gt;&lt;institution&gt;Departments of Medicine and Cellular &amp;amp; Molecular Medicine, Glycobiology Research and Training Center, University of California at San Diego, La Jolla, CA 92093-0687, USA a1varki@ucsd.edu.&lt;/institution&gt;&lt;subtype&gt;400&lt;/subtype&gt;&lt;endpage&gt;49&lt;/endpage&gt;&lt;bundle&gt;&lt;publication&gt;&lt;title&gt;Glycobiology&lt;/title&gt;&lt;type&gt;-100&lt;/type&gt;&lt;subtype&gt;-100&lt;/subtype&gt;&lt;uuid&gt;D9A61461-2CE9-416C-BDE9-B671B3DEA397&lt;/uuid&gt;&lt;/publication&gt;&lt;/bundle&gt;&lt;authors&gt;&lt;author&gt;&lt;firstName&gt;Ajit&lt;/firstName&gt;&lt;lastName&gt;Varki&lt;/lastName&gt;&lt;/author&gt;&lt;/authors&gt;&lt;/publication&gt;&lt;/publications&gt;&lt;cites&gt;&lt;/cites&gt;&lt;/citation&gt;</w:instrText>
      </w:r>
      <w:r w:rsidR="00514836" w:rsidRPr="008A087E">
        <w:fldChar w:fldCharType="separate"/>
      </w:r>
      <w:r w:rsidR="00460042" w:rsidRPr="000C2BAB">
        <w:rPr>
          <w:rFonts w:eastAsiaTheme="minorEastAsia"/>
          <w:vertAlign w:val="superscript"/>
        </w:rPr>
        <w:t>1</w:t>
      </w:r>
      <w:r w:rsidR="00514836" w:rsidRPr="008A087E">
        <w:fldChar w:fldCharType="end"/>
      </w:r>
      <w:r w:rsidR="0088179E" w:rsidRPr="000C2BAB">
        <w:t>. Even in polymers with canonical sequences, such as proteins and nucleic acids, post-translational modification of proteins by glycosylation, phosphorylation and other additions</w:t>
      </w:r>
      <w:r w:rsidR="00D13CE4" w:rsidRPr="008A087E">
        <w:fldChar w:fldCharType="begin"/>
      </w:r>
      <w:r w:rsidR="00126622" w:rsidRPr="000C2BAB">
        <w:instrText xml:space="preserve"> ADDIN PAPERS2_CITATIONS &lt;citation&gt;&lt;uuid&gt;92FAF9A2-2378-4335-B707-9602BB2AFBAC&lt;/uuid&gt;&lt;priority&gt;0&lt;/priority&gt;&lt;publications&gt;&lt;publication&gt;&lt;volume&gt;8&lt;/volume&gt;&lt;publication_date&gt;99200402001200000000220000&lt;/publication_date&gt;&lt;number&gt;1&lt;/number&gt;&lt;doi&gt;10.1016/j.cbpa.2003.12.009&lt;/doi&gt;&lt;startpage&gt;33&lt;/startpage&gt;&lt;title&gt;Modification-specific proteomics: characterization of post-translational modifications by mass spectrometry&lt;/title&gt;&lt;uuid&gt;43364D6E-AC69-4E37-86EC-ECDC8B35567E&lt;/uuid&gt;&lt;subtype&gt;400&lt;/subtype&gt;&lt;endpage&gt;41&lt;/endpage&gt;&lt;type&gt;400&lt;/type&gt;&lt;url&gt;http://linkinghub.elsevier.com/retrieve/pii/S1367593103001789&lt;/url&gt;&lt;bundle&gt;&lt;publication&gt;&lt;title&gt;Current opinion in chemical biology&lt;/title&gt;&lt;type&gt;-100&lt;/type&gt;&lt;subtype&gt;-100&lt;/subtype&gt;&lt;uuid&gt;1F4C6CF8-9655-4D18-AE12-FF58F3734C52&lt;/uuid&gt;&lt;/publication&gt;&lt;/bundle&gt;&lt;authors&gt;&lt;author&gt;&lt;firstName&gt;Ole&lt;/firstName&gt;&lt;lastName&gt;Nørregaard Jensen&lt;/lastName&gt;&lt;/author&gt;&lt;/authors&gt;&lt;/publication&gt;&lt;publication&gt;&lt;uuid&gt;A98BFE8D-5156-405F-94CA-5B1E9A46B7C4&lt;/uuid&gt;&lt;volume&gt;23&lt;/volume&gt;&lt;doi&gt;10.1038/nsmb.3326&lt;/doi&gt;&lt;startpage&gt;1053&lt;/startpage&gt;&lt;publication_date&gt;99201612011200000000222000&lt;/publication_date&gt;&lt;url&gt;http://www.nature.com/nsmb/journal/v23/n12/full/nsmb.3326.html?cookies=accepted&lt;/url&gt;&lt;type&gt;400&lt;/type&gt;&lt;title&gt;The intricate dance of post-translational modifications in the rhythm of life&lt;/title&gt;&lt;publisher&gt;Nature Research&lt;/publisher&gt;&lt;number&gt;12&lt;/number&gt;&lt;subtype&gt;400&lt;/subtype&gt;&lt;endpage&gt;1060&lt;/endpage&gt;&lt;bundle&gt;&lt;publication&gt;&lt;publisher&gt;Nature Research&lt;/publisher&gt;&lt;title&gt;Nature structural &amp;amp; molecular biology&lt;/title&gt;&lt;type&gt;-100&lt;/type&gt;&lt;subtype&gt;-100&lt;/subtype&gt;&lt;uuid&gt;DE0CF973-2F66-419A-942F-7E94018BA030&lt;/uuid&gt;&lt;/publication&gt;&lt;/bundle&gt;&lt;authors&gt;&lt;author&gt;&lt;firstName&gt;Arisa&lt;/firstName&gt;&lt;lastName&gt;Hirano&lt;/lastName&gt;&lt;/author&gt;&lt;author&gt;&lt;firstName&gt;Ying-Hui&lt;/firstName&gt;&lt;lastName&gt;Fu&lt;/lastName&gt;&lt;/author&gt;&lt;author&gt;&lt;firstName&gt;Louis&lt;/firstName&gt;&lt;middleNames&gt;J&lt;/middleNames&gt;&lt;lastName&gt;Ptáček&lt;/lastName&gt;&lt;/author&gt;&lt;/authors&gt;&lt;/publication&gt;&lt;/publications&gt;&lt;cites&gt;&lt;/cites&gt;&lt;/citation&gt;</w:instrText>
      </w:r>
      <w:r w:rsidR="00D13CE4" w:rsidRPr="008A087E">
        <w:fldChar w:fldCharType="separate"/>
      </w:r>
      <w:r w:rsidR="00460042" w:rsidRPr="000C2BAB">
        <w:rPr>
          <w:rFonts w:eastAsiaTheme="minorEastAsia"/>
          <w:vertAlign w:val="superscript"/>
        </w:rPr>
        <w:t>2,3</w:t>
      </w:r>
      <w:r w:rsidR="00D13CE4" w:rsidRPr="008A087E">
        <w:fldChar w:fldCharType="end"/>
      </w:r>
      <w:r w:rsidR="00514836" w:rsidRPr="000C2BAB">
        <w:t>, as well as epigenetic modifications of nucleic acids</w:t>
      </w:r>
      <w:r w:rsidR="00460042" w:rsidRPr="008A087E">
        <w:fldChar w:fldCharType="begin"/>
      </w:r>
      <w:r w:rsidR="00126622" w:rsidRPr="000C2BAB">
        <w:instrText xml:space="preserve"> ADDIN PAPERS2_CITATIONS &lt;citation&gt;&lt;uuid&gt;12F6C3BB-FD93-4500-8CC5-CF4A5917DE6C&lt;/uuid&gt;&lt;priority&gt;0&lt;/priority&gt;&lt;publications&gt;&lt;publication&gt;&lt;title&gt;Chemical Methods for Decoding Cytosine Modifications in DNA - Chemical Reviews (ACS Publications)&lt;/title&gt;&lt;type&gt;400&lt;/type&gt;&lt;subtype&gt;403&lt;/subtype&gt;&lt;uuid&gt;4599DEB2-719C-4B16-A91A-7475B81A08AB&lt;/uuid&gt;&lt;/publication&gt;&lt;/publications&gt;&lt;cites&gt;&lt;/cites&gt;&lt;/citation&gt;</w:instrText>
      </w:r>
      <w:r w:rsidR="00460042" w:rsidRPr="008A087E">
        <w:fldChar w:fldCharType="separate"/>
      </w:r>
      <w:r w:rsidR="00460042" w:rsidRPr="000C2BAB">
        <w:rPr>
          <w:rFonts w:eastAsiaTheme="minorEastAsia"/>
          <w:vertAlign w:val="superscript"/>
        </w:rPr>
        <w:t>4</w:t>
      </w:r>
      <w:r w:rsidR="00460042" w:rsidRPr="008A087E">
        <w:fldChar w:fldCharType="end"/>
      </w:r>
      <w:r w:rsidR="00514836" w:rsidRPr="000C2BAB">
        <w:t>, occur in micro</w:t>
      </w:r>
      <w:r w:rsidR="005D0905" w:rsidRPr="000C2BAB">
        <w:t>- and macro</w:t>
      </w:r>
      <w:r w:rsidR="00514836" w:rsidRPr="000C2BAB">
        <w:t>heterogeneous patterns that are not always easy to discern</w:t>
      </w:r>
      <w:r w:rsidR="0088179E" w:rsidRPr="000C2BAB">
        <w:t>. Recently, the emergence of sequence-</w:t>
      </w:r>
      <w:r w:rsidR="00222D76" w:rsidRPr="000C2BAB">
        <w:t>defined</w:t>
      </w:r>
      <w:r w:rsidR="0088179E" w:rsidRPr="000C2BAB">
        <w:t xml:space="preserve"> synthetic polymers has created a new </w:t>
      </w:r>
      <w:r w:rsidR="00222D76" w:rsidRPr="000C2BAB">
        <w:t>class of materials in which relevant properties may be controlled with much greater precision than before, where sequence directly controls function</w:t>
      </w:r>
      <w:r w:rsidR="00E57367" w:rsidRPr="000C2BAB">
        <w:t>.</w:t>
      </w:r>
      <w:r w:rsidR="00222D76" w:rsidRPr="008A087E">
        <w:fldChar w:fldCharType="begin"/>
      </w:r>
      <w:r w:rsidR="00126622" w:rsidRPr="000C2BAB">
        <w:instrText xml:space="preserve"> ADDIN PAPERS2_CITATIONS &lt;citation&gt;&lt;uuid&gt;46525697-D6C8-4263-9D94-5E482F564592&lt;/uuid&gt;&lt;priority&gt;0&lt;/priority&gt;&lt;publications&gt;&lt;publication&gt;&lt;uuid&gt;31CAA2BD-5641-4309-B11A-A62BFB5E2F5F&lt;/uuid&gt;&lt;volume&gt;112&lt;/volume&gt;&lt;doi&gt;10.1073/pnas.1508599112&lt;/doi&gt;&lt;startpage&gt;10617&lt;/startpage&gt;&lt;publication_date&gt;99201508251200000000222000&lt;/publication_date&gt;&lt;url&gt;http://www.pnas.org/content/112/34/10617.full&lt;/url&gt;&lt;type&gt;400&lt;/type&gt;&lt;title&gt;Scalable synthesis of sequence-defined, unimolecular macromolecules by Flow-IEG.&lt;/title&gt;&lt;publisher&gt;National Acad Sciences&lt;/publisher&gt;&lt;institution&gt;Department of Chemistry, Massachusetts Institute of Technology, Cambridge, MA 02139.&lt;/institution&gt;&lt;number&gt;34&lt;/number&gt;&lt;subtype&gt;400&lt;/subtype&gt;&lt;endpage&gt;10622&lt;/endpage&gt;&lt;bundle&gt;&lt;publication&gt;&lt;publisher&gt;National Acad Sciences&lt;/publisher&gt;&lt;title&gt;Proceedings of the National Academy of Sciences&lt;/title&gt;&lt;type&gt;-100&lt;/type&gt;&lt;subtype&gt;-100&lt;/subtype&gt;&lt;uuid&gt;29601930-E640-425A-AA83-6EE14CF024FA&lt;/uuid&gt;&lt;/publication&gt;&lt;/bundle&gt;&lt;authors&gt;&lt;author&gt;&lt;firstName&gt;Frank&lt;/firstName&gt;&lt;middleNames&gt;A&lt;/middleNames&gt;&lt;lastName&gt;Leibfarth&lt;/lastName&gt;&lt;/author&gt;&lt;author&gt;&lt;firstName&gt;Jeremiah&lt;/firstName&gt;&lt;middleNames&gt;A&lt;/middleNames&gt;&lt;lastName&gt;Johnson&lt;/lastName&gt;&lt;/author&gt;&lt;author&gt;&lt;firstName&gt;Timothy&lt;/firstName&gt;&lt;middleNames&gt;F&lt;/middleNames&gt;&lt;lastName&gt;Jamison&lt;/lastName&gt;&lt;/author&gt;&lt;/authors&gt;&lt;/publication&gt;&lt;publication&gt;&lt;uuid&gt;7B1BA430-B293-4180-B203-85598C58E707&lt;/uuid&gt;&lt;volume&gt;7&lt;/volume&gt;&lt;doi&gt;10.1038/nchem.2346&lt;/doi&gt;&lt;startpage&gt;810&lt;/startpage&gt;&lt;publication_date&gt;99201510011200000000222000&lt;/publication_date&gt;&lt;url&gt;http://www.nature.com/nchem/journal/v7/n10/full/nchem.2346.html&lt;/url&gt;&lt;type&gt;400&lt;/type&gt;&lt;title&gt;Iterative exponential growth of stereo- and sequence-controlled polymers&lt;/title&gt;&lt;publisher&gt;Nature Research&lt;/publisher&gt;&lt;number&gt;10&lt;/number&gt;&lt;subtype&gt;400&lt;/subtype&gt;&lt;endpage&gt;815&lt;/endpage&gt;&lt;bundle&gt;&lt;publication&gt;&lt;publisher&gt;Nature Publishing Group&lt;/publisher&gt;&lt;title&gt;Nature Chemistry&lt;/title&gt;&lt;type&gt;-100&lt;/type&gt;&lt;subtype&gt;-100&lt;/subtype&gt;&lt;uuid&gt;CCD4C1DA-E433-4A0F-8458-00A54BF60143&lt;/uuid&gt;&lt;/publication&gt;&lt;/bundle&gt;&lt;authors&gt;&lt;author&gt;&lt;firstName&gt;Jonathan&lt;/firstName&gt;&lt;middleNames&gt;C&lt;/middleNames&gt;&lt;lastName&gt;Barnes&lt;/lastName&gt;&lt;/author&gt;&lt;author&gt;&lt;firstName&gt;Deborah&lt;/firstName&gt;&lt;middleNames&gt;J C&lt;/middleNames&gt;&lt;lastName&gt;Ehrlich&lt;/lastName&gt;&lt;/author&gt;&lt;author&gt;&lt;firstName&gt;Angela&lt;/firstName&gt;&lt;middleNames&gt;X&lt;/middleNames&gt;&lt;lastName&gt;Gao&lt;/lastName&gt;&lt;/author&gt;&lt;author&gt;&lt;firstName&gt;Frank&lt;/firstName&gt;&lt;middleNames&gt;A&lt;/middleNames&gt;&lt;lastName&gt;Leibfarth&lt;/lastName&gt;&lt;/author&gt;&lt;author&gt;&lt;firstName&gt;Yivan&lt;/firstName&gt;&lt;lastName&gt;Jiang&lt;/lastName&gt;&lt;/author&gt;&lt;author&gt;&lt;firstName&gt;Erica&lt;/firstName&gt;&lt;lastName&gt;Zhou&lt;/lastName&gt;&lt;/author&gt;&lt;author&gt;&lt;firstName&gt;Timothy&lt;/firstName&gt;&lt;middleNames&gt;F&lt;/middleNames&gt;&lt;lastName&gt;Jamison&lt;/lastName&gt;&lt;/author&gt;&lt;author&gt;&lt;firstName&gt;Jeremiah&lt;/firstName&gt;&lt;middleNames&gt;A&lt;/middleNames&gt;&lt;lastName&gt;Johnson&lt;/lastName&gt;&lt;/author&gt;&lt;/authors&gt;&lt;/publication&gt;&lt;publication&gt;&lt;volume&gt;1&lt;/volume&gt;&lt;publication_date&gt;99201604191200000000222000&lt;/publication_date&gt;&lt;number&gt;5&lt;/number&gt;&lt;doi&gt;10.1038/natrevmats.2016.24&lt;/doi&gt;&lt;startpage&gt;16024&lt;/startpage&gt;&lt;title&gt;From precision polymers to complex materials and systems&lt;/title&gt;&lt;uuid&gt;50BDCE22-C6E5-4FFF-B49D-A65D2A84E224&lt;/uuid&gt;&lt;subtype&gt;400&lt;/subtype&gt;&lt;publisher&gt;Nature Publishing Group&lt;/publisher&gt;&lt;type&gt;400&lt;/type&gt;&lt;url&gt;http://www.nature.com/articles/natrevmats201624&lt;/url&gt;&lt;bundle&gt;&lt;publication&gt;&lt;publisher&gt;Nature Publishing Group&lt;/publisher&gt;&lt;title&gt;Nature Reviews Materials&lt;/title&gt;&lt;type&gt;-100&lt;/type&gt;&lt;subtype&gt;-100&lt;/subtype&gt;&lt;uuid&gt;19049C5E-6FCF-42CC-8094-8450755C560F&lt;/uuid&gt;&lt;/publication&gt;&lt;/bundle&gt;&lt;authors&gt;&lt;author&gt;&lt;firstName&gt;Jean-François&lt;/firstName&gt;&lt;lastName&gt;Lutz&lt;/lastName&gt;&lt;/author&gt;&lt;author&gt;&lt;firstName&gt;Jean-Marie&lt;/firstName&gt;&lt;lastName&gt;Lehn&lt;/lastName&gt;&lt;/author&gt;&lt;author&gt;&lt;firstName&gt;E&lt;/firstName&gt;&lt;middleNames&gt;W&lt;/middleNames&gt;&lt;lastName&gt;Meijer&lt;/lastName&gt;&lt;/author&gt;&lt;author&gt;&lt;firstName&gt;Krzysztof&lt;/firstName&gt;&lt;lastName&gt;Matyjaszewski&lt;/lastName&gt;&lt;/author&gt;&lt;/authors&gt;&lt;/publication&gt;&lt;/publications&gt;&lt;cites&gt;&lt;/cites&gt;&lt;/citation&gt;</w:instrText>
      </w:r>
      <w:r w:rsidR="00222D76" w:rsidRPr="008A087E">
        <w:fldChar w:fldCharType="separate"/>
      </w:r>
      <w:r w:rsidR="00460042" w:rsidRPr="000C2BAB">
        <w:rPr>
          <w:rFonts w:eastAsiaTheme="minorEastAsia"/>
          <w:vertAlign w:val="superscript"/>
        </w:rPr>
        <w:t>5-7</w:t>
      </w:r>
      <w:r w:rsidR="00222D76" w:rsidRPr="008A087E">
        <w:fldChar w:fldCharType="end"/>
      </w:r>
      <w:r w:rsidR="00222D76" w:rsidRPr="000C2BAB">
        <w:t xml:space="preserve"> </w:t>
      </w:r>
      <w:r w:rsidR="00477639" w:rsidRPr="000C2BAB">
        <w:t>Previously the authors</w:t>
      </w:r>
      <w:r w:rsidR="009E7868" w:rsidRPr="008A087E">
        <w:fldChar w:fldCharType="begin"/>
      </w:r>
      <w:r w:rsidR="00126622" w:rsidRPr="000C2BAB">
        <w:instrText xml:space="preserve"> ADDIN PAPERS2_CITATIONS &lt;citation&gt;&lt;uuid&gt;F65C5E61-3FE2-4332-8FC1-CDD9C29CFC63&lt;/uuid&gt;&lt;priority&gt;0&lt;/priority&gt;&lt;publications&gt;&lt;publication&gt;&lt;uuid&gt;8EA54223-6495-4D24-B9B3-95BCD04C5FB6&lt;/uuid&gt;&lt;volume&gt;19&lt;/volume&gt;&lt;doi&gt;10.1088/0957-4484/19/34/345706&lt;/doi&gt;&lt;startpage&gt;345706&lt;/startpage&gt;&lt;publication_date&gt;99200808271200000000222000&lt;/publication_date&gt;&lt;url&gt;http://eutils.ncbi.nlm.nih.gov/entrez/eutils/elink.fcgi?dbfrom=pubmed&amp;amp;id=21730660&amp;amp;retmode=ref&amp;amp;cmd=prlinks&lt;/url&gt;&lt;citekey&gt;Dunlop:2008jt&lt;/citekey&gt;&lt;type&gt;400&lt;/type&gt;&lt;title&gt;Mapping the positions of beads on a string: dethreading rotaxanes by molecular force spectroscopy.&lt;/title&gt;&lt;location&gt;200,9,51.4608430,-2.6058422&lt;/location&gt;&lt;institution&gt;H H Wills Physics Laboratory, University of Bristol, Tyndall Avenue, Bristol BS8 1TL, UK.&lt;/institution&gt;&lt;number&gt;34&lt;/number&gt;&lt;subtype&gt;400&lt;/subtype&gt;&lt;bundle&gt;&lt;publication&gt;&lt;publisher&gt;IOP Publishing&lt;/publisher&gt;&lt;title&gt;Nanotechnology&lt;/title&gt;&lt;type&gt;-100&lt;/type&gt;&lt;subtype&gt;-100&lt;/subtype&gt;&lt;uuid&gt;303B3A8C-C86D-472A-AC91-6E0394CFBCC4&lt;/uuid&gt;&lt;/publication&gt;&lt;/bundle&gt;&lt;authors&gt;&lt;author&gt;&lt;firstName&gt;Alex&lt;/firstName&gt;&lt;lastName&gt;Dunlop&lt;/lastName&gt;&lt;/author&gt;&lt;author&gt;&lt;firstName&gt;Jirut&lt;/firstName&gt;&lt;lastName&gt;Wattoom&lt;/lastName&gt;&lt;/author&gt;&lt;author&gt;&lt;firstName&gt;Erol&lt;/firstName&gt;&lt;middleNames&gt;A&lt;/middleNames&gt;&lt;lastName&gt;Hasan&lt;/lastName&gt;&lt;/author&gt;&lt;author&gt;&lt;firstName&gt;Terence&lt;/firstName&gt;&lt;lastName&gt;Cosgrove&lt;/lastName&gt;&lt;/author&gt;&lt;author&gt;&lt;firstName&gt;Andrew&lt;/firstName&gt;&lt;middleNames&gt;N&lt;/middleNames&gt;&lt;lastName&gt;Round&lt;/lastName&gt;&lt;/author&gt;&lt;/authors&gt;&lt;/publication&gt;&lt;publication&gt;&lt;publication_date&gt;99201611041200000000222000&lt;/publication_date&gt;&lt;startpage&gt;acs.langmuir.6b03414&lt;/startpage&gt;&lt;doi&gt;10.1021/acs.langmuir.6b03414&lt;/doi&gt;&lt;title&gt;A ‘sliding contact’ dynamic force spectroscopy method for interrogating slowly forming polymer crosslinks.&lt;/title&gt;&lt;uuid&gt;AF568C4F-A446-4C77-AD90-72264D4F14DC&lt;/uuid&gt;&lt;subtype&gt;400&lt;/subtype&gt;&lt;publisher&gt; American Chemical Society&lt;/publisher&gt;&lt;type&gt;400&lt;/type&gt;&lt;url&gt;http://pubs.acs.org/doi/abs/10.1021/acs.langmuir.6b03414&lt;/url&gt;&lt;bundle&gt;&lt;publication&gt;&lt;publisher&gt; American Chemical Society &lt;/publisher&gt;&lt;title&gt;Langmuir : the ACS journal of surfaces and colloids&lt;/title&gt;&lt;type&gt;-100&lt;/type&gt;&lt;subtype&gt;-100&lt;/subtype&gt;&lt;uuid&gt;A26006E3-3C54-4F9C-B947-AC668218184C&lt;/uuid&gt;&lt;/publication&gt;&lt;/bundle&gt;&lt;authors&gt;&lt;author&gt;&lt;firstName&gt;Kate&lt;/firstName&gt;&lt;middleNames&gt;Alexandra&lt;/middleNames&gt;&lt;lastName&gt;Bowman&lt;/lastName&gt;&lt;/author&gt;&lt;author&gt;&lt;firstName&gt;Olav&lt;/firstName&gt;&lt;middleNames&gt;Andreas&lt;/middleNames&gt;&lt;lastName&gt;Aarstad&lt;/lastName&gt;&lt;/author&gt;&lt;author&gt;&lt;firstName&gt;Bjørn&lt;/firstName&gt;&lt;middleNames&gt;Torger&lt;/middleNames&gt;&lt;lastName&gt;Stokke&lt;/lastName&gt;&lt;/author&gt;&lt;author&gt;&lt;firstName&gt;Gudmund&lt;/firstName&gt;&lt;lastName&gt;Skjåk-Braek&lt;/lastName&gt;&lt;/author&gt;&lt;author&gt;&lt;firstName&gt;Andrew&lt;/firstName&gt;&lt;middleNames&gt;N&lt;/middleNames&gt;&lt;lastName&gt;Round&lt;/lastName&gt;&lt;/author&gt;&lt;/authors&gt;&lt;/publication&gt;&lt;/publications&gt;&lt;cites&gt;&lt;/cites&gt;&lt;/citation&gt;</w:instrText>
      </w:r>
      <w:r w:rsidR="009E7868" w:rsidRPr="008A087E">
        <w:fldChar w:fldCharType="separate"/>
      </w:r>
      <w:r w:rsidR="00460042" w:rsidRPr="000C2BAB">
        <w:rPr>
          <w:rFonts w:eastAsiaTheme="minorEastAsia"/>
          <w:vertAlign w:val="superscript"/>
        </w:rPr>
        <w:t>8,9</w:t>
      </w:r>
      <w:r w:rsidR="009E7868" w:rsidRPr="008A087E">
        <w:fldChar w:fldCharType="end"/>
      </w:r>
      <w:r w:rsidR="00477639" w:rsidRPr="000C2BAB">
        <w:t xml:space="preserve"> and others</w:t>
      </w:r>
      <w:r w:rsidR="00045A2D" w:rsidRPr="008A087E">
        <w:fldChar w:fldCharType="begin"/>
      </w:r>
      <w:r w:rsidR="00126622" w:rsidRPr="000C2BAB">
        <w:instrText xml:space="preserve"> ADDIN PAPERS2_CITATIONS &lt;citation&gt;&lt;uuid&gt;2936D6E3-CC8E-4D08-99A9-251641CDD8BF&lt;/uuid&gt;&lt;priority&gt;0&lt;/priority&gt;&lt;publications&gt;&lt;publication&gt;&lt;uuid&gt;07BDF8A5-30F6-4C57-B800-ACF035BAF9D9&lt;/uuid&gt;&lt;volume&gt;4&lt;/volume&gt;&lt;doi&gt;10.1002/smll.200800233&lt;/doi&gt;&lt;startpage&gt;1468&lt;/startpage&gt;&lt;publication_date&gt;99200809001200000000220000&lt;/publication_date&gt;&lt;url&gt;http://onlinelibrary.wiley.com/doi/10.1002/smll.200800233/abstract&lt;/url&gt;&lt;type&gt;400&lt;/type&gt;&lt;title&gt;An AFM/rotaxane molecular reading head for sequence-dependent DNA structures.&lt;/title&gt;&lt;location&gt;200,9,33.4192276,-111.9283891&lt;/location&gt;&lt;institution&gt;Biodesign Institute, Arizona State University, PO Box 875601 Tempe, AZ 85287, USA.&lt;/institution&gt;&lt;number&gt;9&lt;/number&gt;&lt;subtype&gt;400&lt;/subtype&gt;&lt;endpage&gt;1475&lt;/endpage&gt;&lt;bundle&gt;&lt;publication&gt;&lt;title&gt;Small&lt;/title&gt;&lt;type&gt;-100&lt;/type&gt;&lt;subtype&gt;-100&lt;/subtype&gt;&lt;uuid&gt;BF540E91-0BEA-4885-9EA1-1CA20286A25C&lt;/uuid&gt;&lt;/publication&gt;&lt;/bundle&gt;&lt;authors&gt;&lt;author&gt;&lt;firstName&gt;Brian&lt;/firstName&gt;&lt;middleNames&gt;A&lt;/middleNames&gt;&lt;lastName&gt;Ashcroft&lt;/lastName&gt;&lt;/author&gt;&lt;author&gt;&lt;firstName&gt;Quinn&lt;/firstName&gt;&lt;lastName&gt;Spadola&lt;/lastName&gt;&lt;/author&gt;&lt;author&gt;&lt;firstName&gt;Shahid&lt;/firstName&gt;&lt;lastName&gt;Qamar&lt;/lastName&gt;&lt;/author&gt;&lt;author&gt;&lt;firstName&gt;Peiming&lt;/firstName&gt;&lt;lastName&gt;Zhang&lt;/lastName&gt;&lt;/author&gt;&lt;author&gt;&lt;firstName&gt;Gerald&lt;/firstName&gt;&lt;lastName&gt;Kada&lt;/lastName&gt;&lt;/author&gt;&lt;author&gt;&lt;firstName&gt;Rouvain&lt;/firstName&gt;&lt;lastName&gt;Bension&lt;/lastName&gt;&lt;/author&gt;&lt;author&gt;&lt;firstName&gt;Stuart&lt;/firstName&gt;&lt;middleNames&gt;M&lt;/middleNames&gt;&lt;lastName&gt;Lindsay&lt;/lastName&gt;&lt;/author&gt;&lt;/authors&gt;&lt;/publication&gt;&lt;/publications&gt;&lt;cites&gt;&lt;/cites&gt;&lt;/citation&gt;</w:instrText>
      </w:r>
      <w:r w:rsidR="00045A2D" w:rsidRPr="008A087E">
        <w:fldChar w:fldCharType="separate"/>
      </w:r>
      <w:r w:rsidR="00460042" w:rsidRPr="000C2BAB">
        <w:rPr>
          <w:rFonts w:eastAsiaTheme="minorEastAsia"/>
          <w:vertAlign w:val="superscript"/>
        </w:rPr>
        <w:t>10</w:t>
      </w:r>
      <w:r w:rsidR="00045A2D" w:rsidRPr="008A087E">
        <w:fldChar w:fldCharType="end"/>
      </w:r>
      <w:r w:rsidR="00477639" w:rsidRPr="000C2BAB">
        <w:t xml:space="preserve"> explored the feasibility of a new route</w:t>
      </w:r>
      <w:r w:rsidR="00463117" w:rsidRPr="000C2BAB">
        <w:t>, here called sliding contact force spectroscopy (SCFS),</w:t>
      </w:r>
      <w:r w:rsidR="00477639" w:rsidRPr="000C2BAB">
        <w:t xml:space="preserve"> to obtaining sequence</w:t>
      </w:r>
      <w:r w:rsidR="00477639" w:rsidRPr="000C2BAB">
        <w:rPr>
          <w:rFonts w:asciiTheme="minorHAnsi" w:eastAsiaTheme="minorHAnsi" w:hAnsiTheme="minorHAnsi"/>
          <w:w w:val="108"/>
          <w:sz w:val="18"/>
          <w:szCs w:val="18"/>
          <w:lang w:eastAsia="en-US"/>
        </w:rPr>
        <w:t xml:space="preserve"> </w:t>
      </w:r>
      <w:r w:rsidR="00477639" w:rsidRPr="000C2BAB">
        <w:t xml:space="preserve">information in linear heteropolymers by atomic force microscopy (AFM), but the limits and applicability of the method have not been fully explored. Here we set out to </w:t>
      </w:r>
      <w:r w:rsidR="00CF77CC" w:rsidRPr="000C2BAB">
        <w:t>describe</w:t>
      </w:r>
      <w:r w:rsidR="00951688" w:rsidRPr="000C2BAB">
        <w:t xml:space="preserve"> the </w:t>
      </w:r>
      <w:r w:rsidR="00C71EC6" w:rsidRPr="000C2BAB">
        <w:t xml:space="preserve">parameters </w:t>
      </w:r>
      <w:r w:rsidR="00951688" w:rsidRPr="000C2BAB">
        <w:t xml:space="preserve">that determine how easy or difficult it is to pass a cyclodextrin (CD)-based macrocycle over a </w:t>
      </w:r>
      <w:r w:rsidR="00951688" w:rsidRPr="000C2BAB">
        <w:lastRenderedPageBreak/>
        <w:t>particular monomer</w:t>
      </w:r>
      <w:r w:rsidR="005A01BF" w:rsidRPr="000C2BAB">
        <w:t xml:space="preserve">, and </w:t>
      </w:r>
      <w:r w:rsidR="00CF77CC" w:rsidRPr="000C2BAB">
        <w:t xml:space="preserve">from that basis derive a framework within which we can </w:t>
      </w:r>
      <w:r w:rsidR="005A01BF" w:rsidRPr="000C2BAB">
        <w:t>predict whether the monomers in a particular copolymer are distinguishable using this method</w:t>
      </w:r>
      <w:r w:rsidR="00CF77CC" w:rsidRPr="000C2BAB">
        <w:t>.</w:t>
      </w:r>
    </w:p>
    <w:p w:rsidR="003522F0" w:rsidRPr="000C2BAB" w:rsidRDefault="003522F0" w:rsidP="002A436C">
      <w:pPr>
        <w:pStyle w:val="Head1"/>
        <w:jc w:val="both"/>
      </w:pPr>
    </w:p>
    <w:p w:rsidR="001C50A8" w:rsidRPr="000C2BAB" w:rsidRDefault="00477639" w:rsidP="002A436C">
      <w:pPr>
        <w:pStyle w:val="Head1"/>
        <w:jc w:val="both"/>
      </w:pPr>
      <w:r w:rsidRPr="000C2BAB">
        <w:t xml:space="preserve">The </w:t>
      </w:r>
      <w:r w:rsidR="00463117" w:rsidRPr="000C2BAB">
        <w:t xml:space="preserve">SCFS </w:t>
      </w:r>
      <w:r w:rsidRPr="000C2BAB">
        <w:t>method uses a cyclod</w:t>
      </w:r>
      <w:bookmarkStart w:id="0" w:name="_GoBack"/>
      <w:bookmarkEnd w:id="0"/>
      <w:r w:rsidRPr="000C2BAB">
        <w:t>extrin (CD)-based macrocycle tethered to the AFM probe, with the polymer to be interrogated tethered likewise to another surface and induced to form a host-guest complex with the macrocycle to form a polyrotaxane</w:t>
      </w:r>
      <w:r w:rsidR="00695979" w:rsidRPr="008A087E">
        <w:fldChar w:fldCharType="begin"/>
      </w:r>
      <w:r w:rsidR="00126622" w:rsidRPr="000C2BAB">
        <w:instrText xml:space="preserve"> ADDIN PAPERS2_CITATIONS &lt;citation&gt;&lt;uuid&gt;0A457E69-2967-4793-8802-FCB5DA58FBC7&lt;/uuid&gt;&lt;priority&gt;0&lt;/priority&gt;&lt;publications&gt;&lt;publication&gt;&lt;volume&gt;23&lt;/volume&gt;&lt;publication_date&gt;99199000001200000000200000&lt;/publication_date&gt;&lt;startpage&gt;2821&lt;/startpage&gt;&lt;title&gt;COMPLEX-FORMATION BETWEEN POLY(ETHYLENE GLYCOL) AND ALPHA-CYCLODEXTRIN&lt;/title&gt;&lt;uuid&gt;0D1D6CE5-85F8-476E-9721-B5E541F092A8&lt;/uuid&gt;&lt;subtype&gt;400&lt;/subtype&gt;&lt;endpage&gt;2823&lt;/endpage&gt;&lt;type&gt;400&lt;/type&gt;&lt;url&gt;http://pubs.acs.org/doi/abs/10.1021/ma00212a039&lt;/url&gt;&lt;bundle&gt;&lt;publication&gt;&lt;publisher&gt; American Chemical Society&lt;/publisher&gt;&lt;title&gt;Macromolecules&lt;/title&gt;&lt;type&gt;-100&lt;/type&gt;&lt;subtype&gt;-100&lt;/subtype&gt;&lt;uuid&gt;21CD14DE-05BD-4EFF-B132-D0033E2A0A03&lt;/uuid&gt;&lt;/publication&gt;&lt;/bundle&gt;&lt;authors&gt;&lt;author&gt;&lt;firstName&gt;Akira&lt;/firstName&gt;&lt;lastName&gt;Harada&lt;/lastName&gt;&lt;/author&gt;&lt;author&gt;&lt;firstName&gt;M&lt;/firstName&gt;&lt;lastName&gt;KAMACHI&lt;/lastName&gt;&lt;/author&gt;&lt;/authors&gt;&lt;/publication&gt;&lt;/publications&gt;&lt;cites&gt;&lt;/cites&gt;&lt;/citation&gt;</w:instrText>
      </w:r>
      <w:r w:rsidR="00695979" w:rsidRPr="008A087E">
        <w:fldChar w:fldCharType="separate"/>
      </w:r>
      <w:r w:rsidR="00460042" w:rsidRPr="000C2BAB">
        <w:rPr>
          <w:rFonts w:eastAsiaTheme="minorEastAsia"/>
          <w:vertAlign w:val="superscript"/>
        </w:rPr>
        <w:t>11</w:t>
      </w:r>
      <w:r w:rsidR="00695979" w:rsidRPr="008A087E">
        <w:fldChar w:fldCharType="end"/>
      </w:r>
      <w:r w:rsidRPr="000C2BAB">
        <w:t xml:space="preserve"> or molecular ring-thread complex. </w:t>
      </w:r>
      <w:r w:rsidR="00BD4266" w:rsidRPr="000C2BAB">
        <w:t xml:space="preserve">Rotaxanes </w:t>
      </w:r>
      <w:r w:rsidR="00507648" w:rsidRPr="000C2BAB">
        <w:t xml:space="preserve">are examples of a broad group of supramolecular complexes that can be induced to do mechanochemical work, </w:t>
      </w:r>
      <w:r w:rsidR="00480135" w:rsidRPr="000C2BAB">
        <w:t xml:space="preserve">and which can be </w:t>
      </w:r>
      <w:r w:rsidR="00507648" w:rsidRPr="000C2BAB">
        <w:t>described as ‘molecular machines’</w:t>
      </w:r>
      <w:r w:rsidR="00480135" w:rsidRPr="008A087E">
        <w:fldChar w:fldCharType="begin"/>
      </w:r>
      <w:r w:rsidR="00126622" w:rsidRPr="000C2BAB">
        <w:instrText xml:space="preserve"> ADDIN PAPERS2_CITATIONS &lt;citation&gt;&lt;uuid&gt;4BBCBE87-3F6B-41C8-865D-42A8700183B9&lt;/uuid&gt;&lt;priority&gt;0&lt;/priority&gt;&lt;publications&gt;&lt;publication&gt;&lt;uuid&gt;E345654A-A8A5-4D14-82C6-E5D32DF9D8C2&lt;/uuid&gt;&lt;volume&gt;17&lt;/volume&gt;&lt;doi&gt;10.1002/cphc.201501155&lt;/doi&gt;&lt;startpage&gt;1780&lt;/startpage&gt;&lt;publication_date&gt;99201606171200000000222000&lt;/publication_date&gt;&lt;url&gt;http://doi.wiley.com/10.1002/cphc.201501155&lt;/url&gt;&lt;type&gt;400&lt;/type&gt;&lt;title&gt;Wholly Synthetic Molecular Machines.&lt;/title&gt;&lt;submission_date&gt;99201512131200000000222000&lt;/submission_date&gt;&lt;number&gt;12&lt;/number&gt;&lt;institution&gt;Department of Chemistry, Northwestern University, 2145 Sheridan Rd., Evanston, IL, 60208, USA.&lt;/institution&gt;&lt;subtype&gt;400&lt;/subtype&gt;&lt;endpage&gt;1793&lt;/endpage&gt;&lt;bundle&gt;&lt;publication&gt;&lt;publisher&gt;WILEY</w:instrText>
      </w:r>
      <w:r w:rsidR="00126622" w:rsidRPr="000C2BAB">
        <w:rPr>
          <w:rFonts w:hint="eastAsia"/>
        </w:rPr>
        <w:instrText>‐</w:instrText>
      </w:r>
      <w:r w:rsidR="00126622" w:rsidRPr="000C2BAB">
        <w:instrText>VCH Verlag&lt;/publisher&gt;&lt;title&gt;Chemphyschem&lt;/title&gt;&lt;type&gt;-100&lt;/type&gt;&lt;subtype&gt;-100&lt;/subtype&gt;&lt;uuid&gt;2C2B8644-3A9C-4508-A2D1-FF6858727E2E&lt;/uuid&gt;&lt;/publication&gt;&lt;/bundle&gt;&lt;authors&gt;&lt;author&gt;&lt;firstName&gt;Chuyang&lt;/firstName&gt;&lt;lastName&gt;Cheng&lt;/lastName&gt;&lt;/author&gt;&lt;author&gt;&lt;firstName&gt;J&lt;/firstName&gt;&lt;middleNames&gt;Fraser&lt;/middleNames&gt;&lt;lastName&gt;Stoddart&lt;/lastName&gt;&lt;/author&gt;&lt;/authors&gt;&lt;/publication&gt;&lt;/publications&gt;&lt;cites&gt;&lt;/cites&gt;&lt;/citation&gt;</w:instrText>
      </w:r>
      <w:r w:rsidR="00480135" w:rsidRPr="008A087E">
        <w:fldChar w:fldCharType="separate"/>
      </w:r>
      <w:r w:rsidR="00126622" w:rsidRPr="000C2BAB">
        <w:rPr>
          <w:rFonts w:eastAsiaTheme="minorEastAsia"/>
          <w:vertAlign w:val="superscript"/>
        </w:rPr>
        <w:t>12</w:t>
      </w:r>
      <w:r w:rsidR="00480135" w:rsidRPr="008A087E">
        <w:fldChar w:fldCharType="end"/>
      </w:r>
      <w:r w:rsidR="00480135" w:rsidRPr="000C2BAB">
        <w:t>. This rapidly expanding group includes molecular ‘walkers’</w:t>
      </w:r>
      <w:r w:rsidR="00480135" w:rsidRPr="008A087E">
        <w:fldChar w:fldCharType="begin"/>
      </w:r>
      <w:r w:rsidR="00126622" w:rsidRPr="000C2BAB">
        <w:instrText xml:space="preserve"> ADDIN PAPERS2_CITATIONS &lt;citation&gt;&lt;uuid&gt;D4DCD61B-8223-47B4-B2A2-CCA74B18E201&lt;/uuid&gt;&lt;priority&gt;0&lt;/priority&gt;&lt;publications&gt;&lt;publication&gt;&lt;uuid&gt;1BFD26AF-793F-495F-B80B-5F8580A7C896&lt;/uuid&gt;&lt;volume&gt;40&lt;/volume&gt;&lt;doi&gt;10.1039/c1cs15005g&lt;/doi&gt;&lt;startpage&gt;3656&lt;/startpage&gt;&lt;publication_date&gt;99201107001200000000220000&lt;/publication_date&gt;&lt;url&gt;http://eutils.ncbi.nlm.nih.gov/entrez/eutils/elink.fcgi?dbfrom=pubmed&amp;amp;id=21416072&amp;amp;retmode=ref&amp;amp;cmd=prlinks&lt;/url&gt;&lt;type&gt;400&lt;/type&gt;&lt;title&gt;Walking molecules.&lt;/title&gt;&lt;institution&gt;School of Chemistry, University of Edinburgh, The King's Buildings, West Mains Road, Edinburgh EH9 3JJ, UK.&lt;/institution&gt;&lt;number&gt;7&lt;/number&gt;&lt;subtype&gt;400&lt;/subtype&gt;&lt;endpage&gt;3676&lt;/endpage&gt;&lt;bundle&gt;&lt;publication&gt;&lt;publisher&gt;The Royal Society of Chemistry&lt;/publisher&gt;&lt;title&gt;Chemical Society Reviews&lt;/title&gt;&lt;type&gt;-100&lt;/type&gt;&lt;subtype&gt;-100&lt;/subtype&gt;&lt;uuid&gt;059EB61D-5369-433A-8A1C-3A9E749DBF50&lt;/uuid&gt;&lt;/publication&gt;&lt;/bundle&gt;&lt;authors&gt;&lt;author&gt;&lt;firstName&gt;Max&lt;/firstName&gt;&lt;droppingParticle&gt;von&lt;/droppingParticle&gt;&lt;lastName&gt;Delius&lt;/lastName&gt;&lt;/author&gt;&lt;author&gt;&lt;firstName&gt;David&lt;/firstName&gt;&lt;middleNames&gt;A&lt;/middleNames&gt;&lt;lastName&gt;Leigh&lt;/lastName&gt;&lt;/author&gt;&lt;/authors&gt;&lt;/publication&gt;&lt;/publications&gt;&lt;cites&gt;&lt;/cites&gt;&lt;/citation&gt;</w:instrText>
      </w:r>
      <w:r w:rsidR="00480135" w:rsidRPr="008A087E">
        <w:fldChar w:fldCharType="separate"/>
      </w:r>
      <w:r w:rsidR="00126622" w:rsidRPr="000C2BAB">
        <w:rPr>
          <w:rFonts w:eastAsiaTheme="minorEastAsia"/>
          <w:vertAlign w:val="superscript"/>
        </w:rPr>
        <w:t>13</w:t>
      </w:r>
      <w:r w:rsidR="00480135" w:rsidRPr="008A087E">
        <w:fldChar w:fldCharType="end"/>
      </w:r>
      <w:r w:rsidR="009E1DEE" w:rsidRPr="000C2BAB">
        <w:t>, shuttles and switches that can in some cases do work against significant external loads</w:t>
      </w:r>
      <w:r w:rsidR="009E1DEE" w:rsidRPr="008A087E">
        <w:fldChar w:fldCharType="begin"/>
      </w:r>
      <w:r w:rsidR="00126622" w:rsidRPr="000C2BAB">
        <w:instrText xml:space="preserve"> ADDIN PAPERS2_CITATIONS &lt;citation&gt;&lt;uuid&gt;76BF49A3-F43A-43AF-9E0D-C271465C2F7D&lt;/uuid&gt;&lt;priority&gt;0&lt;/priority&gt;&lt;publications&gt;&lt;publication&gt;&lt;uuid&gt;503F935A-0C04-4EC7-9499-E643EA2CD5E7&lt;/uuid&gt;&lt;volume&gt;6&lt;/volume&gt;&lt;doi&gt;10.1038/nnano.2011.132&lt;/doi&gt;&lt;startpage&gt;553&lt;/startpage&gt;&lt;publication_date&gt;99201108211200000000222000&lt;/publication_date&gt;&lt;url&gt;http://dx.doi.org/10.1038/nnano.2011.132&lt;/url&gt;&lt;citekey&gt;Lussis:2011jy&lt;/citekey&gt;&lt;type&gt;400&lt;/type&gt;&lt;title&gt;A single synthetic small molecule that generates force against a load&lt;/title&gt;&lt;publisher&gt;Nature Publishing Group&lt;/publisher&gt;&lt;number&gt;9&lt;/number&gt;&lt;subtype&gt;400&lt;/subtype&gt;&lt;endpage&gt;557&lt;/endpage&gt;&lt;bundle&gt;&lt;publication&gt;&lt;publisher&gt;Nature Publishing Group&lt;/publisher&gt;&lt;title&gt;Nature Nanotechnology&lt;/title&gt;&lt;type&gt;-100&lt;/type&gt;&lt;subtype&gt;-102&lt;/subtype&gt;&lt;uuid&gt;E6B4345F-650D-41F6-BFEC-8BB646E926D9&lt;/uuid&gt;&lt;/publication&gt;&lt;/bundle&gt;&lt;authors&gt;&lt;author&gt;&lt;firstName&gt;Perrine&lt;/firstName&gt;&lt;lastName&gt;Lussis&lt;/lastName&gt;&lt;/author&gt;&lt;author&gt;&lt;firstName&gt;Tiziana&lt;/firstName&gt;&lt;lastName&gt;Svaldo-Lanero&lt;/lastName&gt;&lt;/author&gt;&lt;author&gt;&lt;firstName&gt;Andrea&lt;/firstName&gt;&lt;lastName&gt;Bertocco&lt;/lastName&gt;&lt;/author&gt;&lt;author&gt;&lt;firstName&gt;Charles-André&lt;/firstName&gt;&lt;lastName&gt;Fustin&lt;/lastName&gt;&lt;/author&gt;&lt;author&gt;&lt;firstName&gt;David&lt;/firstName&gt;&lt;middleNames&gt;A&lt;/middleNames&gt;&lt;lastName&gt;Leigh&lt;/lastName&gt;&lt;/author&gt;&lt;author&gt;&lt;firstName&gt;Anne-Sophie&lt;/firstName&gt;&lt;lastName&gt;Duwez&lt;/lastName&gt;&lt;/author&gt;&lt;/authors&gt;&lt;/publication&gt;&lt;/publications&gt;&lt;cites&gt;&lt;/cites&gt;&lt;/citation&gt;</w:instrText>
      </w:r>
      <w:r w:rsidR="009E1DEE" w:rsidRPr="008A087E">
        <w:fldChar w:fldCharType="separate"/>
      </w:r>
      <w:r w:rsidR="00126622" w:rsidRPr="000C2BAB">
        <w:rPr>
          <w:rFonts w:eastAsiaTheme="minorEastAsia"/>
          <w:vertAlign w:val="superscript"/>
        </w:rPr>
        <w:t>14</w:t>
      </w:r>
      <w:r w:rsidR="009E1DEE" w:rsidRPr="008A087E">
        <w:fldChar w:fldCharType="end"/>
      </w:r>
      <w:r w:rsidR="00C65087" w:rsidRPr="000C2BAB">
        <w:t xml:space="preserve">. </w:t>
      </w:r>
      <w:r w:rsidRPr="000C2BAB">
        <w:t xml:space="preserve">The </w:t>
      </w:r>
      <w:r w:rsidR="009E1DEE" w:rsidRPr="000C2BAB">
        <w:t xml:space="preserve">SCFS </w:t>
      </w:r>
      <w:r w:rsidRPr="000C2BAB">
        <w:t>experiment</w:t>
      </w:r>
      <w:r w:rsidR="000F2826" w:rsidRPr="000C2BAB">
        <w:t xml:space="preserve"> </w:t>
      </w:r>
      <w:r w:rsidRPr="000C2BAB">
        <w:t>has parallels with the nanopore sequencing approach that is under continuous development as a DNA sequencing tool</w:t>
      </w:r>
      <w:r w:rsidR="00695979" w:rsidRPr="008A087E">
        <w:fldChar w:fldCharType="begin"/>
      </w:r>
      <w:r w:rsidR="00126622" w:rsidRPr="000C2BAB">
        <w:instrText xml:space="preserve"> ADDIN PAPERS2_CITATIONS &lt;citation&gt;&lt;uuid&gt;7BE5EFC9-94E7-4C9F-8315-4A24C83685AB&lt;/uuid&gt;&lt;priority&gt;0&lt;/priority&gt;&lt;publications&gt;&lt;publication&gt;&lt;uuid&gt;7451B4CD-BC64-43F6-BAAA-5115FC2B8F2F&lt;/uuid&gt;&lt;volume&gt;9&lt;/volume&gt;&lt;doi&gt;10.1016/j.plrev.2012.05.010&lt;/doi&gt;&lt;startpage&gt;125&lt;/startpage&gt;&lt;publication_date&gt;99201206011200000000222000&lt;/publication_date&gt;&lt;url&gt;http://dx.doi.org/10.1016/j.plrev.2012.05.010&lt;/url&gt;&lt;type&gt;400&lt;/type&gt;&lt;title&gt;Nanopores: A journey towards DNA sequencing&lt;/title&gt;&lt;publisher&gt;Elsevier B.V.&lt;/publisher&gt;&lt;number&gt;2&lt;/number&gt;&lt;subtype&gt;400&lt;/subtype&gt;&lt;endpage&gt;158&lt;/endpage&gt;&lt;bundle&gt;&lt;publication&gt;&lt;publisher&gt;Elsevier B.V.&lt;/publisher&gt;&lt;title&gt;Physics of Life Reviews&lt;/title&gt;&lt;type&gt;-100&lt;/type&gt;&lt;subtype&gt;-100&lt;/subtype&gt;&lt;uuid&gt;1C336D51-7E8D-4532-8018-B08FB83929EA&lt;/uuid&gt;&lt;/publication&gt;&lt;/bundle&gt;&lt;authors&gt;&lt;author&gt;&lt;firstName&gt;Meni&lt;/firstName&gt;&lt;lastName&gt;Wanunu&lt;/lastName&gt;&lt;/author&gt;&lt;/authors&gt;&lt;/publication&gt;&lt;publication&gt;&lt;uuid&gt;94382AB1-C706-41CF-A546-47E171465EA5&lt;/uuid&gt;&lt;volume&gt;32&lt;/volume&gt;&lt;accepted_date&gt;99201406061200000000222000&lt;/accepted_date&gt;&lt;doi&gt;10.1038/nbt.2950&lt;/doi&gt;&lt;startpage&gt;829&lt;/startpage&gt;&lt;publication_date&gt;99201408001200000000220000&lt;/publication_date&gt;&lt;url&gt;http://eutils.ncbi.nlm.nih.gov/entrez/eutils/elink.fcgi?dbfrom=pubmed&amp;amp;id=24964173&amp;amp;retmode=ref&amp;amp;cmd=prlinks&lt;/url&gt;&lt;type&gt;400&lt;/type&gt;&lt;title&gt;Decoding long nanopore sequencing reads of natural DNA.&lt;/title&gt;&lt;submission_date&gt;99201404181200000000222000&lt;/submission_date&gt;&lt;number&gt;8&lt;/number&gt;&lt;institution&gt;Department of Physics, University of Washington, Seattle, Washington, USA.&lt;/institution&gt;&lt;subtype&gt;400&lt;/subtype&gt;&lt;endpage&gt;833&lt;/endpage&gt;&lt;bundle&gt;&lt;publication&gt;&lt;publisher&gt;Nature Publishing Group&lt;/publisher&gt;&lt;title&gt;Nature biotechnology&lt;/title&gt;&lt;type&gt;-100&lt;/type&gt;&lt;subtype&gt;-100&lt;/subtype&gt;&lt;uuid&gt;47FAD411-0640-4E63-94B9-1B76D04BC51D&lt;/uuid&gt;&lt;/publication&gt;&lt;/bundle&gt;&lt;authors&gt;&lt;author&gt;&lt;firstName&gt;Andrew&lt;/firstName&gt;&lt;middleNames&gt;H&lt;/middleNames&gt;&lt;lastName&gt;Laszlo&lt;/lastName&gt;&lt;/author&gt;&lt;author&gt;&lt;firstName&gt;Ian&lt;/firstName&gt;&lt;middleNames&gt;M&lt;/middleNames&gt;&lt;lastName&gt;Derrington&lt;/lastName&gt;&lt;/author&gt;&lt;author&gt;&lt;firstName&gt;Brian&lt;/firstName&gt;&lt;middleNames&gt;C&lt;/middleNames&gt;&lt;lastName&gt;Ross&lt;/lastName&gt;&lt;/author&gt;&lt;author&gt;&lt;firstName&gt;Henry&lt;/firstName&gt;&lt;lastName&gt;Brinkerhoff&lt;/lastName&gt;&lt;/author&gt;&lt;author&gt;&lt;firstName&gt;Andrew&lt;/firstName&gt;&lt;lastName&gt;Adey&lt;/lastName&gt;&lt;/author&gt;&lt;author&gt;&lt;firstName&gt;Ian&lt;/firstName&gt;&lt;middleNames&gt;C&lt;/middleNames&gt;&lt;lastName&gt;Nova&lt;/lastName&gt;&lt;/author&gt;&lt;author&gt;&lt;firstName&gt;Jonathan&lt;/firstName&gt;&lt;middleNames&gt;M&lt;/middleNames&gt;&lt;lastName&gt;Craig&lt;/lastName&gt;&lt;/author&gt;&lt;author&gt;&lt;firstName&gt;Kyle&lt;/firstName&gt;&lt;middleNames&gt;W&lt;/middleNames&gt;&lt;lastName&gt;Langford&lt;/lastName&gt;&lt;/author&gt;&lt;author&gt;&lt;firstName&gt;Jenny&lt;/firstName&gt;&lt;middleNames&gt;Mae&lt;/middleNames&gt;&lt;lastName&gt;Samson&lt;/lastName&gt;&lt;/author&gt;&lt;author&gt;&lt;firstName&gt;Riza&lt;/firstName&gt;&lt;lastName&gt;Daza&lt;/lastName&gt;&lt;/author&gt;&lt;author&gt;&lt;firstName&gt;Kenji&lt;/firstName&gt;&lt;lastName&gt;Doering&lt;/lastName&gt;&lt;/author&gt;&lt;author&gt;&lt;firstName&gt;Jay&lt;/firstName&gt;&lt;lastName&gt;Shendure&lt;/lastName&gt;&lt;/author&gt;&lt;author&gt;&lt;firstName&gt;Jens&lt;/firstName&gt;&lt;middleNames&gt;H&lt;/middleNames&gt;&lt;lastName&gt;Gundlach&lt;/lastName&gt;&lt;/author&gt;&lt;/authors&gt;&lt;/publication&gt;&lt;/publications&gt;&lt;cites&gt;&lt;/cites&gt;&lt;/citation&gt;</w:instrText>
      </w:r>
      <w:r w:rsidR="00695979" w:rsidRPr="008A087E">
        <w:fldChar w:fldCharType="separate"/>
      </w:r>
      <w:r w:rsidR="00126622" w:rsidRPr="000C2BAB">
        <w:rPr>
          <w:rFonts w:eastAsiaTheme="minorEastAsia"/>
          <w:vertAlign w:val="superscript"/>
        </w:rPr>
        <w:t>15,16</w:t>
      </w:r>
      <w:r w:rsidR="00695979" w:rsidRPr="008A087E">
        <w:fldChar w:fldCharType="end"/>
      </w:r>
      <w:r w:rsidRPr="000C2BAB">
        <w:t xml:space="preserve"> and which has rec</w:t>
      </w:r>
      <w:r w:rsidR="00A448FC" w:rsidRPr="000C2BAB">
        <w:t>ently been shown to disc</w:t>
      </w:r>
      <w:r w:rsidRPr="000C2BAB">
        <w:t>riminate between different poly(ethylene glycol) (PEG)  polymers on the basis of their molecular weight, with monomer resolution.</w:t>
      </w:r>
      <w:r w:rsidR="00695979" w:rsidRPr="008A087E">
        <w:fldChar w:fldCharType="begin"/>
      </w:r>
      <w:r w:rsidR="00126622" w:rsidRPr="000C2BAB">
        <w:instrText xml:space="preserve"> ADDIN PAPERS2_CITATIONS &lt;citation&gt;&lt;uuid&gt;EF7B7613-074C-498A-B9C4-FE09F169E267&lt;/uuid&gt;&lt;priority&gt;0&lt;/priority&gt;&lt;publications&gt;&lt;publication&gt;&lt;uuid&gt;A13AC794-4966-484A-B732-9E97FAE24D39&lt;/uuid&gt;&lt;volume&gt;9&lt;/volume&gt;&lt;doi&gt;10.1021/acsnano.5b02096&lt;/doi&gt;&lt;startpage&gt;6443&lt;/startpage&gt;&lt;publication_date&gt;99201506231200000000222000&lt;/publication_date&gt;&lt;url&gt;http://pubs.acs.org/doi/abs/10.1021/acsnano.5b02096&lt;/url&gt;&lt;type&gt;400&lt;/type&gt;&lt;title&gt;High-Resolution Size-Discrimination of Single Nonionic Synthetic Polymers with a Highly Charged Biological Nanopore.&lt;/title&gt;&lt;institution&gt;‡Ionera Technologies GmbH, Hermann Herder Strasse 7, 79104 Freiburg, Germany.&lt;/institution&gt;&lt;number&gt;6&lt;/number&gt;&lt;subtype&gt;400&lt;/subtype&gt;&lt;endpage&gt;6449&lt;/endpage&gt;&lt;bundle&gt;&lt;publication&gt;&lt;publisher&gt;American Chemical Society&lt;/publisher&gt;&lt;title&gt;Acs Nano&lt;/title&gt;&lt;type&gt;-100&lt;/type&gt;&lt;subtype&gt;-100&lt;/subtype&gt;&lt;uuid&gt;5E9CA553-02C7-485C-94F5-97FDA0032E37&lt;/uuid&gt;&lt;/publication&gt;&lt;/bundle&gt;&lt;authors&gt;&lt;author&gt;&lt;firstName&gt;Gerhard&lt;/firstName&gt;&lt;lastName&gt;Baaken&lt;/lastName&gt;&lt;/author&gt;&lt;author&gt;&lt;firstName&gt;Ibrahim&lt;/firstName&gt;&lt;lastName&gt;Halimeh&lt;/lastName&gt;&lt;/author&gt;&lt;author&gt;&lt;firstName&gt;Laurent&lt;/firstName&gt;&lt;lastName&gt;Bacri&lt;/lastName&gt;&lt;/author&gt;&lt;author&gt;&lt;firstName&gt;Juan&lt;/firstName&gt;&lt;lastName&gt;Pelta&lt;/lastName&gt;&lt;/author&gt;&lt;author&gt;&lt;firstName&gt;Abdelghani&lt;/firstName&gt;&lt;lastName&gt;Oukhaled&lt;/lastName&gt;&lt;/author&gt;&lt;author&gt;&lt;firstName&gt;Jan&lt;/firstName&gt;&lt;middleNames&gt;C&lt;/middleNames&gt;&lt;lastName&gt;Behrends&lt;/lastName&gt;&lt;/author&gt;&lt;/authors&gt;&lt;/publication&gt;&lt;/publications&gt;&lt;cites&gt;&lt;/cites&gt;&lt;/citation&gt;</w:instrText>
      </w:r>
      <w:r w:rsidR="00695979" w:rsidRPr="008A087E">
        <w:fldChar w:fldCharType="separate"/>
      </w:r>
      <w:r w:rsidR="00126622" w:rsidRPr="000C2BAB">
        <w:rPr>
          <w:rFonts w:eastAsiaTheme="minorEastAsia"/>
          <w:vertAlign w:val="superscript"/>
        </w:rPr>
        <w:t>17</w:t>
      </w:r>
      <w:r w:rsidR="00695979" w:rsidRPr="008A087E">
        <w:fldChar w:fldCharType="end"/>
      </w:r>
      <w:r w:rsidRPr="000C2BAB">
        <w:t xml:space="preserve"> </w:t>
      </w:r>
      <w:r w:rsidR="00EF6E34" w:rsidRPr="000C2BAB">
        <w:t xml:space="preserve">In particular, AFM has been used to </w:t>
      </w:r>
      <w:r w:rsidR="00F01773" w:rsidRPr="000C2BAB">
        <w:t>measur</w:t>
      </w:r>
      <w:r w:rsidR="00EF6E34" w:rsidRPr="000C2BAB">
        <w:t>e the forces acting on ssDNA as it slides</w:t>
      </w:r>
      <w:r w:rsidR="00CF3BEC" w:rsidRPr="000C2BAB">
        <w:t xml:space="preserve"> by either a </w:t>
      </w:r>
      <w:r w:rsidR="00A92875" w:rsidRPr="000C2BAB">
        <w:t>“</w:t>
      </w:r>
      <w:r w:rsidR="00CF3BEC" w:rsidRPr="000C2BAB">
        <w:t>frictionless</w:t>
      </w:r>
      <w:r w:rsidR="00A92875" w:rsidRPr="000C2BAB">
        <w:t>”</w:t>
      </w:r>
      <w:r w:rsidR="00CF3BEC" w:rsidRPr="000C2BAB">
        <w:t xml:space="preserve"> or a </w:t>
      </w:r>
      <w:r w:rsidR="00A92875" w:rsidRPr="000C2BAB">
        <w:t>“stick-s</w:t>
      </w:r>
      <w:r w:rsidR="00CF3BEC" w:rsidRPr="000C2BAB">
        <w:t>lip</w:t>
      </w:r>
      <w:r w:rsidR="00A92875" w:rsidRPr="000C2BAB">
        <w:t>”</w:t>
      </w:r>
      <w:r w:rsidR="00CF3BEC" w:rsidRPr="000C2BAB">
        <w:t xml:space="preserve"> mode</w:t>
      </w:r>
      <w:r w:rsidR="00EF6E34" w:rsidRPr="000C2BAB">
        <w:t xml:space="preserve"> in a nanopore</w:t>
      </w:r>
      <w:r w:rsidR="00EF6E34" w:rsidRPr="008A087E">
        <w:fldChar w:fldCharType="begin"/>
      </w:r>
      <w:r w:rsidR="00126622" w:rsidRPr="000C2BAB">
        <w:instrText xml:space="preserve"> ADDIN PAPERS2_CITATIONS &lt;citation&gt;&lt;uuid&gt;3EE8EB6D-61EA-4D6A-A571-0275C48002B1&lt;/uuid&gt;&lt;priority&gt;0&lt;/priority&gt;&lt;publications&gt;&lt;publication&gt;&lt;uuid&gt;37E20AAF-18F0-4EF2-A919-23BE68C23E2C&lt;/uuid&gt;&lt;volume&gt;8&lt;/volume&gt;&lt;doi&gt;10.1021/nn405331t&lt;/doi&gt;&lt;startpage&gt;5484&lt;/startpage&gt;&lt;publication_date&gt;99201406241200000000222000&lt;/publication_date&gt;&lt;url&gt;http://pubs.acs.org/doi/abs/10.1021/nn405331t&lt;/url&gt;&lt;type&gt;400&lt;/type&gt;&lt;title&gt;Direct, concurrent measurements of the forces and currents affecting DNA in a nanopore with comparable topography.&lt;/title&gt;&lt;institution&gt;University of Notre Dame , Stinson-Remick Hall, Notre Dame Avenue, Notre Dame, Indiana 46556, United States.&lt;/institution&gt;&lt;number&gt;6&lt;/number&gt;&lt;subtype&gt;400&lt;/subtype&gt;&lt;endpage&gt;5493&lt;/endpage&gt;&lt;bundle&gt;&lt;publication&gt;&lt;publisher&gt;American Chemical Society&lt;/publisher&gt;&lt;title&gt;Acs Nano&lt;/title&gt;&lt;type&gt;-100&lt;/type&gt;&lt;subtype&gt;-100&lt;/subtype&gt;&lt;uuid&gt;5E9CA553-02C7-485C-94F5-97FDA0032E37&lt;/uuid&gt;&lt;/publication&gt;&lt;/bundle&gt;&lt;authors&gt;&lt;author&gt;&lt;firstName&gt;Edward&lt;/firstName&gt;&lt;middleNames&gt;M&lt;/middleNames&gt;&lt;lastName&gt;Nelson&lt;/lastName&gt;&lt;/author&gt;&lt;author&gt;&lt;firstName&gt;Hui&lt;/firstName&gt;&lt;lastName&gt;Li&lt;/lastName&gt;&lt;/author&gt;&lt;author&gt;&lt;firstName&gt;Gregory&lt;/firstName&gt;&lt;lastName&gt;Timp&lt;/lastName&gt;&lt;/author&gt;&lt;/authors&gt;&lt;/publication&gt;&lt;/publications&gt;&lt;cites&gt;&lt;/cites&gt;&lt;/citation&gt;</w:instrText>
      </w:r>
      <w:r w:rsidR="00EF6E34" w:rsidRPr="008A087E">
        <w:fldChar w:fldCharType="separate"/>
      </w:r>
      <w:r w:rsidR="00126622" w:rsidRPr="000C2BAB">
        <w:rPr>
          <w:rFonts w:eastAsiaTheme="minorEastAsia"/>
          <w:vertAlign w:val="superscript"/>
        </w:rPr>
        <w:t>18</w:t>
      </w:r>
      <w:r w:rsidR="00EF6E34" w:rsidRPr="008A087E">
        <w:fldChar w:fldCharType="end"/>
      </w:r>
      <w:r w:rsidR="00EF6E34" w:rsidRPr="000C2BAB">
        <w:t xml:space="preserve">. </w:t>
      </w:r>
      <w:r w:rsidRPr="000C2BAB">
        <w:t>The most common terminology</w:t>
      </w:r>
      <w:r w:rsidR="00695979" w:rsidRPr="008A087E">
        <w:fldChar w:fldCharType="begin"/>
      </w:r>
      <w:r w:rsidR="00126622" w:rsidRPr="000C2BAB">
        <w:instrText xml:space="preserve"> ADDIN PAPERS2_CITATIONS &lt;citation&gt;&lt;uuid&gt;B039E4D9-9954-4EC0-B894-B1BF92652DEF&lt;/uuid&gt;&lt;priority&gt;0&lt;/priority&gt;&lt;publications&gt;&lt;publication&gt;&lt;uuid&gt;88EC2BC1-643A-4F41-AD49-AA8877A02262&lt;/uuid&gt;&lt;volume&gt;106&lt;/volume&gt;&lt;doi&gt;10.1021/cr970027+&lt;/doi&gt;&lt;startpage&gt;782&lt;/startpage&gt;&lt;publication_date&gt;99200600001200000000200000&lt;/publication_date&gt;&lt;url&gt;http://eutils.ncbi.nlm.nih.gov/entrez/eutils/elink.fcgi?dbfrom=pubmed&amp;amp;id=16522009&amp;amp;retmode=ref&amp;amp;cmd=prlinks&lt;/url&gt;&lt;type&gt;400&lt;/type&gt;&lt;title&gt;Cyclodextrin rotaxanes and polyrotaxanes&lt;/title&gt;&lt;location&gt;200,9,49.2551604,7.0408960&lt;/location&gt;&lt;institution&gt;Univ Saarland, D-66123 Saarbrucken, Germany&lt;/institution&gt;&lt;subtype&gt;400&lt;/subtype&gt;&lt;endpage&gt;817&lt;/endpage&gt;&lt;bundle&gt;&lt;publication&gt;&lt;publisher&gt;ACS Publications&lt;/publisher&gt;&lt;title&gt;Chemical Reviews&lt;/title&gt;&lt;type&gt;-100&lt;/type&gt;&lt;subtype&gt;-100&lt;/subtype&gt;&lt;uuid&gt;3046440C-0418-4E17-8FF3-26E7CA36B288&lt;/uuid&gt;&lt;/publication&gt;&lt;/bundle&gt;&lt;authors&gt;&lt;author&gt;&lt;firstName&gt;Gerhard&lt;/firstName&gt;&lt;lastName&gt;Wenz&lt;/lastName&gt;&lt;/author&gt;&lt;author&gt;&lt;firstName&gt;BH&lt;/firstName&gt;&lt;lastName&gt;Han&lt;/lastName&gt;&lt;/author&gt;&lt;author&gt;&lt;firstName&gt;A&lt;/firstName&gt;&lt;lastName&gt;Muller&lt;/lastName&gt;&lt;/author&gt;&lt;/authors&gt;&lt;/publication&gt;&lt;/publications&gt;&lt;cites&gt;&lt;/cites&gt;&lt;/citation&gt;</w:instrText>
      </w:r>
      <w:r w:rsidR="00695979" w:rsidRPr="008A087E">
        <w:fldChar w:fldCharType="separate"/>
      </w:r>
      <w:r w:rsidR="00126622" w:rsidRPr="000C2BAB">
        <w:rPr>
          <w:rFonts w:eastAsiaTheme="minorEastAsia"/>
          <w:vertAlign w:val="superscript"/>
        </w:rPr>
        <w:t>19</w:t>
      </w:r>
      <w:r w:rsidR="00695979" w:rsidRPr="008A087E">
        <w:fldChar w:fldCharType="end"/>
      </w:r>
      <w:r w:rsidRPr="000C2BAB">
        <w:t xml:space="preserve"> for describing the processes occurring in a rotaxane depicts a macrocyclic ‘bead’ shuttling between ‘stations</w:t>
      </w:r>
      <w:r w:rsidR="00CF77CC" w:rsidRPr="000C2BAB">
        <w:t>’ on the polymer axle</w:t>
      </w:r>
      <w:r w:rsidRPr="000C2BAB">
        <w:t xml:space="preserve">. In the </w:t>
      </w:r>
      <w:r w:rsidR="00463117" w:rsidRPr="000C2BAB">
        <w:t xml:space="preserve">SCFS </w:t>
      </w:r>
      <w:r w:rsidRPr="000C2BAB">
        <w:t>method described here and previously,</w:t>
      </w:r>
      <w:r w:rsidR="009E7868" w:rsidRPr="008A087E">
        <w:fldChar w:fldCharType="begin"/>
      </w:r>
      <w:r w:rsidR="00126622" w:rsidRPr="000C2BAB">
        <w:instrText xml:space="preserve"> ADDIN PAPERS2_CITATIONS &lt;citation&gt;&lt;uuid&gt;98BDD20C-4867-4B72-9BC4-AC3AC01D4B07&lt;/uuid&gt;&lt;priority&gt;0&lt;/priority&gt;&lt;publications&gt;&lt;publication&gt;&lt;uuid&gt;8EA54223-6495-4D24-B9B3-95BCD04C5FB6&lt;/uuid&gt;&lt;volume&gt;19&lt;/volume&gt;&lt;doi&gt;10.1088/0957-4484/19/34/345706&lt;/doi&gt;&lt;startpage&gt;345706&lt;/startpage&gt;&lt;publication_date&gt;99200808271200000000222000&lt;/publication_date&gt;&lt;url&gt;http://eutils.ncbi.nlm.nih.gov/entrez/eutils/elink.fcgi?dbfrom=pubmed&amp;amp;id=21730660&amp;amp;retmode=ref&amp;amp;cmd=prlinks&lt;/url&gt;&lt;citekey&gt;Dunlop:2008jt&lt;/citekey&gt;&lt;type&gt;400&lt;/type&gt;&lt;title&gt;Mapping the positions of beads on a string: dethreading rotaxanes by molecular force spectroscopy.&lt;/title&gt;&lt;location&gt;200,9,51.4608430,-2.6058422&lt;/location&gt;&lt;institution&gt;H H Wills Physics Laboratory, University of Bristol, Tyndall Avenue, Bristol BS8 1TL, UK.&lt;/institution&gt;&lt;number&gt;34&lt;/number&gt;&lt;subtype&gt;400&lt;/subtype&gt;&lt;bundle&gt;&lt;publication&gt;&lt;publisher&gt;IOP Publishing&lt;/publisher&gt;&lt;title&gt;Nanotechnology&lt;/title&gt;&lt;type&gt;-100&lt;/type&gt;&lt;subtype&gt;-100&lt;/subtype&gt;&lt;uuid&gt;303B3A8C-C86D-472A-AC91-6E0394CFBCC4&lt;/uuid&gt;&lt;/publication&gt;&lt;/bundle&gt;&lt;authors&gt;&lt;author&gt;&lt;firstName&gt;Alex&lt;/firstName&gt;&lt;lastName&gt;Dunlop&lt;/lastName&gt;&lt;/author&gt;&lt;author&gt;&lt;firstName&gt;Jirut&lt;/firstName&gt;&lt;lastName&gt;Wattoom&lt;/lastName&gt;&lt;/author&gt;&lt;author&gt;&lt;firstName&gt;Erol&lt;/firstName&gt;&lt;middleNames&gt;A&lt;/middleNames&gt;&lt;lastName&gt;Hasan&lt;/lastName&gt;&lt;/author&gt;&lt;author&gt;&lt;firstName&gt;Terence&lt;/firstName&gt;&lt;lastName&gt;Cosgrove&lt;/lastName&gt;&lt;/author&gt;&lt;author&gt;&lt;firstName&gt;Andrew&lt;/firstName&gt;&lt;middleNames&gt;N&lt;/middleNames&gt;&lt;lastName&gt;Round&lt;/lastName&gt;&lt;/author&gt;&lt;/authors&gt;&lt;/publication&gt;&lt;publication&gt;&lt;publication_date&gt;99201611041200000000222000&lt;/publication_date&gt;&lt;startpage&gt;acs.langmuir.6b03414&lt;/startpage&gt;&lt;doi&gt;10.1021/acs.langmuir.6b03414&lt;/doi&gt;&lt;title&gt;A ‘sliding contact’ dynamic force spectroscopy method for interrogating slowly forming polymer crosslinks.&lt;/title&gt;&lt;uuid&gt;AF568C4F-A446-4C77-AD90-72264D4F14DC&lt;/uuid&gt;&lt;subtype&gt;400&lt;/subtype&gt;&lt;publisher&gt; American Chemical Society&lt;/publisher&gt;&lt;type&gt;400&lt;/type&gt;&lt;url&gt;http://pubs.acs.org/doi/abs/10.1021/acs.langmuir.6b03414&lt;/url&gt;&lt;bundle&gt;&lt;publication&gt;&lt;publisher&gt; American Chemical Society &lt;/publisher&gt;&lt;title&gt;Langmuir : the ACS journal of surfaces and colloids&lt;/title&gt;&lt;type&gt;-100&lt;/type&gt;&lt;subtype&gt;-100&lt;/subtype&gt;&lt;uuid&gt;A26006E3-3C54-4F9C-B947-AC668218184C&lt;/uuid&gt;&lt;/publication&gt;&lt;/bundle&gt;&lt;authors&gt;&lt;author&gt;&lt;firstName&gt;Kate&lt;/firstName&gt;&lt;middleNames&gt;Alexandra&lt;/middleNames&gt;&lt;lastName&gt;Bowman&lt;/lastName&gt;&lt;/author&gt;&lt;author&gt;&lt;firstName&gt;Olav&lt;/firstName&gt;&lt;middleNames&gt;Andreas&lt;/middleNames&gt;&lt;lastName&gt;Aarstad&lt;/lastName&gt;&lt;/author&gt;&lt;author&gt;&lt;firstName&gt;Bjørn&lt;/firstName&gt;&lt;middleNames&gt;Torger&lt;/middleNames&gt;&lt;lastName&gt;Stokke&lt;/lastName&gt;&lt;/author&gt;&lt;author&gt;&lt;firstName&gt;Gudmund&lt;/firstName&gt;&lt;lastName&gt;Skjåk-Braek&lt;/lastName&gt;&lt;/author&gt;&lt;author&gt;&lt;firstName&gt;Andrew&lt;/firstName&gt;&lt;middleNames&gt;N&lt;/middleNames&gt;&lt;lastName&gt;Round&lt;/lastName&gt;&lt;/author&gt;&lt;/authors&gt;&lt;/publication&gt;&lt;publication&gt;&lt;uuid&gt;07BDF8A5-30F6-4C57-B800-ACF035BAF9D9&lt;/uuid&gt;&lt;volume&gt;4&lt;/volume&gt;&lt;doi&gt;10.1002/smll.200800233&lt;/doi&gt;&lt;startpage&gt;1468&lt;/startpage&gt;&lt;publication_date&gt;99200809001200000000220000&lt;/publication_date&gt;&lt;url&gt;http://onlinelibrary.wiley.com/doi/10.1002/smll.200800233/abstract&lt;/url&gt;&lt;type&gt;400&lt;/type&gt;&lt;title&gt;An AFM/rotaxane molecular reading head for sequence-dependent DNA structures.&lt;/title&gt;&lt;location&gt;200,9,33.4192276,-111.9283891&lt;/location&gt;&lt;institution&gt;Biodesign Institute, Arizona State University, PO Box 875601 Tempe, AZ 85287, USA.&lt;/institution&gt;&lt;number&gt;9&lt;/number&gt;&lt;subtype&gt;400&lt;/subtype&gt;&lt;endpage&gt;1475&lt;/endpage&gt;&lt;bundle&gt;&lt;publication&gt;&lt;title&gt;Small&lt;/title&gt;&lt;type&gt;-100&lt;/type&gt;&lt;subtype&gt;-100&lt;/subtype&gt;&lt;uuid&gt;BF540E91-0BEA-4885-9EA1-1CA20286A25C&lt;/uuid&gt;&lt;/publication&gt;&lt;/bundle&gt;&lt;authors&gt;&lt;author&gt;&lt;firstName&gt;Brian&lt;/firstName&gt;&lt;middleNames&gt;A&lt;/middleNames&gt;&lt;lastName&gt;Ashcroft&lt;/lastName&gt;&lt;/author&gt;&lt;author&gt;&lt;firstName&gt;Quinn&lt;/firstName&gt;&lt;lastName&gt;Spadola&lt;/lastName&gt;&lt;/author&gt;&lt;author&gt;&lt;firstName&gt;Shahid&lt;/firstName&gt;&lt;lastName&gt;Qamar&lt;/lastName&gt;&lt;/author&gt;&lt;author&gt;&lt;firstName&gt;Peiming&lt;/firstName&gt;&lt;lastName&gt;Zhang&lt;/lastName&gt;&lt;/author&gt;&lt;author&gt;&lt;firstName&gt;Gerald&lt;/firstName&gt;&lt;lastName&gt;Kada&lt;/lastName&gt;&lt;/author&gt;&lt;author&gt;&lt;firstName&gt;Rouvain&lt;/firstName&gt;&lt;lastName&gt;Bension&lt;/lastName&gt;&lt;/author&gt;&lt;author&gt;&lt;firstName&gt;Stuart&lt;/firstName&gt;&lt;middleNames&gt;M&lt;/middleNames&gt;&lt;lastName&gt;Lindsay&lt;/lastName&gt;&lt;/author&gt;&lt;/authors&gt;&lt;/publication&gt;&lt;/publications&gt;&lt;cites&gt;&lt;/cites&gt;&lt;/citation&gt;</w:instrText>
      </w:r>
      <w:r w:rsidR="009E7868" w:rsidRPr="008A087E">
        <w:fldChar w:fldCharType="separate"/>
      </w:r>
      <w:r w:rsidR="00460042" w:rsidRPr="000C2BAB">
        <w:rPr>
          <w:rFonts w:eastAsiaTheme="minorEastAsia"/>
          <w:vertAlign w:val="superscript"/>
        </w:rPr>
        <w:t>8-10</w:t>
      </w:r>
      <w:r w:rsidR="009E7868" w:rsidRPr="008A087E">
        <w:fldChar w:fldCharType="end"/>
      </w:r>
      <w:r w:rsidRPr="000C2BAB">
        <w:t xml:space="preserve"> the bead is α- or β-cyclodextrin (α-CD and β-CD hereafter) and the stations are the individual monomers</w:t>
      </w:r>
      <w:r w:rsidRPr="000C2BAB">
        <w:rPr>
          <w:rFonts w:asciiTheme="minorHAnsi" w:eastAsiaTheme="minorHAnsi" w:hAnsiTheme="minorHAnsi"/>
          <w:w w:val="108"/>
          <w:sz w:val="18"/>
          <w:szCs w:val="18"/>
          <w:lang w:eastAsia="en-US" w:bidi="en-US"/>
        </w:rPr>
        <w:t xml:space="preserve"> </w:t>
      </w:r>
      <w:r w:rsidRPr="000C2BAB">
        <w:t xml:space="preserve">comprising the polymer axle, while the AFM probe supplies the </w:t>
      </w:r>
      <w:r w:rsidR="00463117" w:rsidRPr="000C2BAB">
        <w:t xml:space="preserve">unidirectional </w:t>
      </w:r>
      <w:r w:rsidRPr="000C2BAB">
        <w:t xml:space="preserve">driving force for shuttling the bead between stations </w:t>
      </w:r>
      <w:r w:rsidR="007816BE" w:rsidRPr="000C2BAB">
        <w:t xml:space="preserve">(hereafter ‘sliding’) </w:t>
      </w:r>
      <w:r w:rsidRPr="000C2BAB">
        <w:t xml:space="preserve">under a load generated by the controlled separation of probe and sample. </w:t>
      </w:r>
      <w:r w:rsidR="00F76524" w:rsidRPr="002A436C">
        <w:t xml:space="preserve">Figure 1 illustrates the parallels between a conventional rotaxane system and the assembly constructed for </w:t>
      </w:r>
      <w:r w:rsidR="00F76524" w:rsidRPr="000C2BAB">
        <w:t xml:space="preserve">SCFS. </w:t>
      </w:r>
      <w:r w:rsidRPr="000C2BAB">
        <w:t xml:space="preserve">The concept of </w:t>
      </w:r>
      <w:r w:rsidR="003444C1" w:rsidRPr="000C2BAB">
        <w:t>manipulating a rotaxane using a</w:t>
      </w:r>
      <w:r w:rsidRPr="000C2BAB">
        <w:t xml:space="preserve"> </w:t>
      </w:r>
      <w:r w:rsidR="000F2826" w:rsidRPr="000C2BAB">
        <w:t>local force</w:t>
      </w:r>
      <w:r w:rsidRPr="000C2BAB">
        <w:t xml:space="preserve"> probe has been explored before: Komiyama and coworkers</w:t>
      </w:r>
      <w:r w:rsidR="009E7868" w:rsidRPr="008A087E">
        <w:fldChar w:fldCharType="begin"/>
      </w:r>
      <w:r w:rsidR="00126622" w:rsidRPr="000C2BAB">
        <w:instrText xml:space="preserve"> ADDIN PAPERS2_CITATIONS &lt;citation&gt;&lt;uuid&gt;28C867F8-7939-4528-932F-3BB941AC9BE0&lt;/uuid&gt;&lt;priority&gt;0&lt;/priority&gt;&lt;publications&gt;&lt;publication&gt;&lt;location&gt;602,0,0,0&lt;/location&gt;&lt;volume&gt;122&lt;/volume&gt;&lt;publication_date&gt;99200000001200000000200000&lt;/publication_date&gt;&lt;institution&gt;Univ Tsukuba, Japan Sci &amp;amp; Technol Corp,JST, Inst Appl Phys, Tsukuba, Ibaraki 3058573, Japan&lt;/institution&gt;&lt;startpage&gt;5411&lt;/startpage&gt;&lt;title&gt;The molecular abacus: STM manipulation of cyclodextrin necklace&lt;/title&gt;&lt;uuid&gt;C4F4FDBB-A81E-47F5-9956-FB0405F408C6&lt;/uuid&gt;&lt;subtype&gt;400&lt;/subtype&gt;&lt;endpage&gt;5412&lt;/endpage&gt;&lt;type&gt;400&lt;/type&gt;&lt;url&gt;http://dora.bk.tsukuba.ac.jp/pdf/2000/2000%20Journal%20Of%20The%20American%20Chemical%20Society%20122,5411-5412.pdf&lt;/url&gt;&lt;bundle&gt;&lt;publication&gt;&lt;publisher&gt;American Chemical Society&lt;/publisher&gt;&lt;title&gt;Journal Of The American Chemical Society&lt;/title&gt;&lt;type&gt;-100&lt;/type&gt;&lt;subtype&gt;-100&lt;/subtype&gt;&lt;uuid&gt;BC05F51B-24D8-4C7C-912D-98305E18EC2F&lt;/uuid&gt;&lt;/publication&gt;&lt;/bundle&gt;&lt;authors&gt;&lt;author&gt;&lt;firstName&gt;H&lt;/firstName&gt;&lt;lastName&gt;Shigekawa&lt;/lastName&gt;&lt;/author&gt;&lt;author&gt;&lt;firstName&gt;K&lt;/firstName&gt;&lt;lastName&gt;Miyake&lt;/lastName&gt;&lt;/author&gt;&lt;author&gt;&lt;firstName&gt;J&lt;/firstName&gt;&lt;lastName&gt;Sumaoka&lt;/lastName&gt;&lt;/author&gt;&lt;author&gt;&lt;firstName&gt;Akira&lt;/firstName&gt;&lt;lastName&gt;Harada&lt;/lastName&gt;&lt;/author&gt;&lt;author&gt;&lt;firstName&gt;M&lt;/firstName&gt;&lt;lastName&gt;Komiyama&lt;/lastName&gt;&lt;/author&gt;&lt;/authors&gt;&lt;/publication&gt;&lt;/publications&gt;&lt;cites&gt;&lt;/cites&gt;&lt;/citation&gt;</w:instrText>
      </w:r>
      <w:r w:rsidR="009E7868" w:rsidRPr="008A087E">
        <w:fldChar w:fldCharType="separate"/>
      </w:r>
      <w:r w:rsidR="00126622" w:rsidRPr="000C2BAB">
        <w:rPr>
          <w:rFonts w:eastAsiaTheme="minorEastAsia"/>
          <w:vertAlign w:val="superscript"/>
        </w:rPr>
        <w:t>20</w:t>
      </w:r>
      <w:r w:rsidR="009E7868" w:rsidRPr="008A087E">
        <w:fldChar w:fldCharType="end"/>
      </w:r>
      <w:r w:rsidRPr="000C2BAB">
        <w:t xml:space="preserve"> used STM (Scanning Tunnelling Microscopy) to manipulate α-CD beads forming a polyrotaxane with poly(ethylene glycol) (PEG) back and for</w:t>
      </w:r>
      <w:r w:rsidR="00826832" w:rsidRPr="000C2BAB">
        <w:t>th along the PEG axle, while Stoddart et al</w:t>
      </w:r>
      <w:r w:rsidR="00826832" w:rsidRPr="008A087E">
        <w:fldChar w:fldCharType="begin"/>
      </w:r>
      <w:r w:rsidR="00126622" w:rsidRPr="000C2BAB">
        <w:instrText xml:space="preserve"> ADDIN PAPERS2_CITATIONS &lt;citation&gt;&lt;uuid&gt;D3149CCB-6B05-4F1F-BD32-2B6D1F7D8B48&lt;/uuid&gt;&lt;priority&gt;0&lt;/priority&gt;&lt;publications&gt;&lt;publication&gt;&lt;uuid&gt;240CF4F6-B0F4-4062-9175-F7A3177F088B&lt;/uuid&gt;&lt;volume&gt;103&lt;/volume&gt;&lt;doi&gt;10.1073/pnas.0509645103&lt;/doi&gt;&lt;startpage&gt;8583&lt;/startpage&gt;&lt;publication_date&gt;99200606061200000000222000&lt;/publication_date&gt;&lt;url&gt;http://www.pnas.org/cgi/doi/10.1073/pnas.0509645103&lt;/url&gt;&lt;type&gt;400&lt;/type&gt;&lt;title&gt;Evaluation of synthetic linear motor-molecule actuation energetics.&lt;/title&gt;&lt;location&gt;200,9,34.0700450,-118.4437970&lt;/location&gt;&lt;institution&gt;Department of Mechanical and Aerospace Engineering, Institute for Cell Mimetic Space Exploration, and California Nanosystems Institute, University of California, Los Angeles, CA 90095, USA.&lt;/institution&gt;&lt;number&gt;23&lt;/number&gt;&lt;subtype&gt;400&lt;/subtype&gt;&lt;endpage&gt;8588&lt;/endpage&gt;&lt;bundle&gt;&lt;publication&gt;&lt;publisher&gt;National Acad Sciences&lt;/publisher&gt;&lt;title&gt;Proceedings of the National Academy of Sciences&lt;/title&gt;&lt;type&gt;-100&lt;/type&gt;&lt;subtype&gt;-100&lt;/subtype&gt;&lt;uuid&gt;29601930-E640-425A-AA83-6EE14CF024FA&lt;/uuid&gt;&lt;/publication&gt;&lt;/bundle&gt;&lt;authors&gt;&lt;author&gt;&lt;firstName&gt;Branden&lt;/firstName&gt;&lt;lastName&gt;Brough&lt;/lastName&gt;&lt;/author&gt;&lt;author&gt;&lt;firstName&gt;Brian&lt;/firstName&gt;&lt;middleNames&gt;H&lt;/middleNames&gt;&lt;lastName&gt;Northrop&lt;/lastName&gt;&lt;/author&gt;&lt;author&gt;&lt;firstName&gt;Jacob&lt;/firstName&gt;&lt;middleNames&gt;J&lt;/middleNames&gt;&lt;lastName&gt;Schmidt&lt;/lastName&gt;&lt;/author&gt;&lt;author&gt;&lt;firstName&gt;Hsian-Rong&lt;/firstName&gt;&lt;lastName&gt;Tseng&lt;/lastName&gt;&lt;/author&gt;&lt;author&gt;&lt;firstName&gt;Kendall&lt;/firstName&gt;&lt;middleNames&gt;N&lt;/middleNames&gt;&lt;lastName&gt;Houk&lt;/lastName&gt;&lt;/author&gt;&lt;author&gt;&lt;firstName&gt;J&lt;/firstName&gt;&lt;middleNames&gt;Fraser&lt;/middleNames&gt;&lt;lastName&gt;Stoddart&lt;/lastName&gt;&lt;/author&gt;&lt;author&gt;&lt;firstName&gt;Chih-Ming&lt;/firstName&gt;&lt;lastName&gt;Ho&lt;/lastName&gt;&lt;/author&gt;&lt;/authors&gt;&lt;/publication&gt;&lt;/publications&gt;&lt;cites&gt;&lt;/cites&gt;&lt;/citation&gt;</w:instrText>
      </w:r>
      <w:r w:rsidR="00826832" w:rsidRPr="008A087E">
        <w:fldChar w:fldCharType="separate"/>
      </w:r>
      <w:r w:rsidR="00126622" w:rsidRPr="000C2BAB">
        <w:rPr>
          <w:rFonts w:eastAsiaTheme="minorEastAsia"/>
          <w:vertAlign w:val="superscript"/>
        </w:rPr>
        <w:t>21</w:t>
      </w:r>
      <w:r w:rsidR="00826832" w:rsidRPr="008A087E">
        <w:fldChar w:fldCharType="end"/>
      </w:r>
      <w:r w:rsidR="00826832" w:rsidRPr="000C2BAB">
        <w:t xml:space="preserve"> and</w:t>
      </w:r>
      <w:r w:rsidR="008F311E" w:rsidRPr="000C2BAB">
        <w:t xml:space="preserve"> Leigh and Duwez</w:t>
      </w:r>
      <w:r w:rsidR="008F311E" w:rsidRPr="008A087E">
        <w:fldChar w:fldCharType="begin"/>
      </w:r>
      <w:r w:rsidR="00126622" w:rsidRPr="000C2BAB">
        <w:instrText xml:space="preserve"> ADDIN PAPERS2_CITATIONS &lt;citation&gt;&lt;uuid&gt;7BE60075-DF40-4C41-B8EE-51BEDC3763D0&lt;/uuid&gt;&lt;priority&gt;0&lt;/priority&gt;&lt;publications&gt;&lt;publication&gt;&lt;uuid&gt;503F935A-0C04-4EC7-9499-E643EA2CD5E7&lt;/uuid&gt;&lt;volume&gt;6&lt;/volume&gt;&lt;doi&gt;10.1038/nnano.2011.132&lt;/doi&gt;&lt;startpage&gt;553&lt;/startpage&gt;&lt;publication_date&gt;99201108211200000000222000&lt;/publication_date&gt;&lt;url&gt;http://dx.doi.org/10.1038/nnano.2011.132&lt;/url&gt;&lt;citekey&gt;Lussis:2011jy&lt;/citekey&gt;&lt;type&gt;400&lt;/type&gt;&lt;title&gt;A single synthetic small molecule that generates force against a load&lt;/title&gt;&lt;publisher&gt;Nature Publishing Group&lt;/publisher&gt;&lt;number&gt;9&lt;/number&gt;&lt;subtype&gt;400&lt;/subtype&gt;&lt;endpage&gt;557&lt;/endpage&gt;&lt;bundle&gt;&lt;publication&gt;&lt;publisher&gt;Nature Publishing Group&lt;/publisher&gt;&lt;title&gt;Nature Nanotechnology&lt;/title&gt;&lt;type&gt;-100&lt;/type&gt;&lt;subtype&gt;-102&lt;/subtype&gt;&lt;uuid&gt;E6B4345F-650D-41F6-BFEC-8BB646E926D9&lt;/uuid&gt;&lt;/publication&gt;&lt;/bundle&gt;&lt;authors&gt;&lt;author&gt;&lt;firstName&gt;Perrine&lt;/firstName&gt;&lt;lastName&gt;Lussis&lt;/lastName&gt;&lt;/author&gt;&lt;author&gt;&lt;firstName&gt;Tiziana&lt;/firstName&gt;&lt;lastName&gt;Svaldo-Lanero&lt;/lastName&gt;&lt;/author&gt;&lt;author&gt;&lt;firstName&gt;Andrea&lt;/firstName&gt;&lt;lastName&gt;Bertocco&lt;/lastName&gt;&lt;/author&gt;&lt;author&gt;&lt;firstName&gt;Charles-André&lt;/firstName&gt;&lt;lastName&gt;Fustin&lt;/lastName&gt;&lt;/author&gt;&lt;author&gt;&lt;firstName&gt;David&lt;/firstName&gt;&lt;middleNames&gt;A&lt;/middleNames&gt;&lt;lastName&gt;Leigh&lt;/lastName&gt;&lt;/author&gt;&lt;author&gt;&lt;firstName&gt;Anne-Sophie&lt;/firstName&gt;&lt;lastName&gt;Duwez&lt;/lastName&gt;&lt;/author&gt;&lt;/authors&gt;&lt;/publication&gt;&lt;/publications&gt;&lt;cites&gt;&lt;/cites&gt;&lt;/citation&gt;</w:instrText>
      </w:r>
      <w:r w:rsidR="008F311E" w:rsidRPr="008A087E">
        <w:fldChar w:fldCharType="separate"/>
      </w:r>
      <w:r w:rsidR="00126622" w:rsidRPr="000C2BAB">
        <w:rPr>
          <w:rFonts w:eastAsiaTheme="minorEastAsia"/>
          <w:vertAlign w:val="superscript"/>
        </w:rPr>
        <w:t>14</w:t>
      </w:r>
      <w:r w:rsidR="008F311E" w:rsidRPr="008A087E">
        <w:fldChar w:fldCharType="end"/>
      </w:r>
      <w:r w:rsidR="008F311E" w:rsidRPr="000C2BAB">
        <w:t xml:space="preserve"> have used AFM to measure the force required to drive a bead between two stations in a rotaxane. None of these works addressed the use of a sliding contact between a bead and a polymer as a sequencing tool. Previous analyses of the challenges to polymer sequencing by single molecule force spectroscopy (SMFS), with or without a sliding contact, have focused on DNA sequencing.</w:t>
      </w:r>
      <w:r w:rsidR="008F311E" w:rsidRPr="008A087E">
        <w:fldChar w:fldCharType="begin"/>
      </w:r>
      <w:r w:rsidR="00126622" w:rsidRPr="000C2BAB">
        <w:instrText xml:space="preserve"> ADDIN PAPERS2_CITATIONS &lt;citation&gt;&lt;uuid&gt;74C1BB07-66B3-4349-8FBB-267F449D118A&lt;/uuid&gt;&lt;priority&gt;0&lt;/priority&gt;&lt;publications&gt;&lt;publication&gt;&lt;uuid&gt;107F3F11-3B80-4EA8-BB14-6F5EDB5B5CF6&lt;/uuid&gt;&lt;volume&gt;6&lt;/volume&gt;&lt;doi&gt;10.1021/nl0608801&lt;/doi&gt;&lt;startpage&gt;1483&lt;/startpage&gt;&lt;publication_date&gt;99200607001200000000220000&lt;/publication_date&gt;&lt;url&gt;http://eutils.ncbi.nlm.nih.gov/entrez/eutils/elink.fcgi?dbfrom=pubmed&amp;amp;id=16834434&amp;amp;retmode=ref&amp;amp;cmd=prlinks&lt;/url&gt;&lt;citekey&gt;Voulgarakis:2006kr&lt;/citekey&gt;&lt;type&gt;400&lt;/type&gt;&lt;title&gt;Sequencing DNA by dynamic force spectroscopy: limitations and prospects.&lt;/title&gt;&lt;location&gt;200,5,35.8164675,-106.2220614&lt;/location&gt;&lt;institution&gt;Theoretical Division and Center for Nonlinear Studies, Los Alamos National Laboratory, New Mexico 87545, USA.&lt;/institution&gt;&lt;number&gt;7&lt;/number&gt;&lt;subtype&gt;400&lt;/subtype&gt;&lt;endpage&gt;1486&lt;/endpage&gt;&lt;bundle&gt;&lt;publication&gt;&lt;publisher&gt; American Chemical Society &lt;/publisher&gt;&lt;title&gt;Nano Letters&lt;/title&gt;&lt;type&gt;-100&lt;/type&gt;&lt;subtype&gt;-100&lt;/subtype&gt;&lt;uuid&gt;4D7232EE-A01B-43BD-8231-999B6F71DA48&lt;/uuid&gt;&lt;/publication&gt;&lt;/bundle&gt;&lt;authors&gt;&lt;author&gt;&lt;firstName&gt;N&lt;/firstName&gt;&lt;middleNames&gt;K&lt;/middleNames&gt;&lt;lastName&gt;Voulgarakis&lt;/lastName&gt;&lt;/author&gt;&lt;author&gt;&lt;firstName&gt;A&lt;/firstName&gt;&lt;lastName&gt;Redondo&lt;/lastName&gt;&lt;/author&gt;&lt;author&gt;&lt;firstName&gt;A&lt;/firstName&gt;&lt;middleNames&gt;R&lt;/middleNames&gt;&lt;lastName&gt;Bishop&lt;/lastName&gt;&lt;/author&gt;&lt;author&gt;&lt;firstName&gt;K&lt;/firstName&gt;&lt;middleNames&gt;O&lt;/middleNames&gt;&lt;lastName&gt;Rasmussen&lt;/lastName&gt;&lt;/author&gt;&lt;/authors&gt;&lt;/publication&gt;&lt;publication&gt;&lt;uuid&gt;7F6A913B-4222-46CD-8B49-B6CBE6B80E84&lt;/uuid&gt;&lt;volume&gt;94&lt;/volume&gt;&lt;doi&gt;10.1529/biophysj.107.108670&lt;/doi&gt;&lt;startpage&gt;1233&lt;/startpage&gt;&lt;publication_date&gt;99200802151200000000222000&lt;/publication_date&gt;&lt;url&gt;http://eutils.ncbi.nlm.nih.gov/entrez/eutils/elink.fcgi?dbfrom=pubmed&amp;amp;id=17965134&amp;amp;retmode=ref&amp;amp;cmd=prlinks&lt;/url&gt;&lt;type&gt;400&lt;/type&gt;&lt;title&gt;Can an atomic force microscope sequence DNA using a nanopore?&lt;/title&gt;&lt;location&gt;200,9,33.4192276,-111.9283891&lt;/location&gt;&lt;institution&gt;Center for Single Molecule Biophysics, The Biodesign Institute, Arizona State University, Tempe, Arizona 85287, USA. shahid.qamar@asu.edu&lt;/institution&gt;&lt;number&gt;4&lt;/number&gt;&lt;subtype&gt;400&lt;/subtype&gt;&lt;endpage&gt;1240&lt;/endpage&gt;&lt;bundle&gt;&lt;publication&gt;&lt;publisher&gt;Elsevier&lt;/publisher&gt;&lt;title&gt;Biophysical Journal&lt;/title&gt;&lt;type&gt;-100&lt;/type&gt;&lt;subtype&gt;-100&lt;/subtype&gt;&lt;uuid&gt;07D612CF-3795-4F1B-8209-A7314A62BAED&lt;/uuid&gt;&lt;/publication&gt;&lt;/bundle&gt;&lt;authors&gt;&lt;author&gt;&lt;firstName&gt;Shahid&lt;/firstName&gt;&lt;lastName&gt;Qamar&lt;/lastName&gt;&lt;/author&gt;&lt;author&gt;&lt;firstName&gt;Phil&lt;/firstName&gt;&lt;middleNames&gt;M&lt;/middleNames&gt;&lt;lastName&gt;Williams&lt;/lastName&gt;&lt;/author&gt;&lt;author&gt;&lt;firstName&gt;Stuart&lt;/firstName&gt;&lt;middleNames&gt;M&lt;/middleNames&gt;&lt;lastName&gt;Lindsay&lt;/lastName&gt;&lt;/author&gt;&lt;/authors&gt;&lt;/publication&gt;&lt;/publications&gt;&lt;cites&gt;&lt;/cites&gt;&lt;/citation&gt;</w:instrText>
      </w:r>
      <w:r w:rsidR="008F311E" w:rsidRPr="008A087E">
        <w:fldChar w:fldCharType="separate"/>
      </w:r>
      <w:r w:rsidR="00126622" w:rsidRPr="000C2BAB">
        <w:rPr>
          <w:rFonts w:eastAsiaTheme="minorEastAsia"/>
          <w:vertAlign w:val="superscript"/>
        </w:rPr>
        <w:t>22,23</w:t>
      </w:r>
      <w:r w:rsidR="008F311E" w:rsidRPr="008A087E">
        <w:fldChar w:fldCharType="end"/>
      </w:r>
      <w:r w:rsidR="008F311E" w:rsidRPr="000C2BAB">
        <w:t xml:space="preserve"> </w:t>
      </w:r>
    </w:p>
    <w:p w:rsidR="001C50A8" w:rsidRPr="00BC33F6" w:rsidRDefault="001C50A8" w:rsidP="002A436C">
      <w:pPr>
        <w:pStyle w:val="Head1"/>
        <w:jc w:val="both"/>
      </w:pPr>
    </w:p>
    <w:p w:rsidR="00826832" w:rsidRPr="00BA63F2" w:rsidRDefault="001C50A8" w:rsidP="002A436C">
      <w:pPr>
        <w:pStyle w:val="Head1"/>
        <w:jc w:val="both"/>
      </w:pPr>
      <w:r>
        <w:t>(a)</w:t>
      </w:r>
      <w:r>
        <w:tab/>
      </w:r>
      <w:r>
        <w:tab/>
      </w:r>
      <w:r>
        <w:tab/>
      </w:r>
      <w:r>
        <w:tab/>
        <w:t>(b)</w:t>
      </w:r>
      <w:r>
        <w:tab/>
      </w:r>
      <w:r>
        <w:tab/>
      </w:r>
      <w:r>
        <w:tab/>
        <w:t>(c)</w:t>
      </w:r>
      <w:r>
        <w:tab/>
      </w:r>
      <w:r>
        <w:tab/>
      </w:r>
      <w:r>
        <w:tab/>
        <w:t xml:space="preserve">   (d) </w:t>
      </w:r>
      <w:r w:rsidR="00826832" w:rsidRPr="00BA63F2">
        <w:rPr>
          <w:noProof/>
          <w:lang w:val="nb-NO" w:eastAsia="nb-NO"/>
        </w:rPr>
        <w:drawing>
          <wp:inline distT="0" distB="0" distL="0" distR="0" wp14:anchorId="20687BEA" wp14:editId="7D2FDECA">
            <wp:extent cx="5274310" cy="1721485"/>
            <wp:effectExtent l="0" t="0" r="889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png"/>
                    <pic:cNvPicPr/>
                  </pic:nvPicPr>
                  <pic:blipFill>
                    <a:blip r:embed="rId4">
                      <a:extLst>
                        <a:ext uri="{28A0092B-C50C-407E-A947-70E740481C1C}">
                          <a14:useLocalDpi xmlns:a14="http://schemas.microsoft.com/office/drawing/2010/main" val="0"/>
                        </a:ext>
                      </a:extLst>
                    </a:blip>
                    <a:stretch>
                      <a:fillRect/>
                    </a:stretch>
                  </pic:blipFill>
                  <pic:spPr>
                    <a:xfrm>
                      <a:off x="0" y="0"/>
                      <a:ext cx="5274310" cy="1721485"/>
                    </a:xfrm>
                    <a:prstGeom prst="rect">
                      <a:avLst/>
                    </a:prstGeom>
                  </pic:spPr>
                </pic:pic>
              </a:graphicData>
            </a:graphic>
          </wp:inline>
        </w:drawing>
      </w:r>
      <w:r w:rsidR="00826832" w:rsidRPr="00BA63F2">
        <w:t xml:space="preserve"> </w:t>
      </w:r>
    </w:p>
    <w:p w:rsidR="00826832" w:rsidRPr="000C2BAB" w:rsidRDefault="00B20C23" w:rsidP="002A436C">
      <w:pPr>
        <w:pStyle w:val="Head1"/>
        <w:jc w:val="both"/>
      </w:pPr>
      <w:r w:rsidRPr="005946AD">
        <w:t>Figure 1.</w:t>
      </w:r>
      <w:r w:rsidR="00826832" w:rsidRPr="00BA63F2">
        <w:t xml:space="preserve"> </w:t>
      </w:r>
      <w:r w:rsidR="001C50A8" w:rsidRPr="000C2BAB">
        <w:t xml:space="preserve">Schematic illustration </w:t>
      </w:r>
      <w:r w:rsidR="00826832" w:rsidRPr="000C2BAB">
        <w:t>highlighting the parallels between a conventional rotaxane system (</w:t>
      </w:r>
      <w:r w:rsidR="001C50A8" w:rsidRPr="000C2BAB">
        <w:t>a</w:t>
      </w:r>
      <w:r w:rsidR="00826832" w:rsidRPr="000C2BAB">
        <w:t>) and various iterations of the sliding contact pseudorotaxane</w:t>
      </w:r>
      <w:r w:rsidR="001C50A8" w:rsidRPr="000C2BAB">
        <w:t xml:space="preserve"> (b-d)</w:t>
      </w:r>
      <w:r w:rsidR="00826832" w:rsidRPr="000C2BAB">
        <w:t>. The common features (station, bead, axis) are labelled in each, along with examples of the monomer features that may constitute a ‘station’ in the sliding contact experiment</w:t>
      </w:r>
      <w:r w:rsidR="00FE66EB" w:rsidRPr="000C2BAB">
        <w:t>: a bound ligand</w:t>
      </w:r>
      <w:r w:rsidR="001C50A8" w:rsidRPr="000C2BAB">
        <w:t xml:space="preserve"> (b)</w:t>
      </w:r>
      <w:r w:rsidR="00FE66EB" w:rsidRPr="000C2BAB">
        <w:t xml:space="preserve">, </w:t>
      </w:r>
      <w:r w:rsidR="001C50A8" w:rsidRPr="000C2BAB">
        <w:t>a different monomer (c) or a sidechain (d)</w:t>
      </w:r>
      <w:r w:rsidR="00826832" w:rsidRPr="000C2BAB">
        <w:t>.</w:t>
      </w:r>
    </w:p>
    <w:p w:rsidR="00826832" w:rsidRPr="00BC33F6" w:rsidRDefault="00826832" w:rsidP="002A436C">
      <w:pPr>
        <w:pStyle w:val="Head1"/>
        <w:jc w:val="both"/>
      </w:pPr>
    </w:p>
    <w:p w:rsidR="003522F0" w:rsidRPr="00BC33F6" w:rsidRDefault="003522F0" w:rsidP="002A436C">
      <w:pPr>
        <w:pStyle w:val="Head1"/>
        <w:jc w:val="both"/>
      </w:pPr>
    </w:p>
    <w:p w:rsidR="00477639" w:rsidRPr="000C2BAB" w:rsidRDefault="000F2826" w:rsidP="002A436C">
      <w:pPr>
        <w:pStyle w:val="Head1"/>
        <w:jc w:val="both"/>
      </w:pPr>
      <w:r w:rsidRPr="000C2BAB">
        <w:t>We have</w:t>
      </w:r>
      <w:r w:rsidR="00477639" w:rsidRPr="000C2BAB">
        <w:t xml:space="preserve"> shown previously that </w:t>
      </w:r>
      <w:r w:rsidR="00CF77CC" w:rsidRPr="000C2BAB">
        <w:t xml:space="preserve">measurements made with </w:t>
      </w:r>
      <w:r w:rsidR="00477639" w:rsidRPr="000C2BAB">
        <w:t xml:space="preserve">the </w:t>
      </w:r>
      <w:r w:rsidR="00CF77CC" w:rsidRPr="000C2BAB">
        <w:t xml:space="preserve">SCFS </w:t>
      </w:r>
      <w:r w:rsidR="00477639" w:rsidRPr="000C2BAB">
        <w:t>approach described here yielded excellent agreement with the predicted positions of aromatic rings substituted into PEG polymers based upon the measured molecular weights of the polymers</w:t>
      </w:r>
      <w:r w:rsidR="00FC2532" w:rsidRPr="008A087E">
        <w:fldChar w:fldCharType="begin"/>
      </w:r>
      <w:r w:rsidR="00126622" w:rsidRPr="000C2BAB">
        <w:instrText xml:space="preserve"> ADDIN PAPERS2_CITATIONS &lt;citation&gt;&lt;uuid&gt;E230FC0F-AFF3-4D69-B741-2B14F0E5E3BF&lt;/uuid&gt;&lt;priority&gt;0&lt;/priority&gt;&lt;publications&gt;&lt;publication&gt;&lt;uuid&gt;8EA54223-6495-4D24-B9B3-95BCD04C5FB6&lt;/uuid&gt;&lt;volume&gt;19&lt;/volume&gt;&lt;doi&gt;10.1088/0957-4484/19/34/345706&lt;/doi&gt;&lt;startpage&gt;345706&lt;/startpage&gt;&lt;publication_date&gt;99200808271200000000222000&lt;/publication_date&gt;&lt;url&gt;http://eutils.ncbi.nlm.nih.gov/entrez/eutils/elink.fcgi?dbfrom=pubmed&amp;amp;id=21730660&amp;amp;retmode=ref&amp;amp;cmd=prlinks&lt;/url&gt;&lt;citekey&gt;Dunlop:2008jt&lt;/citekey&gt;&lt;type&gt;400&lt;/type&gt;&lt;title&gt;Mapping the positions of beads on a string: dethreading rotaxanes by molecular force spectroscopy.&lt;/title&gt;&lt;location&gt;200,9,51.4608430,-2.6058422&lt;/location&gt;&lt;institution&gt;H H Wills Physics Laboratory, University of Bristol, Tyndall Avenue, Bristol BS8 1TL, UK.&lt;/institution&gt;&lt;number&gt;34&lt;/number&gt;&lt;subtype&gt;400&lt;/subtype&gt;&lt;bundle&gt;&lt;publication&gt;&lt;publisher&gt;IOP Publishing&lt;/publisher&gt;&lt;title&gt;Nanotechnology&lt;/title&gt;&lt;type&gt;-100&lt;/type&gt;&lt;subtype&gt;-100&lt;/subtype&gt;&lt;uuid&gt;303B3A8C-C86D-472A-AC91-6E0394CFBCC4&lt;/uuid&gt;&lt;/publication&gt;&lt;/bundle&gt;&lt;authors&gt;&lt;author&gt;&lt;firstName&gt;Alex&lt;/firstName&gt;&lt;lastName&gt;Dunlop&lt;/lastName&gt;&lt;/author&gt;&lt;author&gt;&lt;firstName&gt;Jirut&lt;/firstName&gt;&lt;lastName&gt;Wattoom&lt;/lastName&gt;&lt;/author&gt;&lt;author&gt;&lt;firstName&gt;Erol&lt;/firstName&gt;&lt;middleNames&gt;A&lt;/middleNames&gt;&lt;lastName&gt;Hasan&lt;/lastName&gt;&lt;/author&gt;&lt;author&gt;&lt;firstName&gt;Terence&lt;/firstName&gt;&lt;lastName&gt;Cosgrove&lt;/lastName&gt;&lt;/author&gt;&lt;author&gt;&lt;firstName&gt;Andrew&lt;/firstName&gt;&lt;middleNames&gt;N&lt;/middleNames&gt;&lt;lastName&gt;Round&lt;/lastName&gt;&lt;/author&gt;&lt;/authors&gt;&lt;/publication&gt;&lt;/publications&gt;&lt;cites&gt;&lt;/cites&gt;&lt;/citation&gt;</w:instrText>
      </w:r>
      <w:r w:rsidR="00FC2532" w:rsidRPr="008A087E">
        <w:fldChar w:fldCharType="separate"/>
      </w:r>
      <w:r w:rsidR="00460042" w:rsidRPr="000C2BAB">
        <w:rPr>
          <w:rFonts w:eastAsiaTheme="minorEastAsia"/>
          <w:vertAlign w:val="superscript"/>
        </w:rPr>
        <w:t>8</w:t>
      </w:r>
      <w:r w:rsidR="00FC2532" w:rsidRPr="008A087E">
        <w:fldChar w:fldCharType="end"/>
      </w:r>
      <w:r w:rsidR="00913DF4" w:rsidRPr="000C2BAB">
        <w:t>, and that the CD bead could be used to unzip interactions between the polymer axle and molecules bound to specific sequences within that polymer</w:t>
      </w:r>
      <w:r w:rsidR="00477639" w:rsidRPr="000C2BAB">
        <w:t>.</w:t>
      </w:r>
      <w:r w:rsidR="00C52E9C" w:rsidRPr="008A087E">
        <w:fldChar w:fldCharType="begin"/>
      </w:r>
      <w:r w:rsidR="00126622" w:rsidRPr="000C2BAB">
        <w:instrText xml:space="preserve"> ADDIN PAPERS2_CITATIONS &lt;citation&gt;&lt;uuid&gt;1578BEA6-E805-4C81-B0CD-37965CF4FDFA&lt;/uuid&gt;&lt;priority&gt;0&lt;/priority&gt;&lt;publications&gt;&lt;publication&gt;&lt;publication_date&gt;99201611041200000000222000&lt;/publication_date&gt;&lt;startpage&gt;acs.langmuir.6b03414&lt;/startpage&gt;&lt;doi&gt;10.1021/acs.langmuir.6b03414&lt;/doi&gt;&lt;title&gt;A ‘sliding contact’ dynamic force spectroscopy method for interrogating slowly forming polymer crosslinks.&lt;/title&gt;&lt;uuid&gt;AF568C4F-A446-4C77-AD90-72264D4F14DC&lt;/uuid&gt;&lt;subtype&gt;400&lt;/subtype&gt;&lt;publisher&gt; American Chemical Society&lt;/publisher&gt;&lt;type&gt;400&lt;/type&gt;&lt;url&gt;http://pubs.acs.org/doi/abs/10.1021/acs.langmuir.6b03414&lt;/url&gt;&lt;bundle&gt;&lt;publication&gt;&lt;publisher&gt; American Chemical Society &lt;/publisher&gt;&lt;title&gt;Langmuir : the ACS journal of surfaces and colloids&lt;/title&gt;&lt;type&gt;-100&lt;/type&gt;&lt;subtype&gt;-100&lt;/subtype&gt;&lt;uuid&gt;A26006E3-3C54-4F9C-B947-AC668218184C&lt;/uuid&gt;&lt;/publication&gt;&lt;/bundle&gt;&lt;authors&gt;&lt;author&gt;&lt;firstName&gt;Kate&lt;/firstName&gt;&lt;middleNames&gt;Alexandra&lt;/middleNames&gt;&lt;lastName&gt;Bowman&lt;/lastName&gt;&lt;/author&gt;&lt;author&gt;&lt;firstName&gt;Olav&lt;/firstName&gt;&lt;middleNames&gt;Andreas&lt;/middleNames&gt;&lt;lastName&gt;Aarstad&lt;/lastName&gt;&lt;/author&gt;&lt;author&gt;&lt;firstName&gt;Bjørn&lt;/firstName&gt;&lt;middleNames&gt;Torger&lt;/middleNames&gt;&lt;lastName&gt;Stokke&lt;/lastName&gt;&lt;/author&gt;&lt;author&gt;&lt;firstName&gt;Gudmund&lt;/firstName&gt;&lt;lastName&gt;Skjåk-Braek&lt;/lastName&gt;&lt;/author&gt;&lt;author&gt;&lt;firstName&gt;Andrew&lt;/firstName&gt;&lt;middleNames&gt;N&lt;/middleNames&gt;&lt;lastName&gt;Round&lt;/lastName&gt;&lt;/author&gt;&lt;/authors&gt;&lt;/publication&gt;&lt;/publications&gt;&lt;cites&gt;&lt;/cites&gt;&lt;/citation&gt;</w:instrText>
      </w:r>
      <w:r w:rsidR="00C52E9C" w:rsidRPr="008A087E">
        <w:fldChar w:fldCharType="separate"/>
      </w:r>
      <w:r w:rsidR="00460042" w:rsidRPr="000C2BAB">
        <w:rPr>
          <w:rFonts w:eastAsiaTheme="minorEastAsia"/>
          <w:vertAlign w:val="superscript"/>
        </w:rPr>
        <w:t>9</w:t>
      </w:r>
      <w:r w:rsidR="00C52E9C" w:rsidRPr="008A087E">
        <w:fldChar w:fldCharType="end"/>
      </w:r>
      <w:r w:rsidR="00477639" w:rsidRPr="000C2BAB">
        <w:t xml:space="preserve"> Thus the available evidence suggests that </w:t>
      </w:r>
      <w:r w:rsidR="0062716A" w:rsidRPr="000C2BAB">
        <w:t>SCFS</w:t>
      </w:r>
      <w:r w:rsidR="00477639" w:rsidRPr="000C2BAB">
        <w:t xml:space="preserve"> may offer a method for mapping or sequencing long, linear polymers where there are large differences between monomers or blocks</w:t>
      </w:r>
      <w:r w:rsidR="00913DF4" w:rsidRPr="000C2BAB">
        <w:t>, or where specific sequences are recognised by other molecules</w:t>
      </w:r>
      <w:r w:rsidR="00477639" w:rsidRPr="000C2BAB">
        <w:t xml:space="preserve">. </w:t>
      </w:r>
      <w:r w:rsidR="00CF77CC" w:rsidRPr="000C2BAB">
        <w:t>However,</w:t>
      </w:r>
      <w:r w:rsidR="00477639" w:rsidRPr="000C2BAB">
        <w:t xml:space="preserve"> the limits on the size and nature of the different monomer stations and macrocyclic beads for which differences in force may be distinguished remain undefined. </w:t>
      </w:r>
    </w:p>
    <w:p w:rsidR="003522F0" w:rsidRDefault="003522F0" w:rsidP="002A436C">
      <w:pPr>
        <w:spacing w:line="480" w:lineRule="auto"/>
        <w:jc w:val="both"/>
        <w:rPr>
          <w:lang w:val="en-GB"/>
        </w:rPr>
      </w:pPr>
    </w:p>
    <w:p w:rsidR="00477639" w:rsidRPr="00A77CBA" w:rsidRDefault="00477639" w:rsidP="002A436C">
      <w:pPr>
        <w:spacing w:line="480" w:lineRule="auto"/>
        <w:jc w:val="both"/>
        <w:rPr>
          <w:lang w:val="en-GB"/>
        </w:rPr>
      </w:pPr>
      <w:r w:rsidRPr="00A77CBA">
        <w:rPr>
          <w:lang w:val="en-GB"/>
        </w:rPr>
        <w:t xml:space="preserve">In the present work we compare the forces measured during the forced </w:t>
      </w:r>
      <w:r w:rsidR="007816BE" w:rsidRPr="00A77CBA">
        <w:rPr>
          <w:lang w:val="en-GB"/>
        </w:rPr>
        <w:t>s</w:t>
      </w:r>
      <w:r w:rsidR="007816BE">
        <w:rPr>
          <w:lang w:val="en-GB"/>
        </w:rPr>
        <w:t>lid</w:t>
      </w:r>
      <w:r w:rsidR="007816BE" w:rsidRPr="00A77CBA">
        <w:rPr>
          <w:lang w:val="en-GB"/>
        </w:rPr>
        <w:t xml:space="preserve">ing </w:t>
      </w:r>
      <w:r w:rsidRPr="00A77CBA">
        <w:rPr>
          <w:lang w:val="en-GB"/>
        </w:rPr>
        <w:t>of α- and β-CD beads along PEG-based polymers possessing one or more of 4 different stations represe</w:t>
      </w:r>
      <w:r w:rsidR="00E606CB">
        <w:rPr>
          <w:lang w:val="en-GB"/>
        </w:rPr>
        <w:t>ntative of 2 classes of monomer:</w:t>
      </w:r>
      <w:r w:rsidRPr="00A77CBA">
        <w:rPr>
          <w:lang w:val="en-GB"/>
        </w:rPr>
        <w:t xml:space="preserve"> aromatic rings and </w:t>
      </w:r>
      <w:r w:rsidR="00CF77CC">
        <w:rPr>
          <w:lang w:val="en-GB"/>
        </w:rPr>
        <w:t>glycan</w:t>
      </w:r>
      <w:r w:rsidRPr="00A77CBA">
        <w:rPr>
          <w:lang w:val="en-GB"/>
        </w:rPr>
        <w:t xml:space="preserve">s. As well as representing common polymers, these groups encompass a wide range of molecular cross-sectional areas, aqueous solubilities and affinities for complexation with α- and β-CDs. We apply </w:t>
      </w:r>
      <w:r w:rsidR="00C86E65" w:rsidRPr="00A77CBA">
        <w:rPr>
          <w:lang w:val="en-GB"/>
        </w:rPr>
        <w:t>the Friddle-Noy-de Yoreo (F-N-Y)</w:t>
      </w:r>
      <w:r w:rsidR="00C52E9C">
        <w:rPr>
          <w:lang w:val="en-GB"/>
        </w:rPr>
        <w:fldChar w:fldCharType="begin"/>
      </w:r>
      <w:r w:rsidR="00126622">
        <w:rPr>
          <w:lang w:val="en-GB"/>
        </w:rPr>
        <w:instrText xml:space="preserve"> ADDIN PAPERS2_CITATIONS &lt;citation&gt;&lt;uuid&gt;C89B9896-9A6C-4CCC-847F-9AD38A6D4BDB&lt;/uuid&gt;&lt;priority&gt;0&lt;/priority&gt;&lt;publications&gt;&lt;publication&gt;&lt;uuid&gt;C5EE47E4-692F-446C-9FA7-8AEF80E4CEDD&lt;/uuid&gt;&lt;volume&gt;109&lt;/volume&gt;&lt;doi&gt;10.1073/pnas.1202946109&lt;/doi&gt;&lt;startpage&gt;13573&lt;/startpage&gt;&lt;publication_date&gt;99201208211200000000222000&lt;/publication_date&gt;&lt;url&gt;http://www.pnas.org/content/109/34/13573.long&lt;/url&gt;&lt;citekey&gt;Friddle:2012dj&lt;/citekey&gt;&lt;type&gt;400&lt;/type&gt;&lt;title&gt;Interpreting the widespread nonlinear force spectra of intermolecular bonds.&lt;/title&gt;&lt;location&gt;602,0,0,0&lt;/location&gt;&lt;institution&gt;Molecular Foundry, Lawrence Berkeley National Laboratory, Berkeley, CA 94720.&lt;/institution&gt;&lt;number&gt;34&lt;/number&gt;&lt;subtype&gt;400&lt;/subtype&gt;&lt;endpage&gt;13578&lt;/endpage&gt;&lt;bundle&gt;&lt;publication&gt;&lt;publisher&gt;National Acad Sciences&lt;/publisher&gt;&lt;title&gt;Proceedings of the National Academy of Sciences&lt;/title&gt;&lt;type&gt;-100&lt;/type&gt;&lt;subtype&gt;-100&lt;/subtype&gt;&lt;uuid&gt;29601930-E640-425A-AA83-6EE14CF024FA&lt;/uuid&gt;&lt;/publication&gt;&lt;/bundle&gt;&lt;authors&gt;&lt;author&gt;&lt;firstName&gt;Raymond&lt;/firstName&gt;&lt;middleNames&gt;W&lt;/middleNames&gt;&lt;lastName&gt;Friddle&lt;/lastName&gt;&lt;/author&gt;&lt;author&gt;&lt;firstName&gt;Aleksandr&lt;/firstName&gt;&lt;lastName&gt;Noy&lt;/lastName&gt;&lt;/author&gt;&lt;author&gt;&lt;lastName&gt;Yoreo&lt;/lastName&gt;&lt;nonDroppingParticle&gt;De&lt;/nonDroppingParticle&gt;&lt;firstName&gt;James&lt;/firstName&gt;&lt;middleNames&gt;J&lt;/middleNames&gt;&lt;/author&gt;&lt;/authors&gt;&lt;/publication&gt;&lt;publication&gt;&lt;uuid&gt;F2A2A068-7426-43D6-8E51-C901284E86A2&lt;/uuid&gt;&lt;volume&gt;60&lt;/volume&gt;&lt;accepted_date&gt;99201303131200000000222000&lt;/accepted_date&gt;&lt;doi&gt;10.1016/j.ymeth.2013.03.014&lt;/doi&gt;&lt;startpage&gt;142&lt;/startpage&gt;&lt;revision_date&gt;99201303051200000000222000&lt;/revision_date&gt;&lt;publication_date&gt;99201304011200000000222000&lt;/publication_date&gt;&lt;url&gt;http://linkinghub.elsevier.com/retrieve/pii/S1046202313000832&lt;/url&gt;&lt;citekey&gt;Noy:2013ht&lt;/citekey&gt;&lt;type&gt;400&lt;/type&gt;&lt;title&gt;Practical single molecule force spectroscopy: how to determine fundamental thermodynamic parameters of intermolecular bonds with an atomic force microscope.&lt;/title&gt;&lt;submission_date&gt;99201301181200000000222000&lt;/submission_date&gt;&lt;number&gt;2&lt;/number&gt;&lt;institution&gt;Physics and Life Sciences Directorate, Lawrence Livermore National Laboratory, Livermore, CA 94550, USA. noy1@llnl.gov&lt;/institution&gt;&lt;subtype&gt;400&lt;/subtype&gt;&lt;endpage&gt;150&lt;/endpage&gt;&lt;bundle&gt;&lt;publication&gt;&lt;publisher&gt;Elsevier Inc.&lt;/publisher&gt;&lt;title&gt;Methods (San Diego, Calif)&lt;/title&gt;&lt;type&gt;-100&lt;/type&gt;&lt;subtype&gt;-100&lt;/subtype&gt;&lt;uuid&gt;02EFA923-A949-47F7-9C42-AF67DE90C976&lt;/uuid&gt;&lt;/publication&gt;&lt;/bundle&gt;&lt;authors&gt;&lt;author&gt;&lt;firstName&gt;Aleksandr&lt;/firstName&gt;&lt;lastName&gt;Noy&lt;/lastName&gt;&lt;/author&gt;&lt;author&gt;&lt;firstName&gt;Raymond&lt;/firstName&gt;&lt;middleNames&gt;W&lt;/middleNames&gt;&lt;lastName&gt;Friddle&lt;/lastName&gt;&lt;/author&gt;&lt;/authors&gt;&lt;/publication&gt;&lt;/publications&gt;&lt;cites&gt;&lt;/cites&gt;&lt;/citation&gt;</w:instrText>
      </w:r>
      <w:r w:rsidR="00C52E9C">
        <w:rPr>
          <w:lang w:val="en-GB"/>
        </w:rPr>
        <w:fldChar w:fldCharType="separate"/>
      </w:r>
      <w:r w:rsidR="00126622">
        <w:rPr>
          <w:rFonts w:eastAsiaTheme="minorEastAsia"/>
          <w:vertAlign w:val="superscript"/>
          <w:lang w:val="en-GB"/>
        </w:rPr>
        <w:t>24,25</w:t>
      </w:r>
      <w:r w:rsidR="00C52E9C">
        <w:rPr>
          <w:lang w:val="en-GB"/>
        </w:rPr>
        <w:fldChar w:fldCharType="end"/>
      </w:r>
      <w:r w:rsidRPr="00A77CBA">
        <w:rPr>
          <w:lang w:val="en-GB"/>
        </w:rPr>
        <w:t xml:space="preserve"> method for analysing single molecule force spectra in order to extract the energies involved in the bead-station interactions</w:t>
      </w:r>
      <w:r w:rsidR="00463117" w:rsidRPr="00A77CBA">
        <w:rPr>
          <w:lang w:val="en-GB"/>
        </w:rPr>
        <w:t xml:space="preserve"> and consider the parameters that have predictive power in determining the resolution of the SCFS sequencing approach</w:t>
      </w:r>
      <w:r w:rsidRPr="00A77CBA">
        <w:rPr>
          <w:lang w:val="en-GB"/>
        </w:rPr>
        <w:t>.</w:t>
      </w:r>
      <w:r w:rsidR="00463117" w:rsidRPr="00A77CBA">
        <w:rPr>
          <w:lang w:val="en-GB"/>
        </w:rPr>
        <w:t xml:space="preserve"> </w:t>
      </w:r>
      <w:r w:rsidRPr="00A77CBA">
        <w:rPr>
          <w:lang w:val="en-GB"/>
        </w:rPr>
        <w:t xml:space="preserve"> </w:t>
      </w:r>
      <w:r w:rsidR="00C86E65" w:rsidRPr="00A77CBA">
        <w:rPr>
          <w:lang w:val="en-GB"/>
        </w:rPr>
        <w:t>Finally</w:t>
      </w:r>
      <w:r w:rsidR="00776439">
        <w:rPr>
          <w:lang w:val="en-GB"/>
        </w:rPr>
        <w:t>,</w:t>
      </w:r>
      <w:r w:rsidR="00C86E65" w:rsidRPr="00A77CBA">
        <w:rPr>
          <w:lang w:val="en-GB"/>
        </w:rPr>
        <w:t xml:space="preserve"> we consider the potential and the limits of the method for sequencing common polymers.</w:t>
      </w:r>
    </w:p>
    <w:p w:rsidR="00BC33F6" w:rsidRPr="00A77CBA" w:rsidRDefault="00BC33F6" w:rsidP="002A436C">
      <w:pPr>
        <w:spacing w:line="480" w:lineRule="auto"/>
        <w:jc w:val="both"/>
        <w:rPr>
          <w:lang w:val="en-GB"/>
        </w:rPr>
      </w:pPr>
    </w:p>
    <w:p w:rsidR="0062716A" w:rsidRPr="00BC33F6" w:rsidRDefault="0062716A" w:rsidP="002A436C">
      <w:pPr>
        <w:pStyle w:val="Head1"/>
        <w:jc w:val="both"/>
      </w:pPr>
      <w:r w:rsidRPr="00BC33F6">
        <w:t>Results and discussion</w:t>
      </w:r>
    </w:p>
    <w:p w:rsidR="00CA2ABD" w:rsidRPr="00A77CBA" w:rsidRDefault="00CA2ABD" w:rsidP="002A436C">
      <w:pPr>
        <w:pStyle w:val="Head1"/>
        <w:jc w:val="both"/>
      </w:pPr>
    </w:p>
    <w:p w:rsidR="00CA2ABD" w:rsidRPr="00A77CBA" w:rsidRDefault="00CA2ABD" w:rsidP="002A436C">
      <w:pPr>
        <w:pStyle w:val="Legend"/>
        <w:jc w:val="both"/>
        <w:rPr>
          <w:b/>
          <w:lang w:val="en-GB"/>
        </w:rPr>
      </w:pPr>
      <w:r w:rsidRPr="00A77CBA">
        <w:rPr>
          <w:noProof/>
          <w:lang w:val="nb-NO" w:eastAsia="nb-NO"/>
        </w:rPr>
        <w:drawing>
          <wp:inline distT="0" distB="0" distL="0" distR="0" wp14:anchorId="3125EA4C" wp14:editId="1D4BC9F6">
            <wp:extent cx="5085951" cy="16321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1_1-5.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67725" cy="1658354"/>
                    </a:xfrm>
                    <a:prstGeom prst="rect">
                      <a:avLst/>
                    </a:prstGeom>
                  </pic:spPr>
                </pic:pic>
              </a:graphicData>
            </a:graphic>
          </wp:inline>
        </w:drawing>
      </w:r>
      <w:r w:rsidRPr="00A77CBA">
        <w:rPr>
          <w:b/>
          <w:lang w:val="en-GB"/>
        </w:rPr>
        <w:t xml:space="preserve">      </w:t>
      </w:r>
    </w:p>
    <w:p w:rsidR="00CA2ABD" w:rsidRPr="00A77CBA" w:rsidRDefault="00CA2ABD" w:rsidP="002A436C">
      <w:pPr>
        <w:pStyle w:val="Legend"/>
        <w:jc w:val="both"/>
        <w:rPr>
          <w:b/>
          <w:lang w:val="en-GB"/>
        </w:rPr>
      </w:pPr>
      <w:r w:rsidRPr="00A77CBA">
        <w:rPr>
          <w:b/>
          <w:lang w:val="en-GB"/>
        </w:rPr>
        <w:t xml:space="preserve"> </w:t>
      </w:r>
      <w:r>
        <w:rPr>
          <w:b/>
          <w:lang w:val="en-GB"/>
        </w:rPr>
        <w:tab/>
      </w:r>
      <w:r w:rsidRPr="00A77CBA">
        <w:rPr>
          <w:b/>
          <w:lang w:val="en-GB"/>
        </w:rPr>
        <w:t>1.</w:t>
      </w:r>
      <w:r w:rsidRPr="00A77CBA">
        <w:rPr>
          <w:b/>
          <w:lang w:val="en-GB"/>
        </w:rPr>
        <w:tab/>
        <w:t xml:space="preserve">          </w:t>
      </w:r>
      <w:r>
        <w:rPr>
          <w:b/>
          <w:lang w:val="en-GB"/>
        </w:rPr>
        <w:tab/>
      </w:r>
      <w:r w:rsidRPr="00A77CBA">
        <w:rPr>
          <w:b/>
          <w:lang w:val="en-GB"/>
        </w:rPr>
        <w:t>2.</w:t>
      </w:r>
      <w:r w:rsidRPr="00A77CBA">
        <w:rPr>
          <w:b/>
          <w:lang w:val="en-GB"/>
        </w:rPr>
        <w:tab/>
      </w:r>
      <w:r>
        <w:rPr>
          <w:b/>
          <w:lang w:val="en-GB"/>
        </w:rPr>
        <w:tab/>
      </w:r>
      <w:r w:rsidRPr="00A77CBA">
        <w:rPr>
          <w:b/>
          <w:lang w:val="en-GB"/>
        </w:rPr>
        <w:t>3.</w:t>
      </w:r>
      <w:r w:rsidRPr="00A77CBA">
        <w:rPr>
          <w:b/>
          <w:lang w:val="en-GB"/>
        </w:rPr>
        <w:tab/>
        <w:t xml:space="preserve"> </w:t>
      </w:r>
      <w:r>
        <w:rPr>
          <w:b/>
          <w:lang w:val="en-GB"/>
        </w:rPr>
        <w:tab/>
      </w:r>
      <w:r w:rsidRPr="00A77CBA">
        <w:rPr>
          <w:b/>
          <w:lang w:val="en-GB"/>
        </w:rPr>
        <w:t>4.</w:t>
      </w:r>
      <w:r w:rsidRPr="00A77CBA">
        <w:rPr>
          <w:b/>
          <w:lang w:val="en-GB"/>
        </w:rPr>
        <w:tab/>
        <w:t xml:space="preserve">        </w:t>
      </w:r>
      <w:r>
        <w:rPr>
          <w:b/>
          <w:lang w:val="en-GB"/>
        </w:rPr>
        <w:tab/>
      </w:r>
      <w:r w:rsidRPr="00A77CBA">
        <w:rPr>
          <w:b/>
          <w:lang w:val="en-GB"/>
        </w:rPr>
        <w:t>5.</w:t>
      </w:r>
    </w:p>
    <w:p w:rsidR="00CA2ABD" w:rsidRPr="00A77CBA" w:rsidRDefault="00CA2ABD" w:rsidP="002A436C">
      <w:pPr>
        <w:pStyle w:val="Legend"/>
        <w:jc w:val="both"/>
        <w:rPr>
          <w:lang w:val="en-GB"/>
        </w:rPr>
      </w:pPr>
    </w:p>
    <w:p w:rsidR="00CA2ABD" w:rsidRPr="002A436C" w:rsidRDefault="00CA2ABD" w:rsidP="002A436C">
      <w:pPr>
        <w:pStyle w:val="Legend"/>
        <w:spacing w:line="480" w:lineRule="auto"/>
        <w:jc w:val="both"/>
        <w:rPr>
          <w:lang w:val="en-GB"/>
        </w:rPr>
      </w:pPr>
      <w:r w:rsidRPr="002A436C">
        <w:rPr>
          <w:b/>
          <w:lang w:val="en-GB"/>
        </w:rPr>
        <w:t xml:space="preserve">Figure 2.  </w:t>
      </w:r>
      <w:r w:rsidRPr="002A436C">
        <w:rPr>
          <w:lang w:val="en-GB"/>
        </w:rPr>
        <w:t>The monomers used as stations in this study: pyromellitic acid (1), aminoaniline (2), (poly)ethylene glycol (3), guluronic acid (4) and mannuronic acid (5).</w:t>
      </w:r>
    </w:p>
    <w:p w:rsidR="0062716A" w:rsidRPr="00A77CBA" w:rsidRDefault="0062716A" w:rsidP="002A436C">
      <w:pPr>
        <w:pStyle w:val="Head1"/>
        <w:jc w:val="both"/>
      </w:pPr>
    </w:p>
    <w:p w:rsidR="0062716A" w:rsidRPr="005B4E41" w:rsidRDefault="0062716A" w:rsidP="002A436C">
      <w:pPr>
        <w:pStyle w:val="Head1"/>
        <w:jc w:val="both"/>
      </w:pPr>
      <w:r w:rsidRPr="00BC33F6">
        <w:t>Analysing sliding contact force</w:t>
      </w:r>
      <w:r w:rsidRPr="00C8526B">
        <w:t xml:space="preserve"> </w:t>
      </w:r>
      <w:r w:rsidRPr="00BC33F6">
        <w:t>spectra</w:t>
      </w:r>
    </w:p>
    <w:p w:rsidR="0062716A" w:rsidRPr="00BC33F6" w:rsidRDefault="003619D9" w:rsidP="002A436C">
      <w:pPr>
        <w:pStyle w:val="Head1"/>
        <w:jc w:val="both"/>
      </w:pPr>
      <w:r w:rsidRPr="00BC33F6">
        <w:t>In addition to</w:t>
      </w:r>
      <w:r w:rsidR="00CD06C8" w:rsidRPr="00BC33F6">
        <w:t xml:space="preserve"> previously published</w:t>
      </w:r>
      <w:r w:rsidR="00C52E9C" w:rsidRPr="008A087E">
        <w:fldChar w:fldCharType="begin"/>
      </w:r>
      <w:r w:rsidR="00126622" w:rsidRPr="00BC33F6">
        <w:instrText xml:space="preserve"> ADDIN PAPERS2_CITATIONS &lt;citation&gt;&lt;uuid&gt;3749222A-01B9-4785-B631-045168936234&lt;/uuid&gt;&lt;priority&gt;0&lt;/priority&gt;&lt;publications&gt;&lt;publication&gt;&lt;uuid&gt;8EA54223-6495-4D24-B9B3-95BCD04C5FB6&lt;/uuid&gt;&lt;volume&gt;19&lt;/volume&gt;&lt;doi&gt;10.1088/0957-4484/19/34/345706&lt;/doi&gt;&lt;startpage&gt;345706&lt;/startpage&gt;&lt;publication_date&gt;99200808271200000000222000&lt;/publication_date&gt;&lt;url&gt;http://eutils.ncbi.nlm.nih.gov/entrez/eutils/elink.fcgi?dbfrom=pubmed&amp;amp;id=21730660&amp;amp;retmode=ref&amp;amp;cmd=prlinks&lt;/url&gt;&lt;citekey&gt;Dunlop:2008jt&lt;/citekey&gt;&lt;type&gt;400&lt;/type&gt;&lt;title&gt;Mapping the positions of beads on a string: dethreading rotaxanes by molecular force spectroscopy.&lt;/title&gt;&lt;location&gt;200,9,51.4608430,-2.6058422&lt;/location&gt;&lt;institution&gt;H H Wills Physics Laboratory, University of Bristol, Tyndall Avenue, Bristol BS8 1TL, UK.&lt;/institution&gt;&lt;number&gt;34&lt;/number&gt;&lt;subtype&gt;400&lt;/subtype&gt;&lt;bundle&gt;&lt;publication&gt;&lt;publisher&gt;IOP Publishing&lt;/publisher&gt;&lt;title&gt;Nanotechnology&lt;/title&gt;&lt;type&gt;-100&lt;/type&gt;&lt;subtype&gt;-100&lt;/subtype&gt;&lt;uuid&gt;303B3A8C-C86D-472A-AC91-6E0394CFBCC4&lt;/uuid&gt;&lt;/publication&gt;&lt;/bundle&gt;&lt;authors&gt;&lt;author&gt;&lt;firstName&gt;Alex&lt;/firstName&gt;&lt;lastName&gt;Dunlop&lt;/lastName&gt;&lt;/author&gt;&lt;author&gt;&lt;firstName&gt;Jirut&lt;/firstName&gt;&lt;lastName&gt;Wattoom&lt;/lastName&gt;&lt;/author&gt;&lt;author&gt;&lt;firstName&gt;Erol&lt;/firstName&gt;&lt;middleNames&gt;A&lt;/middleNames&gt;&lt;lastName&gt;Hasan&lt;/lastName&gt;&lt;/author&gt;&lt;author&gt;&lt;firstName&gt;Terence&lt;/firstName&gt;&lt;lastName&gt;Cosgrove&lt;/lastName&gt;&lt;/author&gt;&lt;author&gt;&lt;firstName&gt;Andrew&lt;/firstName&gt;&lt;middleNames&gt;N&lt;/middleNames&gt;&lt;lastName&gt;Round&lt;/lastName&gt;&lt;/author&gt;&lt;/authors&gt;&lt;/publication&gt;&lt;publication&gt;&lt;publication_date&gt;99201611041200000000222000&lt;/publication_date&gt;&lt;startpage&gt;acs.langmuir.6b03414&lt;/startpage&gt;&lt;doi&gt;10.1021/acs.langmuir.6b03414&lt;/doi&gt;&lt;title&gt;A ‘sliding contact’ dynamic force spectroscopy method for interrogating slowly forming polymer crosslinks.&lt;/title&gt;&lt;uuid&gt;AF568C4F-A446-4C77-AD90-72264D4F14DC&lt;/uuid&gt;&lt;subtype&gt;400&lt;/subtype&gt;&lt;publisher&gt; American Chemical Society&lt;/publisher&gt;&lt;type&gt;400&lt;/type&gt;&lt;url&gt;http://pubs.acs.org/doi/abs/10.1021/acs.langmuir.6b03414&lt;/url&gt;&lt;bundle&gt;&lt;publication&gt;&lt;publisher&gt; American Chemical Society &lt;/publisher&gt;&lt;title&gt;Langmuir : the ACS journal of surfaces and colloids&lt;/title&gt;&lt;type&gt;-100&lt;/type&gt;&lt;subtype&gt;-100&lt;/subtype&gt;&lt;uuid&gt;A26006E3-3C54-4F9C-B947-AC668218184C&lt;/uuid&gt;&lt;/publication&gt;&lt;/bundle&gt;&lt;authors&gt;&lt;author&gt;&lt;firstName&gt;Kate&lt;/firstName&gt;&lt;middleNames&gt;Alexandra&lt;/middleNames&gt;&lt;lastName&gt;Bowman&lt;/lastName&gt;&lt;/author&gt;&lt;author&gt;&lt;firstName&gt;Olav&lt;/firstName&gt;&lt;middleNames&gt;Andreas&lt;/middleNames&gt;&lt;lastName&gt;Aarstad&lt;/lastName&gt;&lt;/author&gt;&lt;author&gt;&lt;firstName&gt;Bjørn&lt;/firstName&gt;&lt;middleNames&gt;Torger&lt;/middleNames&gt;&lt;lastName&gt;Stokke&lt;/lastName&gt;&lt;/author&gt;&lt;author&gt;&lt;firstName&gt;Gudmund&lt;/firstName&gt;&lt;lastName&gt;Skjåk-Braek&lt;/lastName&gt;&lt;/author&gt;&lt;author&gt;&lt;firstName&gt;Andrew&lt;/firstName&gt;&lt;middleNames&gt;N&lt;/middleNames&gt;&lt;lastName&gt;Round&lt;/lastName&gt;&lt;/author&gt;&lt;/authors&gt;&lt;/publication&gt;&lt;/publications&gt;&lt;cites&gt;&lt;/cites&gt;&lt;/citation&gt;</w:instrText>
      </w:r>
      <w:r w:rsidR="00C52E9C" w:rsidRPr="008A087E">
        <w:fldChar w:fldCharType="separate"/>
      </w:r>
      <w:r w:rsidR="00460042" w:rsidRPr="00BC33F6">
        <w:rPr>
          <w:rFonts w:eastAsiaTheme="minorEastAsia"/>
          <w:vertAlign w:val="superscript"/>
        </w:rPr>
        <w:t>8,9</w:t>
      </w:r>
      <w:r w:rsidR="00C52E9C" w:rsidRPr="008A087E">
        <w:fldChar w:fldCharType="end"/>
      </w:r>
      <w:r w:rsidR="00CD06C8" w:rsidRPr="00BC33F6">
        <w:t xml:space="preserve"> datasets </w:t>
      </w:r>
      <w:r w:rsidRPr="00BC33F6">
        <w:t>using α-CD</w:t>
      </w:r>
      <w:r w:rsidR="00B56848" w:rsidRPr="00BC33F6">
        <w:t xml:space="preserve"> and stations 1, 2, 4 and 5 on PEG axles (pyromellitic acid, aminoaniline, guluronic and mannuronic acid respectively; see </w:t>
      </w:r>
      <w:r w:rsidR="00B56848" w:rsidRPr="00BC33F6">
        <w:rPr>
          <w:b/>
        </w:rPr>
        <w:t>Figure 2</w:t>
      </w:r>
      <w:r w:rsidR="00B56848" w:rsidRPr="00BC33F6">
        <w:t xml:space="preserve"> for structures)</w:t>
      </w:r>
      <w:r w:rsidRPr="00BC33F6">
        <w:t>, w</w:t>
      </w:r>
      <w:r w:rsidR="004B0AB1" w:rsidRPr="00BC33F6">
        <w:t xml:space="preserve">e have conducted SCFS experiments </w:t>
      </w:r>
      <w:r w:rsidRPr="00BC33F6">
        <w:t>using</w:t>
      </w:r>
      <w:r w:rsidR="004737C1" w:rsidRPr="00BC33F6">
        <w:t xml:space="preserve"> β-CD </w:t>
      </w:r>
      <w:r w:rsidR="00B56848" w:rsidRPr="00BC33F6">
        <w:t xml:space="preserve">beads </w:t>
      </w:r>
      <w:r w:rsidR="00B3393D" w:rsidRPr="00BC33F6">
        <w:t>in order to probe the effect</w:t>
      </w:r>
      <w:r w:rsidR="00663E56" w:rsidRPr="00BC33F6">
        <w:t xml:space="preserve"> of </w:t>
      </w:r>
      <w:r w:rsidR="00B3393D" w:rsidRPr="00BC33F6">
        <w:t>differences</w:t>
      </w:r>
      <w:r w:rsidR="003B65F2" w:rsidRPr="00BC33F6">
        <w:t xml:space="preserve"> in pore size</w:t>
      </w:r>
      <w:r w:rsidR="0060493F" w:rsidRPr="00BC33F6">
        <w:t xml:space="preserve">. </w:t>
      </w:r>
      <w:r w:rsidR="0062716A" w:rsidRPr="00BC33F6">
        <w:t>Recently Friddle, Noy and De Yoreo introduced a new model</w:t>
      </w:r>
      <w:r w:rsidR="00C52E9C" w:rsidRPr="008A087E">
        <w:fldChar w:fldCharType="begin"/>
      </w:r>
      <w:r w:rsidR="00126622" w:rsidRPr="00BC33F6">
        <w:instrText xml:space="preserve"> ADDIN PAPERS2_CITATIONS &lt;citation&gt;&lt;uuid&gt;51A7A643-D705-4294-8CE1-ACE1767F76ED&lt;/uuid&gt;&lt;priority&gt;0&lt;/priority&gt;&lt;publications&gt;&lt;publication&gt;&lt;uuid&gt;C5EE47E4-692F-446C-9FA7-8AEF80E4CEDD&lt;/uuid&gt;&lt;volume&gt;109&lt;/volume&gt;&lt;doi&gt;10.1073/pnas.1202946109&lt;/doi&gt;&lt;startpage&gt;13573&lt;/startpage&gt;&lt;publication_date&gt;99201208211200000000222000&lt;/publication_date&gt;&lt;url&gt;http://www.pnas.org/content/109/34/13573.long&lt;/url&gt;&lt;citekey&gt;Friddle:2012dj&lt;/citekey&gt;&lt;type&gt;400&lt;/type&gt;&lt;title&gt;Interpreting the widespread nonlinear force spectra of intermolecular bonds.&lt;/title&gt;&lt;location&gt;602,0,0,0&lt;/location&gt;&lt;institution&gt;Molecular Foundry, Lawrence Berkeley National Laboratory, Berkeley, CA 94720.&lt;/institution&gt;&lt;number&gt;34&lt;/number&gt;&lt;subtype&gt;400&lt;/subtype&gt;&lt;endpage&gt;13578&lt;/endpage&gt;&lt;bundle&gt;&lt;publication&gt;&lt;publisher&gt;National Acad Sciences&lt;/publisher&gt;&lt;title&gt;Proceedings of the National Academy of Sciences&lt;/title&gt;&lt;type&gt;-100&lt;/type&gt;&lt;subtype&gt;-100&lt;/subtype&gt;&lt;uuid&gt;29601930-E640-425A-AA83-6EE14CF024FA&lt;/uuid&gt;&lt;/publication&gt;&lt;/bundle&gt;&lt;authors&gt;&lt;author&gt;&lt;firstName&gt;Raymond&lt;/firstName&gt;&lt;middleNames&gt;W&lt;/middleNames&gt;&lt;lastName&gt;Friddle&lt;/lastName&gt;&lt;/author&gt;&lt;author&gt;&lt;firstName&gt;Aleksandr&lt;/firstName&gt;&lt;lastName&gt;Noy&lt;/lastName&gt;&lt;/author&gt;&lt;author&gt;&lt;lastName&gt;Yoreo&lt;/lastName&gt;&lt;nonDroppingParticle&gt;De&lt;/nonDroppingParticle&gt;&lt;firstName&gt;James&lt;/firstName&gt;&lt;middleNames&gt;J&lt;/middleNames&gt;&lt;/author&gt;&lt;/authors&gt;&lt;/publication&gt;&lt;publication&gt;&lt;uuid&gt;F2A2A068-7426-43D6-8E51-C901284E86A2&lt;/uuid&gt;&lt;volume&gt;60&lt;/volume&gt;&lt;accepted_date&gt;99201303131200000000222000&lt;/accepted_date&gt;&lt;doi&gt;10.1016/j.ymeth.2013.03.014&lt;/doi&gt;&lt;startpage&gt;142&lt;/startpage&gt;&lt;revision_date&gt;99201303051200000000222000&lt;/revision_date&gt;&lt;publication_date&gt;99201304011200000000222000&lt;/publication_date&gt;&lt;url&gt;http://linkinghub.elsevier.com/retrieve/pii/S1046202313000832&lt;/url&gt;&lt;citekey&gt;Noy:2013ht&lt;/citekey&gt;&lt;type&gt;400&lt;/type&gt;&lt;title&gt;Practical single molecule force spectroscopy: how to determine fundamental thermodynamic parameters of intermolecular bonds with an atomic force microscope.&lt;/title&gt;&lt;submission_date&gt;99201301181200000000222000&lt;/submission_date&gt;&lt;number&gt;2&lt;/number&gt;&lt;institution&gt;Physics and Life Sciences Directorate, Lawrence Livermore National Laboratory, Livermore, CA 94550, USA. noy1@llnl.gov&lt;/institution&gt;&lt;subtype&gt;400&lt;/subtype&gt;&lt;endpage&gt;150&lt;/endpage&gt;&lt;bundle&gt;&lt;publication&gt;&lt;publisher&gt;Elsevier Inc.&lt;/publisher&gt;&lt;title&gt;Methods (San Diego, Calif)&lt;/title&gt;&lt;type&gt;-100&lt;/type&gt;&lt;subtype&gt;-100&lt;/subtype&gt;&lt;uuid&gt;02EFA923-A949-47F7-9C42-AF67DE90C976&lt;/uuid&gt;&lt;/publication&gt;&lt;/bundle&gt;&lt;authors&gt;&lt;author&gt;&lt;firstName&gt;Aleksandr&lt;/firstName&gt;&lt;lastName&gt;Noy&lt;/lastName&gt;&lt;/author&gt;&lt;author&gt;&lt;firstName&gt;Raymond&lt;/firstName&gt;&lt;middleNames&gt;W&lt;/middleNames&gt;&lt;lastName&gt;Friddle&lt;/lastName&gt;&lt;/author&gt;&lt;/authors&gt;&lt;/publication&gt;&lt;/publications&gt;&lt;cites&gt;&lt;/cites&gt;&lt;/citation&gt;</w:instrText>
      </w:r>
      <w:r w:rsidR="00C52E9C" w:rsidRPr="008A087E">
        <w:fldChar w:fldCharType="separate"/>
      </w:r>
      <w:r w:rsidR="00126622" w:rsidRPr="00BC33F6">
        <w:rPr>
          <w:rFonts w:eastAsiaTheme="minorEastAsia"/>
          <w:vertAlign w:val="superscript"/>
        </w:rPr>
        <w:t>24,25</w:t>
      </w:r>
      <w:r w:rsidR="00C52E9C" w:rsidRPr="008A087E">
        <w:fldChar w:fldCharType="end"/>
      </w:r>
      <w:r w:rsidR="0062716A" w:rsidRPr="00BC33F6">
        <w:t xml:space="preserve"> for analysing single molecule force spectroscopy experiments that describes both the near-equilibrium (at low loading rates) and far-from-equilibrium (at high loading rates) regimes of the dynamic force spectrum (plot of most probable rupture force vs. </w:t>
      </w:r>
      <w:r w:rsidR="0062716A" w:rsidRPr="00BC33F6">
        <w:rPr>
          <w:lang w:bidi="en-US"/>
        </w:rPr>
        <w:t>instantaneous</w:t>
      </w:r>
      <w:r w:rsidR="0062716A" w:rsidRPr="00BC33F6">
        <w:t xml:space="preserve"> loading rate at rupture). The model has been shown to apply to interactions between ligands and receptors, small molecules and bulk surfaces</w:t>
      </w:r>
      <w:r w:rsidR="00EA554A" w:rsidRPr="00BC33F6">
        <w:t>.</w:t>
      </w:r>
      <w:r w:rsidR="00C52E9C" w:rsidRPr="008A087E">
        <w:fldChar w:fldCharType="begin"/>
      </w:r>
      <w:r w:rsidR="00126622" w:rsidRPr="00BC33F6">
        <w:instrText xml:space="preserve"> ADDIN PAPERS2_CITATIONS &lt;citation&gt;&lt;uuid&gt;A8B42FEB-847A-47FF-8F99-530F5E31C7AE&lt;/uuid&gt;&lt;priority&gt;0&lt;/priority&gt;&lt;publications&gt;&lt;publication&gt;&lt;uuid&gt;C5EE47E4-692F-446C-9FA7-8AEF80E4CEDD&lt;/uuid&gt;&lt;volume&gt;109&lt;/volume&gt;&lt;doi&gt;10.1073/pnas.1202946109&lt;/doi&gt;&lt;startpage&gt;13573&lt;/startpage&gt;&lt;publication_date&gt;99201208211200000000222000&lt;/publication_date&gt;&lt;url&gt;http://www.pnas.org/content/109/34/13573.long&lt;/url&gt;&lt;citekey&gt;Friddle:2012dj&lt;/citekey&gt;&lt;type&gt;400&lt;/type&gt;&lt;title&gt;Interpreting the widespread nonlinear force spectra of intermolecular bonds.&lt;/title&gt;&lt;location&gt;602,0,0,0&lt;/location&gt;&lt;institution&gt;Molecular Foundry, Lawrence Berkeley National Laboratory, Berkeley, CA 94720.&lt;/institution&gt;&lt;number&gt;34&lt;/number&gt;&lt;subtype&gt;400&lt;/subtype&gt;&lt;endpage&gt;13578&lt;/endpage&gt;&lt;bundle&gt;&lt;publication&gt;&lt;publisher&gt;National Acad Sciences&lt;/publisher&gt;&lt;title&gt;Proceedings of the National Academy of Sciences&lt;/title&gt;&lt;type&gt;-100&lt;/type&gt;&lt;subtype&gt;-100&lt;/subtype&gt;&lt;uuid&gt;29601930-E640-425A-AA83-6EE14CF024FA&lt;/uuid&gt;&lt;/publication&gt;&lt;/bundle&gt;&lt;authors&gt;&lt;author&gt;&lt;firstName&gt;Raymond&lt;/firstName&gt;&lt;middleNames&gt;W&lt;/middleNames&gt;&lt;lastName&gt;Friddle&lt;/lastName&gt;&lt;/author&gt;&lt;author&gt;&lt;firstName&gt;Aleksandr&lt;/firstName&gt;&lt;lastName&gt;Noy&lt;/lastName&gt;&lt;/author&gt;&lt;author&gt;&lt;lastName&gt;Yoreo&lt;/lastName&gt;&lt;nonDroppingParticle&gt;De&lt;/nonDroppingParticle&gt;&lt;firstName&gt;James&lt;/firstName&gt;&lt;middleNames&gt;J&lt;/middleNames&gt;&lt;/author&gt;&lt;/authors&gt;&lt;/publication&gt;&lt;/publications&gt;&lt;cites&gt;&lt;/cites&gt;&lt;/citation&gt;</w:instrText>
      </w:r>
      <w:r w:rsidR="00C52E9C" w:rsidRPr="008A087E">
        <w:fldChar w:fldCharType="separate"/>
      </w:r>
      <w:r w:rsidR="00126622" w:rsidRPr="00BC33F6">
        <w:rPr>
          <w:rFonts w:eastAsiaTheme="minorEastAsia"/>
          <w:vertAlign w:val="superscript"/>
        </w:rPr>
        <w:t>24</w:t>
      </w:r>
      <w:r w:rsidR="00C52E9C" w:rsidRPr="008A087E">
        <w:fldChar w:fldCharType="end"/>
      </w:r>
      <w:r w:rsidR="00EA554A" w:rsidRPr="00BC33F6">
        <w:t xml:space="preserve"> </w:t>
      </w:r>
      <w:r w:rsidR="0062716A" w:rsidRPr="00BC33F6">
        <w:t>In common with the established Bell-Evans model,</w:t>
      </w:r>
      <w:r w:rsidR="00C52E9C" w:rsidRPr="008A087E">
        <w:fldChar w:fldCharType="begin"/>
      </w:r>
      <w:r w:rsidR="00126622" w:rsidRPr="00BC33F6">
        <w:instrText xml:space="preserve"> ADDIN PAPERS2_CITATIONS &lt;citation&gt;&lt;uuid&gt;594C1AF4-7617-4DBC-B200-C30D5619A22A&lt;/uuid&gt;&lt;priority&gt;0&lt;/priority&gt;&lt;publications&gt;&lt;publication&gt;&lt;volume&gt;111&lt;/volume&gt;&lt;publication_date&gt;99199900001200000000200000&lt;/publication_date&gt;&lt;doi&gt;10.1039/a809884k&lt;/doi&gt;&lt;startpage&gt;1&lt;/startpage&gt;&lt;title&gt;Introductory Lecture Energy landscapes of biomolecular adhesion and receptor anchoring at interfaces explored with dynamic force spectroscopy&lt;/title&gt;&lt;uuid&gt;ADCC44B1-1911-480F-AE2A-6F89A7EA7622&lt;/uuid&gt;&lt;subtype&gt;400&lt;/subtype&gt;&lt;endpage&gt;16&lt;/endpage&gt;&lt;type&gt;400&lt;/type&gt;&lt;url&gt;http://xlink.rsc.org/?DOI=a809884k&lt;/url&gt;&lt;bundle&gt;&lt;publication&gt;&lt;title&gt;Faraday Discussions&lt;/title&gt;&lt;type&gt;-100&lt;/type&gt;&lt;subtype&gt;-100&lt;/subtype&gt;&lt;uuid&gt;4B2B37B0-5E10-40F3-81EE-FAA9E6833E73&lt;/uuid&gt;&lt;/publication&gt;&lt;/bundle&gt;&lt;authors&gt;&lt;author&gt;&lt;firstName&gt;Evan&lt;/firstName&gt;&lt;lastName&gt;Evans&lt;/lastName&gt;&lt;/author&gt;&lt;/authors&gt;&lt;/publication&gt;&lt;/publications&gt;&lt;cites&gt;&lt;/cites&gt;&lt;/citation&gt;</w:instrText>
      </w:r>
      <w:r w:rsidR="00C52E9C" w:rsidRPr="008A087E">
        <w:fldChar w:fldCharType="separate"/>
      </w:r>
      <w:r w:rsidR="00126622" w:rsidRPr="00BC33F6">
        <w:rPr>
          <w:rFonts w:eastAsiaTheme="minorEastAsia"/>
          <w:vertAlign w:val="superscript"/>
        </w:rPr>
        <w:t>26</w:t>
      </w:r>
      <w:r w:rsidR="00C52E9C" w:rsidRPr="008A087E">
        <w:fldChar w:fldCharType="end"/>
      </w:r>
      <w:r w:rsidR="0062716A" w:rsidRPr="00BC33F6">
        <w:t xml:space="preserve"> the method is used to extract the parameters k</w:t>
      </w:r>
      <w:r w:rsidR="0062716A" w:rsidRPr="00BC33F6">
        <w:rPr>
          <w:vertAlign w:val="subscript"/>
        </w:rPr>
        <w:t>off</w:t>
      </w:r>
      <w:r w:rsidR="0062716A" w:rsidRPr="00BC33F6">
        <w:t xml:space="preserve"> and x</w:t>
      </w:r>
      <w:r w:rsidR="0062716A" w:rsidRPr="00BC33F6">
        <w:rPr>
          <w:vertAlign w:val="subscript"/>
        </w:rPr>
        <w:t>β</w:t>
      </w:r>
      <w:r w:rsidR="0062716A" w:rsidRPr="00BC33F6">
        <w:t xml:space="preserve">, the intrinsic unbinding rate of the bond and the distance to the transition state, from the force spectrum. In cases where the near-equilibrium regime is reached, a third parameter, the equilibrium force </w:t>
      </w:r>
      <w:r w:rsidR="0062716A" w:rsidRPr="00BC33F6">
        <w:rPr>
          <w:i/>
        </w:rPr>
        <w:t>f</w:t>
      </w:r>
      <w:r w:rsidR="0062716A" w:rsidRPr="00BC33F6">
        <w:rPr>
          <w:vertAlign w:val="subscript"/>
        </w:rPr>
        <w:t>eq</w:t>
      </w:r>
      <w:r w:rsidR="0062716A" w:rsidRPr="00BC33F6">
        <w:t xml:space="preserve"> (the minimum force required to move the binding pair apart by the distance x</w:t>
      </w:r>
      <w:r w:rsidR="0062716A" w:rsidRPr="00BC33F6">
        <w:rPr>
          <w:vertAlign w:val="subscript"/>
        </w:rPr>
        <w:t>β</w:t>
      </w:r>
      <w:r w:rsidR="0062716A" w:rsidRPr="00BC33F6">
        <w:t>, beyond which they can no longer instantaneously rebind) may be obtained and from it ΔG</w:t>
      </w:r>
      <w:r w:rsidR="00363447" w:rsidRPr="00BC33F6">
        <w:rPr>
          <w:vertAlign w:val="subscript"/>
        </w:rPr>
        <w:t>b</w:t>
      </w:r>
      <w:r w:rsidR="0062716A" w:rsidRPr="00BC33F6">
        <w:rPr>
          <w:vertAlign w:val="subscript"/>
        </w:rPr>
        <w:t>u</w:t>
      </w:r>
      <w:r w:rsidR="0062716A" w:rsidRPr="00BC33F6">
        <w:t>, the equilibrium unbinding free energy, for the bond. The term ‘equilibrium’ here is used in the sense used by Friddle et al</w:t>
      </w:r>
      <w:r w:rsidR="00C52E9C" w:rsidRPr="008A087E">
        <w:fldChar w:fldCharType="begin"/>
      </w:r>
      <w:r w:rsidR="00126622" w:rsidRPr="00BC33F6">
        <w:instrText xml:space="preserve"> ADDIN PAPERS2_CITATIONS &lt;citation&gt;&lt;uuid&gt;4D6FE306-B84E-4B9D-8BEF-8D4B04C1BCFE&lt;/uuid&gt;&lt;priority&gt;0&lt;/priority&gt;&lt;publications&gt;&lt;publication&gt;&lt;uuid&gt;C5EE47E4-692F-446C-9FA7-8AEF80E4CEDD&lt;/uuid&gt;&lt;volume&gt;109&lt;/volume&gt;&lt;doi&gt;10.1073/pnas.1202946109&lt;/doi&gt;&lt;startpage&gt;13573&lt;/startpage&gt;&lt;publication_date&gt;99201208211200000000222000&lt;/publication_date&gt;&lt;url&gt;http://www.pnas.org/content/109/34/13573.long&lt;/url&gt;&lt;citekey&gt;Friddle:2012dj&lt;/citekey&gt;&lt;type&gt;400&lt;/type&gt;&lt;title&gt;Interpreting the widespread nonlinear force spectra of intermolecular bonds.&lt;/title&gt;&lt;location&gt;602,0,0,0&lt;/location&gt;&lt;institution&gt;Molecular Foundry, Lawrence Berkeley National Laboratory, Berkeley, CA 94720.&lt;/institution&gt;&lt;number&gt;34&lt;/number&gt;&lt;subtype&gt;400&lt;/subtype&gt;&lt;endpage&gt;13578&lt;/endpage&gt;&lt;bundle&gt;&lt;publication&gt;&lt;publisher&gt;National Acad Sciences&lt;/publisher&gt;&lt;title&gt;Proceedings of the National Academy of Sciences&lt;/title&gt;&lt;type&gt;-100&lt;/type&gt;&lt;subtype&gt;-100&lt;/subtype&gt;&lt;uuid&gt;29601930-E640-425A-AA83-6EE14CF024FA&lt;/uuid&gt;&lt;/publication&gt;&lt;/bundle&gt;&lt;authors&gt;&lt;author&gt;&lt;firstName&gt;Raymond&lt;/firstName&gt;&lt;middleNames&gt;W&lt;/middleNames&gt;&lt;lastName&gt;Friddle&lt;/lastName&gt;&lt;/author&gt;&lt;author&gt;&lt;firstName&gt;Aleksandr&lt;/firstName&gt;&lt;lastName&gt;Noy&lt;/lastName&gt;&lt;/author&gt;&lt;author&gt;&lt;lastName&gt;Yoreo&lt;/lastName&gt;&lt;nonDroppingParticle&gt;De&lt;/nonDroppingParticle&gt;&lt;firstName&gt;James&lt;/firstName&gt;&lt;middleNames&gt;J&lt;/middleNames&gt;&lt;/author&gt;&lt;/authors&gt;&lt;/publication&gt;&lt;publication&gt;&lt;uuid&gt;F2A2A068-7426-43D6-8E51-C901284E86A2&lt;/uuid&gt;&lt;volume&gt;60&lt;/volume&gt;&lt;accepted_date&gt;99201303131200000000222000&lt;/accepted_date&gt;&lt;doi&gt;10.1016/j.ymeth.2013.03.014&lt;/doi&gt;&lt;startpage&gt;142&lt;/startpage&gt;&lt;revision_date&gt;99201303051200000000222000&lt;/revision_date&gt;&lt;publication_date&gt;99201304011200000000222000&lt;/publication_date&gt;&lt;url&gt;http://linkinghub.elsevier.com/retrieve/pii/S1046202313000832&lt;/url&gt;&lt;citekey&gt;Noy:2013ht&lt;/citekey&gt;&lt;type&gt;400&lt;/type&gt;&lt;title&gt;Practical single molecule force spectroscopy: how to determine fundamental thermodynamic parameters of intermolecular bonds with an atomic force microscope.&lt;/title&gt;&lt;submission_date&gt;99201301181200000000222000&lt;/submission_date&gt;&lt;number&gt;2&lt;/number&gt;&lt;institution&gt;Physics and Life Sciences Directorate, Lawrence Livermore National Laboratory, Livermore, CA 94550, USA. noy1@llnl.gov&lt;/institution&gt;&lt;subtype&gt;400&lt;/subtype&gt;&lt;endpage&gt;150&lt;/endpage&gt;&lt;bundle&gt;&lt;publication&gt;&lt;publisher&gt;Elsevier Inc.&lt;/publisher&gt;&lt;title&gt;Methods (San Diego, Calif)&lt;/title&gt;&lt;type&gt;-100&lt;/type&gt;&lt;subtype&gt;-100&lt;/subtype&gt;&lt;uuid&gt;02EFA923-A949-47F7-9C42-AF67DE90C976&lt;/uuid&gt;&lt;/publication&gt;&lt;/bundle&gt;&lt;authors&gt;&lt;author&gt;&lt;firstName&gt;Aleksandr&lt;/firstName&gt;&lt;lastName&gt;Noy&lt;/lastName&gt;&lt;/author&gt;&lt;author&gt;&lt;firstName&gt;Raymond&lt;/firstName&gt;&lt;middleNames&gt;W&lt;/middleNames&gt;&lt;lastName&gt;Friddle&lt;/lastName&gt;&lt;/author&gt;&lt;/authors&gt;&lt;/publication&gt;&lt;/publications&gt;&lt;cites&gt;&lt;/cites&gt;&lt;/citation&gt;</w:instrText>
      </w:r>
      <w:r w:rsidR="00C52E9C" w:rsidRPr="008A087E">
        <w:fldChar w:fldCharType="separate"/>
      </w:r>
      <w:r w:rsidR="00126622" w:rsidRPr="00BC33F6">
        <w:rPr>
          <w:rFonts w:eastAsiaTheme="minorEastAsia"/>
          <w:vertAlign w:val="superscript"/>
        </w:rPr>
        <w:t>24,25</w:t>
      </w:r>
      <w:r w:rsidR="00C52E9C" w:rsidRPr="008A087E">
        <w:fldChar w:fldCharType="end"/>
      </w:r>
      <w:r w:rsidR="0062716A" w:rsidRPr="00BC33F6">
        <w:t xml:space="preserve"> and denotes a process that is occurring rapidly </w:t>
      </w:r>
      <w:r w:rsidR="00366FBA" w:rsidRPr="00BC33F6">
        <w:t xml:space="preserve">in both forward and reverse direction </w:t>
      </w:r>
      <w:r w:rsidR="0062716A" w:rsidRPr="00BC33F6">
        <w:t xml:space="preserve">with respect to the travel of the AFM probe </w:t>
      </w:r>
      <w:r w:rsidR="00EA554A" w:rsidRPr="00BC33F6">
        <w:t>and the CD bead</w:t>
      </w:r>
      <w:r w:rsidR="0062716A" w:rsidRPr="00BC33F6">
        <w:t xml:space="preserve"> attached to it. Here we treat the process of shuttling (sliding a bead over a station in a polymer) in the same way as breaking a conventional ligand-receptor bond and so we use the values of </w:t>
      </w:r>
      <w:r w:rsidR="00B56848" w:rsidRPr="00BC33F6">
        <w:rPr>
          <w:i/>
        </w:rPr>
        <w:t>f</w:t>
      </w:r>
      <w:r w:rsidR="0062716A" w:rsidRPr="00BC33F6">
        <w:rPr>
          <w:vertAlign w:val="subscript"/>
        </w:rPr>
        <w:t>eq</w:t>
      </w:r>
      <w:r w:rsidR="0062716A" w:rsidRPr="00BC33F6">
        <w:t xml:space="preserve"> we have recorded to calculate ΔG</w:t>
      </w:r>
      <w:r w:rsidR="0062716A" w:rsidRPr="00BC33F6">
        <w:rPr>
          <w:vertAlign w:val="subscript"/>
        </w:rPr>
        <w:t>s</w:t>
      </w:r>
      <w:r w:rsidR="005D76D5" w:rsidRPr="00BC33F6">
        <w:rPr>
          <w:vertAlign w:val="subscript"/>
        </w:rPr>
        <w:t>l</w:t>
      </w:r>
      <w:r w:rsidR="0062716A" w:rsidRPr="00BC33F6">
        <w:t>, the s</w:t>
      </w:r>
      <w:r w:rsidR="005D76D5" w:rsidRPr="00BC33F6">
        <w:t>lid</w:t>
      </w:r>
      <w:r w:rsidR="0062716A" w:rsidRPr="00BC33F6">
        <w:t>ing free energy, in analogy with the ΔG</w:t>
      </w:r>
      <w:r w:rsidR="00EA554A" w:rsidRPr="00BC33F6">
        <w:rPr>
          <w:vertAlign w:val="subscript"/>
        </w:rPr>
        <w:t>b</w:t>
      </w:r>
      <w:r w:rsidR="0062716A" w:rsidRPr="00BC33F6">
        <w:rPr>
          <w:vertAlign w:val="subscript"/>
        </w:rPr>
        <w:t>u</w:t>
      </w:r>
      <w:r w:rsidR="0062716A" w:rsidRPr="00BC33F6">
        <w:t xml:space="preserve"> term described above. Our justification for taking this approach lies in the common features of both processes: the elastic polymer tethers will act as entropic springs at low forces and undergo enthalpic bond stretching at higher forces until the tension is released, either by breaking a bond or by forcing the bead to s</w:t>
      </w:r>
      <w:r w:rsidR="0043197A" w:rsidRPr="00BC33F6">
        <w:t>lid</w:t>
      </w:r>
      <w:r w:rsidR="0062716A" w:rsidRPr="00BC33F6">
        <w:t>e over the monomer station. Before applying the model we follow Akhremitchev’s method</w:t>
      </w:r>
      <w:r w:rsidR="00C52E9C" w:rsidRPr="008A087E">
        <w:fldChar w:fldCharType="begin"/>
      </w:r>
      <w:r w:rsidR="00126622" w:rsidRPr="00BC33F6">
        <w:instrText xml:space="preserve"> ADDIN PAPERS2_CITATIONS &lt;citation&gt;&lt;uuid&gt;67CC4C09-A0C4-47F6-B00A-8BC1070C90B2&lt;/uuid&gt;&lt;priority&gt;0&lt;/priority&gt;&lt;publications&gt;&lt;publication&gt;&lt;volume&gt;114&lt;/volume&gt;&lt;publication_date&gt;99201000001200000000200000&lt;/publication_date&gt;&lt;number&gt;19&lt;/number&gt;&lt;startpage&gt;8755&lt;/startpage&gt;&lt;title&gt;Distributions of parameters and features of multiple bond ruptures in force spectroscopy by atomic force microscopy&lt;/title&gt;&lt;uuid&gt;4D44CD35-FFB9-4E23-AD4A-0B92CB0D3D89&lt;/uuid&gt;&lt;subtype&gt;400&lt;/subtype&gt;&lt;endpage&gt;8765&lt;/endpage&gt;&lt;type&gt;400&lt;/type&gt;&lt;url&gt;http://pubs.acs.org/doi/abs/10.1021/jp100543u&lt;/url&gt;&lt;bundle&gt;&lt;publication&gt;&lt;publisher&gt;ACS Publications&lt;/publisher&gt;&lt;title&gt;The Journal of Physical Chemistry C&lt;/title&gt;&lt;type&gt;-100&lt;/type&gt;&lt;subtype&gt;-100&lt;/subtype&gt;&lt;uuid&gt;6D749E2E-45FF-4E43-AA89-3F21AE437B9A&lt;/uuid&gt;&lt;/publication&gt;&lt;/bundle&gt;&lt;authors&gt;&lt;author&gt;&lt;firstName&gt;S&lt;/firstName&gt;&lt;lastName&gt;Guo&lt;/lastName&gt;&lt;/author&gt;&lt;author&gt;&lt;firstName&gt;N&lt;/firstName&gt;&lt;lastName&gt;Li&lt;/lastName&gt;&lt;/author&gt;&lt;author&gt;&lt;firstName&gt;N&lt;/firstName&gt;&lt;lastName&gt;Lad&lt;/lastName&gt;&lt;/author&gt;&lt;author&gt;&lt;firstName&gt;S&lt;/firstName&gt;&lt;lastName&gt;Desai&lt;/lastName&gt;&lt;/author&gt;&lt;author&gt;&lt;firstName&gt;Boris&lt;/firstName&gt;&lt;middleNames&gt;B&lt;/middleNames&gt;&lt;lastName&gt;Akhremitchev&lt;/lastName&gt;&lt;/author&gt;&lt;/authors&gt;&lt;/publication&gt;&lt;/publications&gt;&lt;cites&gt;&lt;/cites&gt;&lt;/citation&gt;</w:instrText>
      </w:r>
      <w:r w:rsidR="00C52E9C" w:rsidRPr="008A087E">
        <w:fldChar w:fldCharType="separate"/>
      </w:r>
      <w:r w:rsidR="00126622" w:rsidRPr="00BC33F6">
        <w:rPr>
          <w:rFonts w:eastAsiaTheme="minorEastAsia"/>
          <w:vertAlign w:val="superscript"/>
        </w:rPr>
        <w:t>27</w:t>
      </w:r>
      <w:r w:rsidR="00C52E9C" w:rsidRPr="008A087E">
        <w:fldChar w:fldCharType="end"/>
      </w:r>
      <w:r w:rsidR="0062716A" w:rsidRPr="00BC33F6">
        <w:t xml:space="preserve"> of using the fitted Kuhn lengths to distinguish between single and multiple polymer stretches, selecting only single polymer stretches (those with Kuhn lengths equal to or greater than the Kuhn length of a single PEG chain) for further analysis. This approach was recently applied to the crosslinking of DNA by intercalators.</w:t>
      </w:r>
      <w:r w:rsidR="00C52E9C" w:rsidRPr="008A087E">
        <w:fldChar w:fldCharType="begin"/>
      </w:r>
      <w:r w:rsidR="00126622" w:rsidRPr="00BC33F6">
        <w:instrText xml:space="preserve"> ADDIN PAPERS2_CITATIONS &lt;citation&gt;&lt;uuid&gt;69254992-7FB1-4EEB-B65D-B8F4D8AF6934&lt;/uuid&gt;&lt;priority&gt;0&lt;/priority&gt;&lt;publications&gt;&lt;publication&gt;&lt;uuid&gt;FB8A5023-9BD7-458D-90AB-6691C8BC4652&lt;/uuid&gt;&lt;volume&gt;11&lt;/volume&gt;&lt;doi&gt;10.1039/c3ob42009d&lt;/doi&gt;&lt;startpage&gt;8340&lt;/startpage&gt;&lt;publication_date&gt;99201312281200000000222000&lt;/publication_date&gt;&lt;url&gt;http://eutils.ncbi.nlm.nih.gov/entrez/eutils/elink.fcgi?dbfrom=pubmed&amp;amp;id=24158749&amp;amp;retmode=ref&amp;amp;cmd=prlinks&lt;/url&gt;&lt;citekey&gt;Rackham:2013gp&lt;/citekey&gt;&lt;type&gt;400&lt;/type&gt;&lt;title&gt;Non-covalent duplex to duplex crosslinking of DNA in solution revealed by single molecule force spectroscopy.&lt;/title&gt;&lt;publisher&gt;The Royal Society of Chemistry&lt;/publisher&gt;&lt;institution&gt;School of Pharmacy, University of East Anglia, Norwich Research Park, Norwich NR4 7TJ, UK. m.searcey@uea.ac.uk a.round@uea.ac.uk.&lt;/institution&gt;&lt;number&gt;48&lt;/number&gt;&lt;subtype&gt;400&lt;/subtype&gt;&lt;endpage&gt;8347&lt;/endpage&gt;&lt;bundle&gt;&lt;publication&gt;&lt;publisher&gt;The Royal Society of Chemistry&lt;/publisher&gt;&lt;title&gt;Organic &amp;amp; Biomolecular Chemistry&lt;/title&gt;&lt;type&gt;-100&lt;/type&gt;&lt;subtype&gt;-100&lt;/subtype&gt;&lt;uuid&gt;95E34680-D218-4EEB-A31F-174220CC3F9F&lt;/uuid&gt;&lt;/publication&gt;&lt;/bundle&gt;&lt;authors&gt;&lt;author&gt;&lt;firstName&gt;Benjamin&lt;/firstName&gt;&lt;middleNames&gt;D&lt;/middleNames&gt;&lt;lastName&gt;Rackham&lt;/lastName&gt;&lt;/author&gt;&lt;author&gt;&lt;firstName&gt;Lesley&lt;/firstName&gt;&lt;middleNames&gt;A&lt;/middleNames&gt;&lt;lastName&gt;Howell&lt;/lastName&gt;&lt;/author&gt;&lt;author&gt;&lt;firstName&gt;Andrew&lt;/firstName&gt;&lt;middleNames&gt;N&lt;/middleNames&gt;&lt;lastName&gt;Round&lt;/lastName&gt;&lt;/author&gt;&lt;author&gt;&lt;firstName&gt;Mark&lt;/firstName&gt;&lt;lastName&gt;Searcey&lt;/lastName&gt;&lt;/author&gt;&lt;/authors&gt;&lt;/publication&gt;&lt;/publications&gt;&lt;cites&gt;&lt;/cites&gt;&lt;/citation&gt;</w:instrText>
      </w:r>
      <w:r w:rsidR="00C52E9C" w:rsidRPr="008A087E">
        <w:fldChar w:fldCharType="separate"/>
      </w:r>
      <w:r w:rsidR="00126622" w:rsidRPr="00BC33F6">
        <w:rPr>
          <w:rFonts w:eastAsiaTheme="minorEastAsia"/>
          <w:vertAlign w:val="superscript"/>
        </w:rPr>
        <w:t>28</w:t>
      </w:r>
      <w:r w:rsidR="00C52E9C" w:rsidRPr="008A087E">
        <w:fldChar w:fldCharType="end"/>
      </w:r>
      <w:r w:rsidR="0062716A" w:rsidRPr="00BC33F6">
        <w:t xml:space="preserve"> </w:t>
      </w:r>
      <w:r w:rsidR="004737C1" w:rsidRPr="00BC33F6">
        <w:t>The analysis of the data is presented in supporting information.</w:t>
      </w:r>
    </w:p>
    <w:p w:rsidR="0062716A" w:rsidRPr="00A77CBA" w:rsidRDefault="0062716A" w:rsidP="002A436C">
      <w:pPr>
        <w:pStyle w:val="Legend"/>
        <w:jc w:val="both"/>
        <w:rPr>
          <w:color w:val="FF0000"/>
          <w:lang w:val="en-GB"/>
        </w:rPr>
      </w:pPr>
    </w:p>
    <w:p w:rsidR="0062716A" w:rsidRPr="00A77CBA" w:rsidRDefault="0062716A" w:rsidP="002A436C">
      <w:pPr>
        <w:pStyle w:val="Legend"/>
        <w:jc w:val="both"/>
        <w:rPr>
          <w:color w:val="FF0000"/>
          <w:lang w:val="en-GB"/>
        </w:rPr>
      </w:pPr>
      <w:r w:rsidRPr="00A77CBA">
        <w:rPr>
          <w:noProof/>
          <w:lang w:val="nb-NO" w:eastAsia="nb-NO"/>
        </w:rPr>
        <w:drawing>
          <wp:inline distT="0" distB="0" distL="0" distR="0" wp14:anchorId="4B5EE04A" wp14:editId="11CF47CF">
            <wp:extent cx="5760720" cy="3920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fig3bc.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9206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rsidR="0062716A" w:rsidRPr="002A436C" w:rsidRDefault="0062716A" w:rsidP="002A436C">
      <w:pPr>
        <w:pStyle w:val="Legend"/>
        <w:spacing w:line="480" w:lineRule="auto"/>
        <w:jc w:val="both"/>
        <w:rPr>
          <w:b/>
          <w:lang w:val="en-GB"/>
        </w:rPr>
      </w:pPr>
      <w:r w:rsidRPr="002A436C">
        <w:rPr>
          <w:b/>
          <w:lang w:val="en-GB"/>
        </w:rPr>
        <w:t xml:space="preserve">Figure 3. </w:t>
      </w:r>
      <w:r w:rsidRPr="002A436C">
        <w:rPr>
          <w:lang w:val="en-GB"/>
        </w:rPr>
        <w:t>(a) Example force curves for the interactions investigated here: from the bottom, the first two curves were collected when sliding α-CD over olig</w:t>
      </w:r>
      <w:r w:rsidR="00EA554A" w:rsidRPr="002A436C">
        <w:rPr>
          <w:lang w:val="en-GB"/>
        </w:rPr>
        <w:t>oguluronic and mannuronic acids</w:t>
      </w:r>
      <w:r w:rsidRPr="002A436C">
        <w:rPr>
          <w:lang w:val="en-GB"/>
        </w:rPr>
        <w:t xml:space="preserve"> (stations 4 and 5); the remaining curves were collected when (top two curves) α-CD and (middle two curves) β-CD were pulled over a polymer consisting of PEG (station 3) and individual monomers of aminoaniline (station 2) and pyromellitic acid (station 1). Asterisks mark the rupture points at which forces and loading rates are measured. For more details of the polymer characterisation see reference [1]. (b) Dynamic force spectra for the interactions of α-CD (filled circles) and β-CD (open circles) with each of the five stations. For stations 4 and 5, all data is for α-CD; lighter symbols are for guluronic acid and darker symbols for mannuronic acid. (c) Histograms of the most probable sl</w:t>
      </w:r>
      <w:r w:rsidR="0043197A" w:rsidRPr="002A436C">
        <w:rPr>
          <w:lang w:val="en-GB"/>
        </w:rPr>
        <w:t>id</w:t>
      </w:r>
      <w:r w:rsidRPr="002A436C">
        <w:rPr>
          <w:lang w:val="en-GB"/>
        </w:rPr>
        <w:t>ing force, equivalent to f</w:t>
      </w:r>
      <w:r w:rsidRPr="002A436C">
        <w:rPr>
          <w:vertAlign w:val="subscript"/>
          <w:lang w:val="en-GB"/>
        </w:rPr>
        <w:t>eq</w:t>
      </w:r>
      <w:r w:rsidRPr="002A436C">
        <w:rPr>
          <w:lang w:val="en-GB"/>
        </w:rPr>
        <w:t>, the equilibrium force, for the five stations. Colours of bars follow those described for symbols in part (b).</w:t>
      </w:r>
    </w:p>
    <w:p w:rsidR="0062716A" w:rsidRDefault="0062716A" w:rsidP="002A436C">
      <w:pPr>
        <w:pStyle w:val="Head1"/>
        <w:jc w:val="both"/>
      </w:pPr>
    </w:p>
    <w:p w:rsidR="008363CC" w:rsidRPr="00C02CD5" w:rsidRDefault="008363CC" w:rsidP="002A436C">
      <w:pPr>
        <w:pStyle w:val="Head1"/>
        <w:jc w:val="both"/>
      </w:pPr>
      <w:r w:rsidRPr="00C02CD5">
        <w:t xml:space="preserve">Table 1. </w:t>
      </w:r>
      <w:r w:rsidRPr="00AC2EDA">
        <w:t>Values of calculated and measured parameters (log K, the binding constant; f</w:t>
      </w:r>
      <w:r w:rsidRPr="00AC2EDA">
        <w:rPr>
          <w:vertAlign w:val="subscript"/>
        </w:rPr>
        <w:t>eq</w:t>
      </w:r>
      <w:r w:rsidR="00CC60F1" w:rsidRPr="00AC2EDA">
        <w:t>, the equilibrium force</w:t>
      </w:r>
      <w:r w:rsidRPr="00AC2EDA">
        <w:t>; k</w:t>
      </w:r>
      <w:r w:rsidRPr="00AC2EDA">
        <w:rPr>
          <w:vertAlign w:val="subscript"/>
        </w:rPr>
        <w:t>c</w:t>
      </w:r>
      <w:r w:rsidRPr="00AC2EDA">
        <w:t>, the cantilever spring constant; and ΔG</w:t>
      </w:r>
      <w:r w:rsidRPr="00AC2EDA">
        <w:rPr>
          <w:vertAlign w:val="subscript"/>
        </w:rPr>
        <w:t>s</w:t>
      </w:r>
      <w:r w:rsidR="005D76D5">
        <w:rPr>
          <w:vertAlign w:val="subscript"/>
        </w:rPr>
        <w:t>l</w:t>
      </w:r>
      <w:r w:rsidRPr="00AC2EDA">
        <w:t xml:space="preserve">, the free energy of </w:t>
      </w:r>
      <w:r w:rsidRPr="002A436C">
        <w:t>s</w:t>
      </w:r>
      <w:r w:rsidR="005D76D5" w:rsidRPr="002A436C">
        <w:t>lid</w:t>
      </w:r>
      <w:r w:rsidRPr="002A436C">
        <w:t>ing</w:t>
      </w:r>
      <w:r w:rsidRPr="00AC2EDA">
        <w:t>) for interactions of stations 1 to 5 with α- and β-CD.</w:t>
      </w:r>
      <w:r w:rsidRPr="00C02CD5">
        <w:t xml:space="preserve"> </w:t>
      </w:r>
    </w:p>
    <w:tbl>
      <w:tblPr>
        <w:tblW w:w="7392" w:type="dxa"/>
        <w:tblInd w:w="108" w:type="dxa"/>
        <w:tblLook w:val="04A0" w:firstRow="1" w:lastRow="0" w:firstColumn="1" w:lastColumn="0" w:noHBand="0" w:noVBand="1"/>
      </w:tblPr>
      <w:tblGrid>
        <w:gridCol w:w="900"/>
        <w:gridCol w:w="804"/>
        <w:gridCol w:w="1338"/>
        <w:gridCol w:w="982"/>
        <w:gridCol w:w="1242"/>
        <w:gridCol w:w="794"/>
        <w:gridCol w:w="1332"/>
      </w:tblGrid>
      <w:tr w:rsidR="00837550" w:rsidRPr="00770664" w:rsidTr="00837550">
        <w:trPr>
          <w:trHeight w:val="460"/>
        </w:trPr>
        <w:tc>
          <w:tcPr>
            <w:tcW w:w="900" w:type="dxa"/>
            <w:tcBorders>
              <w:top w:val="nil"/>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b/>
                <w:bCs/>
                <w:color w:val="000000"/>
                <w:sz w:val="16"/>
                <w:szCs w:val="16"/>
                <w:lang w:val="en-GB" w:eastAsia="en-GB"/>
              </w:rPr>
            </w:pPr>
            <w:r w:rsidRPr="00770664">
              <w:rPr>
                <w:rFonts w:eastAsia="Times New Roman"/>
                <w:b/>
                <w:bCs/>
                <w:color w:val="000000"/>
                <w:sz w:val="16"/>
                <w:szCs w:val="16"/>
                <w:lang w:val="en-GB" w:eastAsia="en-GB"/>
              </w:rPr>
              <w:t>Station</w:t>
            </w:r>
          </w:p>
        </w:tc>
        <w:tc>
          <w:tcPr>
            <w:tcW w:w="804" w:type="dxa"/>
            <w:tcBorders>
              <w:top w:val="nil"/>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b/>
                <w:bCs/>
                <w:color w:val="000000"/>
                <w:sz w:val="16"/>
                <w:szCs w:val="16"/>
                <w:lang w:val="en-GB" w:eastAsia="en-GB"/>
              </w:rPr>
            </w:pPr>
            <w:r w:rsidRPr="00770664">
              <w:rPr>
                <w:rFonts w:eastAsia="Times New Roman"/>
                <w:b/>
                <w:bCs/>
                <w:color w:val="000000"/>
                <w:sz w:val="16"/>
                <w:szCs w:val="16"/>
                <w:lang w:val="en-GB" w:eastAsia="en-GB"/>
              </w:rPr>
              <w:t>Bead</w:t>
            </w:r>
          </w:p>
        </w:tc>
        <w:tc>
          <w:tcPr>
            <w:tcW w:w="1338" w:type="dxa"/>
            <w:tcBorders>
              <w:top w:val="nil"/>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b/>
                <w:bCs/>
                <w:color w:val="000000"/>
                <w:sz w:val="16"/>
                <w:szCs w:val="16"/>
                <w:lang w:val="en-GB" w:eastAsia="en-GB"/>
              </w:rPr>
            </w:pPr>
            <w:r w:rsidRPr="00770664">
              <w:rPr>
                <w:rFonts w:eastAsia="Times New Roman"/>
                <w:b/>
                <w:bCs/>
                <w:color w:val="000000"/>
                <w:sz w:val="16"/>
                <w:szCs w:val="16"/>
                <w:lang w:val="en-GB" w:eastAsia="en-GB"/>
              </w:rPr>
              <w:t>Log K, literature values</w:t>
            </w:r>
          </w:p>
        </w:tc>
        <w:tc>
          <w:tcPr>
            <w:tcW w:w="982" w:type="dxa"/>
            <w:tcBorders>
              <w:top w:val="nil"/>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b/>
                <w:bCs/>
                <w:color w:val="000000"/>
                <w:sz w:val="16"/>
                <w:szCs w:val="16"/>
                <w:lang w:val="en-GB" w:eastAsia="en-GB"/>
              </w:rPr>
            </w:pPr>
            <w:r w:rsidRPr="00770664">
              <w:rPr>
                <w:rFonts w:eastAsia="Times New Roman"/>
                <w:b/>
                <w:bCs/>
                <w:color w:val="000000"/>
                <w:sz w:val="16"/>
                <w:szCs w:val="16"/>
                <w:lang w:val="en-GB" w:eastAsia="en-GB"/>
              </w:rPr>
              <w:t>Log K, UV values [a]</w:t>
            </w:r>
          </w:p>
        </w:tc>
        <w:tc>
          <w:tcPr>
            <w:tcW w:w="1242" w:type="dxa"/>
            <w:tcBorders>
              <w:top w:val="nil"/>
              <w:left w:val="nil"/>
              <w:bottom w:val="single" w:sz="8" w:space="0" w:color="auto"/>
              <w:right w:val="nil"/>
            </w:tcBorders>
            <w:shd w:val="clear" w:color="auto" w:fill="auto"/>
            <w:vAlign w:val="center"/>
            <w:hideMark/>
          </w:tcPr>
          <w:p w:rsidR="00837550" w:rsidRPr="00770664" w:rsidRDefault="005D76D5" w:rsidP="002A436C">
            <w:pPr>
              <w:jc w:val="both"/>
              <w:rPr>
                <w:rFonts w:eastAsia="Times New Roman"/>
                <w:b/>
                <w:bCs/>
                <w:color w:val="000000"/>
                <w:sz w:val="16"/>
                <w:szCs w:val="16"/>
                <w:lang w:val="en-GB" w:eastAsia="en-GB"/>
              </w:rPr>
            </w:pPr>
            <w:r>
              <w:rPr>
                <w:rFonts w:eastAsia="Times New Roman"/>
                <w:b/>
                <w:bCs/>
                <w:color w:val="000000"/>
                <w:sz w:val="16"/>
                <w:szCs w:val="16"/>
                <w:lang w:val="en-GB" w:eastAsia="en-GB"/>
              </w:rPr>
              <w:t>f</w:t>
            </w:r>
            <w:r w:rsidR="00837550" w:rsidRPr="00770664">
              <w:rPr>
                <w:rFonts w:eastAsia="Times New Roman"/>
                <w:b/>
                <w:bCs/>
                <w:color w:val="000000"/>
                <w:sz w:val="16"/>
                <w:szCs w:val="16"/>
                <w:vertAlign w:val="subscript"/>
                <w:lang w:val="en-GB" w:eastAsia="en-GB"/>
              </w:rPr>
              <w:t>eq</w:t>
            </w:r>
            <w:r w:rsidR="00837550" w:rsidRPr="00770664">
              <w:rPr>
                <w:rFonts w:eastAsia="Times New Roman"/>
                <w:b/>
                <w:bCs/>
                <w:color w:val="000000"/>
                <w:sz w:val="16"/>
                <w:szCs w:val="16"/>
                <w:lang w:val="en-GB" w:eastAsia="en-GB"/>
              </w:rPr>
              <w:t xml:space="preserve"> ± sd (pN)</w:t>
            </w:r>
          </w:p>
        </w:tc>
        <w:tc>
          <w:tcPr>
            <w:tcW w:w="794" w:type="dxa"/>
            <w:tcBorders>
              <w:top w:val="nil"/>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b/>
                <w:bCs/>
                <w:color w:val="000000"/>
                <w:sz w:val="16"/>
                <w:szCs w:val="16"/>
                <w:lang w:val="en-GB" w:eastAsia="en-GB"/>
              </w:rPr>
            </w:pPr>
            <w:r w:rsidRPr="00770664">
              <w:rPr>
                <w:rFonts w:eastAsia="Times New Roman"/>
                <w:b/>
                <w:bCs/>
                <w:color w:val="000000"/>
                <w:sz w:val="16"/>
                <w:szCs w:val="16"/>
                <w:lang w:val="en-GB" w:eastAsia="en-GB"/>
              </w:rPr>
              <w:t>k</w:t>
            </w:r>
            <w:r w:rsidRPr="00770664">
              <w:rPr>
                <w:rFonts w:eastAsia="Times New Roman"/>
                <w:b/>
                <w:bCs/>
                <w:color w:val="000000"/>
                <w:sz w:val="16"/>
                <w:szCs w:val="16"/>
                <w:vertAlign w:val="subscript"/>
                <w:lang w:val="en-GB" w:eastAsia="en-GB"/>
              </w:rPr>
              <w:t>c</w:t>
            </w:r>
            <w:r w:rsidRPr="00770664">
              <w:rPr>
                <w:rFonts w:eastAsia="Times New Roman"/>
                <w:b/>
                <w:bCs/>
                <w:color w:val="000000"/>
                <w:sz w:val="16"/>
                <w:szCs w:val="16"/>
                <w:lang w:val="en-GB" w:eastAsia="en-GB"/>
              </w:rPr>
              <w:t xml:space="preserve"> (pN/nm)</w:t>
            </w:r>
          </w:p>
        </w:tc>
        <w:tc>
          <w:tcPr>
            <w:tcW w:w="1332" w:type="dxa"/>
            <w:tcBorders>
              <w:top w:val="nil"/>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b/>
                <w:bCs/>
                <w:color w:val="000000"/>
                <w:sz w:val="16"/>
                <w:szCs w:val="16"/>
                <w:lang w:val="en-GB" w:eastAsia="en-GB"/>
              </w:rPr>
            </w:pPr>
            <w:r w:rsidRPr="00770664">
              <w:rPr>
                <w:rFonts w:eastAsia="Times New Roman"/>
                <w:b/>
                <w:bCs/>
                <w:color w:val="000000"/>
                <w:sz w:val="16"/>
                <w:szCs w:val="16"/>
                <w:lang w:val="en-GB" w:eastAsia="en-GB"/>
              </w:rPr>
              <w:t>ΔG</w:t>
            </w:r>
            <w:r w:rsidR="005D76D5" w:rsidRPr="005946AD">
              <w:rPr>
                <w:rFonts w:eastAsia="Times New Roman"/>
                <w:b/>
                <w:bCs/>
                <w:color w:val="000000"/>
                <w:sz w:val="16"/>
                <w:szCs w:val="16"/>
                <w:vertAlign w:val="subscript"/>
                <w:lang w:val="en-GB" w:eastAsia="en-GB"/>
              </w:rPr>
              <w:t>sl</w:t>
            </w:r>
            <w:r w:rsidR="005D76D5">
              <w:rPr>
                <w:rFonts w:eastAsia="Times New Roman"/>
                <w:b/>
                <w:bCs/>
                <w:color w:val="000000"/>
                <w:sz w:val="16"/>
                <w:szCs w:val="16"/>
                <w:lang w:val="en-GB" w:eastAsia="en-GB"/>
              </w:rPr>
              <w:t xml:space="preserve"> </w:t>
            </w:r>
            <w:r w:rsidRPr="00770664">
              <w:rPr>
                <w:rFonts w:eastAsia="Times New Roman"/>
                <w:b/>
                <w:bCs/>
                <w:color w:val="000000"/>
                <w:sz w:val="16"/>
                <w:szCs w:val="16"/>
                <w:lang w:val="en-GB" w:eastAsia="en-GB"/>
              </w:rPr>
              <w:t>± sd (kJ/mol)</w:t>
            </w:r>
          </w:p>
        </w:tc>
      </w:tr>
      <w:tr w:rsidR="00837550" w:rsidRPr="00770664" w:rsidTr="00837550">
        <w:trPr>
          <w:trHeight w:val="320"/>
        </w:trPr>
        <w:tc>
          <w:tcPr>
            <w:tcW w:w="900" w:type="dxa"/>
            <w:vMerge w:val="restart"/>
            <w:tcBorders>
              <w:top w:val="nil"/>
              <w:left w:val="nil"/>
              <w:bottom w:val="single" w:sz="8" w:space="0" w:color="000000"/>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1</w:t>
            </w:r>
          </w:p>
        </w:tc>
        <w:tc>
          <w:tcPr>
            <w:tcW w:w="804"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α-CD</w:t>
            </w:r>
          </w:p>
        </w:tc>
        <w:tc>
          <w:tcPr>
            <w:tcW w:w="1338"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w:t>
            </w:r>
          </w:p>
        </w:tc>
        <w:tc>
          <w:tcPr>
            <w:tcW w:w="982"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Pr>
                <w:rFonts w:eastAsia="Times New Roman"/>
                <w:color w:val="000000"/>
                <w:sz w:val="16"/>
                <w:szCs w:val="16"/>
              </w:rPr>
              <w:t>1.4</w:t>
            </w:r>
          </w:p>
        </w:tc>
        <w:tc>
          <w:tcPr>
            <w:tcW w:w="1242"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98 ± 8</w:t>
            </w:r>
          </w:p>
        </w:tc>
        <w:tc>
          <w:tcPr>
            <w:tcW w:w="794"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Pr>
                <w:rFonts w:eastAsia="Times New Roman"/>
                <w:color w:val="000000"/>
                <w:sz w:val="16"/>
                <w:szCs w:val="16"/>
                <w:lang w:val="en-GB" w:eastAsia="en-GB"/>
              </w:rPr>
              <w:t>25</w:t>
            </w:r>
          </w:p>
        </w:tc>
        <w:tc>
          <w:tcPr>
            <w:tcW w:w="1332"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159 ± 17</w:t>
            </w:r>
          </w:p>
        </w:tc>
      </w:tr>
      <w:tr w:rsidR="00837550" w:rsidRPr="00770664" w:rsidTr="00837550">
        <w:trPr>
          <w:trHeight w:val="340"/>
        </w:trPr>
        <w:tc>
          <w:tcPr>
            <w:tcW w:w="900" w:type="dxa"/>
            <w:vMerge/>
            <w:tcBorders>
              <w:top w:val="nil"/>
              <w:left w:val="nil"/>
              <w:bottom w:val="single" w:sz="8" w:space="0" w:color="000000"/>
              <w:right w:val="nil"/>
            </w:tcBorders>
            <w:vAlign w:val="center"/>
            <w:hideMark/>
          </w:tcPr>
          <w:p w:rsidR="00837550" w:rsidRPr="00770664" w:rsidRDefault="00837550" w:rsidP="002A436C">
            <w:pPr>
              <w:jc w:val="both"/>
              <w:rPr>
                <w:rFonts w:eastAsia="Times New Roman"/>
                <w:color w:val="000000"/>
                <w:sz w:val="16"/>
                <w:szCs w:val="16"/>
                <w:lang w:val="en-GB" w:eastAsia="en-GB"/>
              </w:rPr>
            </w:pPr>
          </w:p>
        </w:tc>
        <w:tc>
          <w:tcPr>
            <w:tcW w:w="804" w:type="dxa"/>
            <w:tcBorders>
              <w:top w:val="nil"/>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β-CD</w:t>
            </w:r>
          </w:p>
        </w:tc>
        <w:tc>
          <w:tcPr>
            <w:tcW w:w="1338" w:type="dxa"/>
            <w:tcBorders>
              <w:top w:val="nil"/>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w:t>
            </w:r>
          </w:p>
        </w:tc>
        <w:tc>
          <w:tcPr>
            <w:tcW w:w="982" w:type="dxa"/>
            <w:tcBorders>
              <w:top w:val="nil"/>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Pr>
                <w:rFonts w:eastAsia="Times New Roman"/>
                <w:color w:val="000000"/>
                <w:sz w:val="16"/>
                <w:szCs w:val="16"/>
              </w:rPr>
              <w:t>2.81</w:t>
            </w:r>
          </w:p>
        </w:tc>
        <w:tc>
          <w:tcPr>
            <w:tcW w:w="1242" w:type="dxa"/>
            <w:tcBorders>
              <w:top w:val="nil"/>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 xml:space="preserve">86 ± </w:t>
            </w:r>
            <w:r w:rsidR="00447805">
              <w:rPr>
                <w:rFonts w:eastAsia="Times New Roman"/>
                <w:color w:val="000000"/>
                <w:sz w:val="16"/>
                <w:szCs w:val="16"/>
                <w:lang w:val="en-GB" w:eastAsia="en-GB"/>
              </w:rPr>
              <w:t>12</w:t>
            </w:r>
          </w:p>
        </w:tc>
        <w:tc>
          <w:tcPr>
            <w:tcW w:w="794" w:type="dxa"/>
            <w:tcBorders>
              <w:top w:val="nil"/>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 </w:t>
            </w:r>
            <w:r>
              <w:rPr>
                <w:rFonts w:eastAsia="Times New Roman"/>
                <w:color w:val="000000"/>
                <w:sz w:val="16"/>
                <w:szCs w:val="16"/>
                <w:lang w:val="en-GB" w:eastAsia="en-GB"/>
              </w:rPr>
              <w:t>22</w:t>
            </w:r>
          </w:p>
        </w:tc>
        <w:tc>
          <w:tcPr>
            <w:tcW w:w="1332" w:type="dxa"/>
            <w:tcBorders>
              <w:top w:val="nil"/>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134 ± 26</w:t>
            </w:r>
          </w:p>
        </w:tc>
      </w:tr>
      <w:tr w:rsidR="00837550" w:rsidRPr="00770664" w:rsidTr="00837550">
        <w:trPr>
          <w:trHeight w:val="320"/>
        </w:trPr>
        <w:tc>
          <w:tcPr>
            <w:tcW w:w="900" w:type="dxa"/>
            <w:vMerge w:val="restart"/>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2</w:t>
            </w:r>
          </w:p>
        </w:tc>
        <w:tc>
          <w:tcPr>
            <w:tcW w:w="804"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α-CD</w:t>
            </w:r>
          </w:p>
        </w:tc>
        <w:tc>
          <w:tcPr>
            <w:tcW w:w="1338"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Pr>
                <w:rFonts w:eastAsia="Times New Roman"/>
                <w:color w:val="000000"/>
                <w:sz w:val="16"/>
                <w:szCs w:val="16"/>
                <w:lang w:val="en-GB" w:eastAsia="en-GB"/>
              </w:rPr>
              <w:t>1.41 [23</w:t>
            </w:r>
            <w:r w:rsidRPr="00770664">
              <w:rPr>
                <w:rFonts w:eastAsia="Times New Roman"/>
                <w:color w:val="000000"/>
                <w:sz w:val="16"/>
                <w:szCs w:val="16"/>
                <w:lang w:val="en-GB" w:eastAsia="en-GB"/>
              </w:rPr>
              <w:t>]</w:t>
            </w:r>
          </w:p>
        </w:tc>
        <w:tc>
          <w:tcPr>
            <w:tcW w:w="982"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Pr>
                <w:rFonts w:eastAsia="Times New Roman"/>
                <w:color w:val="000000"/>
                <w:sz w:val="16"/>
                <w:szCs w:val="16"/>
              </w:rPr>
              <w:t>1.47</w:t>
            </w:r>
          </w:p>
        </w:tc>
        <w:tc>
          <w:tcPr>
            <w:tcW w:w="1242"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76 ± 6</w:t>
            </w:r>
          </w:p>
        </w:tc>
        <w:tc>
          <w:tcPr>
            <w:tcW w:w="794"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 </w:t>
            </w:r>
            <w:r>
              <w:rPr>
                <w:rFonts w:eastAsia="Times New Roman"/>
                <w:color w:val="000000"/>
                <w:sz w:val="16"/>
                <w:szCs w:val="16"/>
                <w:lang w:val="en-GB" w:eastAsia="en-GB"/>
              </w:rPr>
              <w:t>25</w:t>
            </w:r>
          </w:p>
        </w:tc>
        <w:tc>
          <w:tcPr>
            <w:tcW w:w="1332"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95 ± 13</w:t>
            </w:r>
          </w:p>
        </w:tc>
      </w:tr>
      <w:tr w:rsidR="00837550" w:rsidRPr="00770664" w:rsidTr="00837550">
        <w:trPr>
          <w:trHeight w:val="340"/>
        </w:trPr>
        <w:tc>
          <w:tcPr>
            <w:tcW w:w="900" w:type="dxa"/>
            <w:vMerge/>
            <w:tcBorders>
              <w:top w:val="nil"/>
              <w:left w:val="nil"/>
              <w:bottom w:val="nil"/>
              <w:right w:val="nil"/>
            </w:tcBorders>
            <w:vAlign w:val="center"/>
            <w:hideMark/>
          </w:tcPr>
          <w:p w:rsidR="00837550" w:rsidRPr="00770664" w:rsidRDefault="00837550" w:rsidP="002A436C">
            <w:pPr>
              <w:jc w:val="both"/>
              <w:rPr>
                <w:rFonts w:eastAsia="Times New Roman"/>
                <w:color w:val="000000"/>
                <w:sz w:val="16"/>
                <w:szCs w:val="16"/>
                <w:lang w:val="en-GB" w:eastAsia="en-GB"/>
              </w:rPr>
            </w:pPr>
          </w:p>
        </w:tc>
        <w:tc>
          <w:tcPr>
            <w:tcW w:w="804"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β-CD</w:t>
            </w:r>
          </w:p>
        </w:tc>
        <w:tc>
          <w:tcPr>
            <w:tcW w:w="1338" w:type="dxa"/>
            <w:tcBorders>
              <w:top w:val="nil"/>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Pr>
                <w:rFonts w:eastAsia="Times New Roman"/>
                <w:color w:val="000000"/>
                <w:sz w:val="16"/>
                <w:szCs w:val="16"/>
                <w:lang w:val="en-GB" w:eastAsia="en-GB"/>
              </w:rPr>
              <w:t>2.05 [23</w:t>
            </w:r>
            <w:r w:rsidRPr="00770664">
              <w:rPr>
                <w:rFonts w:eastAsia="Times New Roman"/>
                <w:color w:val="000000"/>
                <w:sz w:val="16"/>
                <w:szCs w:val="16"/>
                <w:lang w:val="en-GB" w:eastAsia="en-GB"/>
              </w:rPr>
              <w:t>]</w:t>
            </w:r>
          </w:p>
        </w:tc>
        <w:tc>
          <w:tcPr>
            <w:tcW w:w="982" w:type="dxa"/>
            <w:tcBorders>
              <w:top w:val="nil"/>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Pr>
                <w:rFonts w:eastAsia="Times New Roman"/>
                <w:color w:val="000000"/>
                <w:sz w:val="16"/>
                <w:szCs w:val="16"/>
              </w:rPr>
              <w:t>1.74</w:t>
            </w:r>
          </w:p>
        </w:tc>
        <w:tc>
          <w:tcPr>
            <w:tcW w:w="1242" w:type="dxa"/>
            <w:tcBorders>
              <w:top w:val="nil"/>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 xml:space="preserve">63 ± </w:t>
            </w:r>
            <w:r w:rsidR="00447805">
              <w:rPr>
                <w:rFonts w:eastAsia="Times New Roman"/>
                <w:color w:val="000000"/>
                <w:sz w:val="16"/>
                <w:szCs w:val="16"/>
                <w:lang w:val="en-GB" w:eastAsia="en-GB"/>
              </w:rPr>
              <w:t>6</w:t>
            </w:r>
          </w:p>
        </w:tc>
        <w:tc>
          <w:tcPr>
            <w:tcW w:w="794" w:type="dxa"/>
            <w:tcBorders>
              <w:top w:val="nil"/>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 </w:t>
            </w:r>
            <w:r>
              <w:rPr>
                <w:rFonts w:eastAsia="Times New Roman"/>
                <w:color w:val="000000"/>
                <w:sz w:val="16"/>
                <w:szCs w:val="16"/>
                <w:lang w:val="en-GB" w:eastAsia="en-GB"/>
              </w:rPr>
              <w:t>22</w:t>
            </w:r>
          </w:p>
        </w:tc>
        <w:tc>
          <w:tcPr>
            <w:tcW w:w="1332" w:type="dxa"/>
            <w:tcBorders>
              <w:top w:val="nil"/>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72 ± 14</w:t>
            </w:r>
          </w:p>
        </w:tc>
      </w:tr>
      <w:tr w:rsidR="00837550" w:rsidRPr="00770664" w:rsidTr="00837550">
        <w:trPr>
          <w:trHeight w:val="320"/>
        </w:trPr>
        <w:tc>
          <w:tcPr>
            <w:tcW w:w="900" w:type="dxa"/>
            <w:vMerge w:val="restart"/>
            <w:tcBorders>
              <w:top w:val="single" w:sz="8" w:space="0" w:color="auto"/>
              <w:left w:val="nil"/>
              <w:bottom w:val="single" w:sz="8" w:space="0" w:color="000000"/>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3</w:t>
            </w:r>
          </w:p>
        </w:tc>
        <w:tc>
          <w:tcPr>
            <w:tcW w:w="804" w:type="dxa"/>
            <w:tcBorders>
              <w:top w:val="single" w:sz="8" w:space="0" w:color="auto"/>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α-CD</w:t>
            </w:r>
          </w:p>
        </w:tc>
        <w:tc>
          <w:tcPr>
            <w:tcW w:w="1338"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Pr>
                <w:rFonts w:eastAsia="Times New Roman"/>
                <w:color w:val="000000"/>
                <w:sz w:val="16"/>
                <w:szCs w:val="16"/>
                <w:lang w:val="en-GB" w:eastAsia="en-GB"/>
              </w:rPr>
              <w:t>2.51 - 4.43 [24</w:t>
            </w:r>
            <w:r w:rsidRPr="00770664">
              <w:rPr>
                <w:rFonts w:eastAsia="Times New Roman"/>
                <w:color w:val="000000"/>
                <w:sz w:val="16"/>
                <w:szCs w:val="16"/>
                <w:lang w:val="en-GB" w:eastAsia="en-GB"/>
              </w:rPr>
              <w:t>]</w:t>
            </w:r>
          </w:p>
        </w:tc>
        <w:tc>
          <w:tcPr>
            <w:tcW w:w="982"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w:t>
            </w:r>
          </w:p>
        </w:tc>
        <w:tc>
          <w:tcPr>
            <w:tcW w:w="1242"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Pr>
                <w:rFonts w:eastAsia="Times New Roman"/>
                <w:color w:val="000000"/>
                <w:sz w:val="16"/>
                <w:szCs w:val="16"/>
                <w:lang w:val="en-GB" w:eastAsia="en-GB"/>
              </w:rPr>
              <w:t xml:space="preserve">29 </w:t>
            </w:r>
            <w:r w:rsidRPr="00770664">
              <w:rPr>
                <w:rFonts w:eastAsia="Times New Roman"/>
                <w:color w:val="000000"/>
                <w:sz w:val="16"/>
                <w:szCs w:val="16"/>
                <w:lang w:val="en-GB" w:eastAsia="en-GB"/>
              </w:rPr>
              <w:t>±</w:t>
            </w:r>
            <w:r>
              <w:rPr>
                <w:rFonts w:eastAsia="Times New Roman"/>
                <w:color w:val="000000"/>
                <w:sz w:val="16"/>
                <w:szCs w:val="16"/>
                <w:lang w:val="en-GB" w:eastAsia="en-GB"/>
              </w:rPr>
              <w:t xml:space="preserve"> 4 ; </w:t>
            </w:r>
            <w:r w:rsidRPr="00770664">
              <w:rPr>
                <w:rFonts w:eastAsia="Times New Roman"/>
                <w:color w:val="000000"/>
                <w:sz w:val="16"/>
                <w:szCs w:val="16"/>
                <w:lang w:val="en-GB" w:eastAsia="en-GB"/>
              </w:rPr>
              <w:t>37 ± 3</w:t>
            </w:r>
          </w:p>
        </w:tc>
        <w:tc>
          <w:tcPr>
            <w:tcW w:w="794"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 </w:t>
            </w:r>
            <w:r>
              <w:rPr>
                <w:rFonts w:eastAsia="Times New Roman"/>
                <w:color w:val="000000"/>
                <w:sz w:val="16"/>
                <w:szCs w:val="16"/>
                <w:lang w:val="en-GB" w:eastAsia="en-GB"/>
              </w:rPr>
              <w:t>14 ; 25</w:t>
            </w:r>
          </w:p>
        </w:tc>
        <w:tc>
          <w:tcPr>
            <w:tcW w:w="1332"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Pr>
                <w:rFonts w:eastAsia="Times New Roman"/>
                <w:color w:val="000000"/>
                <w:sz w:val="16"/>
                <w:szCs w:val="16"/>
                <w:lang w:val="en-GB" w:eastAsia="en-GB"/>
              </w:rPr>
              <w:t>22</w:t>
            </w:r>
            <w:r w:rsidRPr="00770664">
              <w:rPr>
                <w:rFonts w:eastAsia="Times New Roman"/>
                <w:color w:val="000000"/>
                <w:sz w:val="16"/>
                <w:szCs w:val="16"/>
                <w:lang w:val="en-GB" w:eastAsia="en-GB"/>
              </w:rPr>
              <w:t xml:space="preserve"> ± </w:t>
            </w:r>
            <w:r>
              <w:rPr>
                <w:rFonts w:eastAsia="Times New Roman"/>
                <w:color w:val="000000"/>
                <w:sz w:val="16"/>
                <w:szCs w:val="16"/>
                <w:lang w:val="en-GB" w:eastAsia="en-GB"/>
              </w:rPr>
              <w:t xml:space="preserve">4 ; </w:t>
            </w:r>
            <w:r w:rsidRPr="00770664">
              <w:rPr>
                <w:rFonts w:eastAsia="Times New Roman"/>
                <w:color w:val="000000"/>
                <w:sz w:val="16"/>
                <w:szCs w:val="16"/>
                <w:lang w:val="en-GB" w:eastAsia="en-GB"/>
              </w:rPr>
              <w:t>23 ± 4</w:t>
            </w:r>
          </w:p>
        </w:tc>
      </w:tr>
      <w:tr w:rsidR="00837550" w:rsidRPr="00770664" w:rsidTr="00837550">
        <w:trPr>
          <w:trHeight w:val="340"/>
        </w:trPr>
        <w:tc>
          <w:tcPr>
            <w:tcW w:w="900" w:type="dxa"/>
            <w:vMerge/>
            <w:tcBorders>
              <w:top w:val="single" w:sz="8" w:space="0" w:color="auto"/>
              <w:left w:val="nil"/>
              <w:bottom w:val="single" w:sz="8" w:space="0" w:color="000000"/>
              <w:right w:val="nil"/>
            </w:tcBorders>
            <w:vAlign w:val="center"/>
            <w:hideMark/>
          </w:tcPr>
          <w:p w:rsidR="00837550" w:rsidRPr="00770664" w:rsidRDefault="00837550" w:rsidP="002A436C">
            <w:pPr>
              <w:jc w:val="both"/>
              <w:rPr>
                <w:rFonts w:eastAsia="Times New Roman"/>
                <w:color w:val="000000"/>
                <w:sz w:val="16"/>
                <w:szCs w:val="16"/>
                <w:lang w:val="en-GB" w:eastAsia="en-GB"/>
              </w:rPr>
            </w:pPr>
          </w:p>
        </w:tc>
        <w:tc>
          <w:tcPr>
            <w:tcW w:w="804"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β-CD</w:t>
            </w:r>
          </w:p>
        </w:tc>
        <w:tc>
          <w:tcPr>
            <w:tcW w:w="1338"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Pr>
                <w:rFonts w:eastAsia="Times New Roman"/>
                <w:color w:val="000000"/>
                <w:sz w:val="16"/>
                <w:szCs w:val="16"/>
                <w:lang w:val="en-GB" w:eastAsia="en-GB"/>
              </w:rPr>
              <w:t>3.03 - 3.17 [24</w:t>
            </w:r>
            <w:r w:rsidRPr="00770664">
              <w:rPr>
                <w:rFonts w:eastAsia="Times New Roman"/>
                <w:color w:val="000000"/>
                <w:sz w:val="16"/>
                <w:szCs w:val="16"/>
                <w:lang w:val="en-GB" w:eastAsia="en-GB"/>
              </w:rPr>
              <w:t>]</w:t>
            </w:r>
          </w:p>
        </w:tc>
        <w:tc>
          <w:tcPr>
            <w:tcW w:w="982"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w:t>
            </w:r>
          </w:p>
        </w:tc>
        <w:tc>
          <w:tcPr>
            <w:tcW w:w="1242"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34 ± 5</w:t>
            </w:r>
          </w:p>
        </w:tc>
        <w:tc>
          <w:tcPr>
            <w:tcW w:w="794"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Pr>
                <w:rFonts w:eastAsia="Times New Roman"/>
                <w:color w:val="000000"/>
                <w:sz w:val="16"/>
                <w:szCs w:val="16"/>
                <w:lang w:val="en-GB" w:eastAsia="en-GB"/>
              </w:rPr>
              <w:t>22</w:t>
            </w:r>
          </w:p>
        </w:tc>
        <w:tc>
          <w:tcPr>
            <w:tcW w:w="1332"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21 ± 6</w:t>
            </w:r>
          </w:p>
        </w:tc>
      </w:tr>
      <w:tr w:rsidR="00837550" w:rsidRPr="00770664" w:rsidTr="00837550">
        <w:trPr>
          <w:trHeight w:val="300"/>
        </w:trPr>
        <w:tc>
          <w:tcPr>
            <w:tcW w:w="900" w:type="dxa"/>
            <w:tcBorders>
              <w:top w:val="nil"/>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Pr>
                <w:rFonts w:eastAsia="Times New Roman"/>
                <w:color w:val="000000"/>
                <w:sz w:val="16"/>
                <w:szCs w:val="16"/>
                <w:lang w:val="en-GB" w:eastAsia="en-GB"/>
              </w:rPr>
              <w:t>4 [b</w:t>
            </w:r>
            <w:r w:rsidRPr="00770664">
              <w:rPr>
                <w:rFonts w:eastAsia="Times New Roman"/>
                <w:color w:val="000000"/>
                <w:sz w:val="16"/>
                <w:szCs w:val="16"/>
                <w:lang w:val="en-GB" w:eastAsia="en-GB"/>
              </w:rPr>
              <w:t>]</w:t>
            </w:r>
          </w:p>
        </w:tc>
        <w:tc>
          <w:tcPr>
            <w:tcW w:w="804" w:type="dxa"/>
            <w:tcBorders>
              <w:top w:val="single" w:sz="8" w:space="0" w:color="auto"/>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α-CD</w:t>
            </w:r>
          </w:p>
        </w:tc>
        <w:tc>
          <w:tcPr>
            <w:tcW w:w="1338" w:type="dxa"/>
            <w:tcBorders>
              <w:top w:val="single" w:sz="8" w:space="0" w:color="auto"/>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Pr>
                <w:rFonts w:eastAsia="Times New Roman"/>
                <w:color w:val="000000"/>
                <w:sz w:val="16"/>
                <w:szCs w:val="16"/>
                <w:lang w:val="en-GB" w:eastAsia="en-GB"/>
              </w:rPr>
              <w:t>1.56 [25</w:t>
            </w:r>
            <w:r w:rsidRPr="00770664">
              <w:rPr>
                <w:rFonts w:eastAsia="Times New Roman"/>
                <w:color w:val="000000"/>
                <w:sz w:val="16"/>
                <w:szCs w:val="16"/>
                <w:lang w:val="en-GB" w:eastAsia="en-GB"/>
              </w:rPr>
              <w:t>]</w:t>
            </w:r>
          </w:p>
        </w:tc>
        <w:tc>
          <w:tcPr>
            <w:tcW w:w="982" w:type="dxa"/>
            <w:tcBorders>
              <w:top w:val="single" w:sz="8" w:space="0" w:color="auto"/>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w:t>
            </w:r>
          </w:p>
        </w:tc>
        <w:tc>
          <w:tcPr>
            <w:tcW w:w="1242" w:type="dxa"/>
            <w:tcBorders>
              <w:top w:val="single" w:sz="8" w:space="0" w:color="auto"/>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45 ± 5</w:t>
            </w:r>
          </w:p>
        </w:tc>
        <w:tc>
          <w:tcPr>
            <w:tcW w:w="794" w:type="dxa"/>
            <w:tcBorders>
              <w:top w:val="single" w:sz="8" w:space="0" w:color="auto"/>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 </w:t>
            </w:r>
            <w:r>
              <w:rPr>
                <w:rFonts w:eastAsia="Times New Roman"/>
                <w:color w:val="000000"/>
                <w:sz w:val="16"/>
                <w:szCs w:val="16"/>
                <w:lang w:val="en-GB" w:eastAsia="en-GB"/>
              </w:rPr>
              <w:t>14</w:t>
            </w:r>
          </w:p>
        </w:tc>
        <w:tc>
          <w:tcPr>
            <w:tcW w:w="1332" w:type="dxa"/>
            <w:tcBorders>
              <w:top w:val="single" w:sz="8" w:space="0" w:color="auto"/>
              <w:left w:val="nil"/>
              <w:bottom w:val="nil"/>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54 ± 12</w:t>
            </w:r>
          </w:p>
        </w:tc>
      </w:tr>
      <w:tr w:rsidR="00837550" w:rsidRPr="00770664" w:rsidTr="00837550">
        <w:trPr>
          <w:trHeight w:val="300"/>
        </w:trPr>
        <w:tc>
          <w:tcPr>
            <w:tcW w:w="900" w:type="dxa"/>
            <w:tcBorders>
              <w:top w:val="single" w:sz="8" w:space="0" w:color="auto"/>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Pr>
                <w:rFonts w:eastAsia="Times New Roman"/>
                <w:color w:val="000000"/>
                <w:sz w:val="16"/>
                <w:szCs w:val="16"/>
                <w:lang w:val="en-GB" w:eastAsia="en-GB"/>
              </w:rPr>
              <w:t>5 [b</w:t>
            </w:r>
            <w:r w:rsidRPr="00770664">
              <w:rPr>
                <w:rFonts w:eastAsia="Times New Roman"/>
                <w:color w:val="000000"/>
                <w:sz w:val="16"/>
                <w:szCs w:val="16"/>
                <w:lang w:val="en-GB" w:eastAsia="en-GB"/>
              </w:rPr>
              <w:t>]</w:t>
            </w:r>
          </w:p>
        </w:tc>
        <w:tc>
          <w:tcPr>
            <w:tcW w:w="804" w:type="dxa"/>
            <w:tcBorders>
              <w:top w:val="single" w:sz="8" w:space="0" w:color="auto"/>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α-CD</w:t>
            </w:r>
          </w:p>
        </w:tc>
        <w:tc>
          <w:tcPr>
            <w:tcW w:w="1338" w:type="dxa"/>
            <w:tcBorders>
              <w:top w:val="single" w:sz="8" w:space="0" w:color="auto"/>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Pr>
                <w:rFonts w:eastAsia="Times New Roman"/>
                <w:color w:val="000000"/>
                <w:sz w:val="16"/>
                <w:szCs w:val="16"/>
                <w:lang w:val="en-GB" w:eastAsia="en-GB"/>
              </w:rPr>
              <w:t>1.56 [25</w:t>
            </w:r>
            <w:r w:rsidRPr="00770664">
              <w:rPr>
                <w:rFonts w:eastAsia="Times New Roman"/>
                <w:color w:val="000000"/>
                <w:sz w:val="16"/>
                <w:szCs w:val="16"/>
                <w:lang w:val="en-GB" w:eastAsia="en-GB"/>
              </w:rPr>
              <w:t>]</w:t>
            </w:r>
          </w:p>
        </w:tc>
        <w:tc>
          <w:tcPr>
            <w:tcW w:w="982" w:type="dxa"/>
            <w:tcBorders>
              <w:top w:val="single" w:sz="8" w:space="0" w:color="auto"/>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w:t>
            </w:r>
          </w:p>
        </w:tc>
        <w:tc>
          <w:tcPr>
            <w:tcW w:w="1242" w:type="dxa"/>
            <w:tcBorders>
              <w:top w:val="single" w:sz="8" w:space="0" w:color="auto"/>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46 ± 7</w:t>
            </w:r>
          </w:p>
        </w:tc>
        <w:tc>
          <w:tcPr>
            <w:tcW w:w="794" w:type="dxa"/>
            <w:tcBorders>
              <w:top w:val="single" w:sz="8" w:space="0" w:color="auto"/>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sidRPr="00770664">
              <w:rPr>
                <w:rFonts w:eastAsia="Times New Roman"/>
                <w:color w:val="000000"/>
                <w:sz w:val="16"/>
                <w:szCs w:val="16"/>
                <w:lang w:val="en-GB" w:eastAsia="en-GB"/>
              </w:rPr>
              <w:t> </w:t>
            </w:r>
            <w:r>
              <w:rPr>
                <w:rFonts w:eastAsia="Times New Roman"/>
                <w:color w:val="000000"/>
                <w:sz w:val="16"/>
                <w:szCs w:val="16"/>
                <w:lang w:val="en-GB" w:eastAsia="en-GB"/>
              </w:rPr>
              <w:t>16</w:t>
            </w:r>
          </w:p>
        </w:tc>
        <w:tc>
          <w:tcPr>
            <w:tcW w:w="1332" w:type="dxa"/>
            <w:tcBorders>
              <w:top w:val="single" w:sz="8" w:space="0" w:color="auto"/>
              <w:left w:val="nil"/>
              <w:bottom w:val="single" w:sz="8" w:space="0" w:color="auto"/>
              <w:right w:val="nil"/>
            </w:tcBorders>
            <w:shd w:val="clear" w:color="auto" w:fill="auto"/>
            <w:vAlign w:val="center"/>
            <w:hideMark/>
          </w:tcPr>
          <w:p w:rsidR="00837550" w:rsidRPr="00770664" w:rsidRDefault="00837550" w:rsidP="002A436C">
            <w:pPr>
              <w:jc w:val="both"/>
              <w:rPr>
                <w:rFonts w:eastAsia="Times New Roman"/>
                <w:color w:val="000000"/>
                <w:sz w:val="16"/>
                <w:szCs w:val="16"/>
                <w:lang w:val="en-GB" w:eastAsia="en-GB"/>
              </w:rPr>
            </w:pPr>
            <w:r>
              <w:rPr>
                <w:rFonts w:eastAsia="Times New Roman"/>
                <w:color w:val="000000"/>
                <w:sz w:val="16"/>
                <w:szCs w:val="16"/>
                <w:lang w:val="en-GB" w:eastAsia="en-GB"/>
              </w:rPr>
              <w:t>50</w:t>
            </w:r>
            <w:r w:rsidRPr="00770664">
              <w:rPr>
                <w:rFonts w:eastAsia="Times New Roman"/>
                <w:color w:val="000000"/>
                <w:sz w:val="16"/>
                <w:szCs w:val="16"/>
                <w:lang w:val="en-GB" w:eastAsia="en-GB"/>
              </w:rPr>
              <w:t xml:space="preserve"> ± 15</w:t>
            </w:r>
          </w:p>
        </w:tc>
      </w:tr>
    </w:tbl>
    <w:p w:rsidR="008363CC" w:rsidRPr="00AC2EDA" w:rsidRDefault="008363CC" w:rsidP="002A436C">
      <w:pPr>
        <w:pStyle w:val="Head1"/>
        <w:jc w:val="both"/>
      </w:pPr>
      <w:r w:rsidRPr="00AC2EDA">
        <w:rPr>
          <w:vertAlign w:val="superscript"/>
        </w:rPr>
        <w:t>a)</w:t>
      </w:r>
      <w:r w:rsidRPr="00AC2EDA">
        <w:t xml:space="preserve"> </w:t>
      </w:r>
      <w:r w:rsidR="00372431" w:rsidRPr="00AC2EDA">
        <w:t xml:space="preserve">values for K were calculated from </w:t>
      </w:r>
      <w:r w:rsidR="00666826" w:rsidRPr="00AC2EDA">
        <w:t>UV measurements using the</w:t>
      </w:r>
      <w:r w:rsidR="00372431" w:rsidRPr="00AC2EDA">
        <w:t xml:space="preserve"> Benesi-Hildebrand method</w:t>
      </w:r>
      <w:r w:rsidRPr="00AC2EDA">
        <w:t xml:space="preserve">; </w:t>
      </w:r>
      <w:r w:rsidRPr="00AC2EDA">
        <w:rPr>
          <w:vertAlign w:val="superscript"/>
        </w:rPr>
        <w:t>b)</w:t>
      </w:r>
      <w:r w:rsidR="00372431" w:rsidRPr="00AC2EDA">
        <w:t xml:space="preserve"> </w:t>
      </w:r>
      <w:r w:rsidRPr="00AC2EDA">
        <w:t xml:space="preserve">For stations 4 and 5, the value of K is the mean of values for several pyranoses. </w:t>
      </w:r>
      <w:r w:rsidR="00666826" w:rsidRPr="00AC2EDA">
        <w:t>Details of method</w:t>
      </w:r>
      <w:r w:rsidR="000C1D2E" w:rsidRPr="00AC2EDA">
        <w:t xml:space="preserve"> for the calculation of log K are available in supporting information.</w:t>
      </w:r>
    </w:p>
    <w:p w:rsidR="00C12719" w:rsidRDefault="00C12719" w:rsidP="002A436C">
      <w:pPr>
        <w:pStyle w:val="Head1"/>
        <w:jc w:val="both"/>
      </w:pPr>
    </w:p>
    <w:p w:rsidR="003522F0" w:rsidRPr="00AC2EDA" w:rsidRDefault="00C52E9C" w:rsidP="002A436C">
      <w:pPr>
        <w:pStyle w:val="Head1"/>
        <w:jc w:val="both"/>
      </w:pPr>
      <w:r w:rsidRPr="005946AD">
        <w:t>Figure 3</w:t>
      </w:r>
      <w:r w:rsidR="0062716A" w:rsidRPr="00A77CBA">
        <w:t xml:space="preserve"> </w:t>
      </w:r>
      <w:r w:rsidR="0062716A" w:rsidRPr="00AC2EDA">
        <w:t>shows examples of force curves, the dynamic force spectrum and histogram of forces for each dataset</w:t>
      </w:r>
      <w:r w:rsidRPr="00AC2EDA">
        <w:t>,</w:t>
      </w:r>
      <w:r w:rsidR="0062716A" w:rsidRPr="00AC2EDA">
        <w:t xml:space="preserve"> while the values of equilibrium force </w:t>
      </w:r>
      <w:r w:rsidR="00B56848" w:rsidRPr="00AC2EDA">
        <w:rPr>
          <w:i/>
        </w:rPr>
        <w:t>f</w:t>
      </w:r>
      <w:r w:rsidR="0062716A" w:rsidRPr="00AC2EDA">
        <w:rPr>
          <w:vertAlign w:val="subscript"/>
        </w:rPr>
        <w:t xml:space="preserve">eq </w:t>
      </w:r>
      <w:r w:rsidR="0062716A" w:rsidRPr="00AC2EDA">
        <w:t xml:space="preserve">and free energy of </w:t>
      </w:r>
      <w:r w:rsidR="005D76D5" w:rsidRPr="00AC2EDA">
        <w:t>s</w:t>
      </w:r>
      <w:r w:rsidR="005D76D5">
        <w:t>lid</w:t>
      </w:r>
      <w:r w:rsidR="005D76D5" w:rsidRPr="00AC2EDA">
        <w:t xml:space="preserve">ing </w:t>
      </w:r>
      <w:r w:rsidR="0062716A" w:rsidRPr="00AC2EDA">
        <w:t>ΔG</w:t>
      </w:r>
      <w:r w:rsidR="0062716A" w:rsidRPr="00AC2EDA">
        <w:rPr>
          <w:vertAlign w:val="subscript"/>
        </w:rPr>
        <w:t>s</w:t>
      </w:r>
      <w:r w:rsidR="005D76D5">
        <w:rPr>
          <w:vertAlign w:val="subscript"/>
        </w:rPr>
        <w:t>l</w:t>
      </w:r>
      <w:r w:rsidR="004737C1" w:rsidRPr="00AC2EDA">
        <w:t xml:space="preserve"> for the interactions studied a</w:t>
      </w:r>
      <w:r w:rsidR="0062716A" w:rsidRPr="00AC2EDA">
        <w:t xml:space="preserve">re presented in Table </w:t>
      </w:r>
      <w:r w:rsidR="00E23A36" w:rsidRPr="00AC2EDA">
        <w:t>1</w:t>
      </w:r>
      <w:r w:rsidR="0062716A" w:rsidRPr="00AC2EDA">
        <w:t xml:space="preserve">. The equilibrium forces for </w:t>
      </w:r>
      <w:r w:rsidR="005D76D5">
        <w:t>slid</w:t>
      </w:r>
      <w:r w:rsidR="0062716A" w:rsidRPr="00AC2EDA">
        <w:t xml:space="preserve">ing </w:t>
      </w:r>
      <w:r w:rsidR="004737C1" w:rsidRPr="00AC2EDA">
        <w:t xml:space="preserve">over the stations ranged from </w:t>
      </w:r>
      <w:r w:rsidR="001C50A8">
        <w:t>29</w:t>
      </w:r>
      <w:r w:rsidR="004737C1" w:rsidRPr="00AC2EDA">
        <w:t xml:space="preserve"> to 98</w:t>
      </w:r>
      <w:r w:rsidR="0062716A" w:rsidRPr="00AC2EDA">
        <w:t xml:space="preserve"> pN and are always larger for the α-CD interaction than for the β-CD interaction. They occupy a comparable range to that predicted and observed for single molecule ligand-receptor unbinding events</w:t>
      </w:r>
      <w:r w:rsidRPr="00AC2EDA">
        <w:fldChar w:fldCharType="begin"/>
      </w:r>
      <w:r w:rsidR="00126622">
        <w:instrText xml:space="preserve"> ADDIN PAPERS2_CITATIONS &lt;citation&gt;&lt;uuid&gt;F4AA02CD-83B0-4991-86E7-D7266D4C488F&lt;/uuid&gt;&lt;priority&gt;0&lt;/priority&gt;&lt;publications&gt;&lt;publication&gt;&lt;uuid&gt;C5EE47E4-692F-446C-9FA7-8AEF80E4CEDD&lt;/uuid&gt;&lt;volume&gt;109&lt;/volume&gt;&lt;doi&gt;10.1073/pnas.1202946109&lt;/doi&gt;&lt;startpage&gt;13573&lt;/startpage&gt;&lt;publication_date&gt;99201208211200000000222000&lt;/publication_date&gt;&lt;url&gt;http://www.pnas.org/content/109/34/13573.long&lt;/url&gt;&lt;citekey&gt;Friddle:2012dj&lt;/citekey&gt;&lt;type&gt;400&lt;/type&gt;&lt;title&gt;Interpreting the widespread nonlinear force spectra of intermolecular bonds.&lt;/title&gt;&lt;location&gt;602,0,0,0&lt;/location&gt;&lt;institution&gt;Molecular Foundry, Lawrence Berkeley National Laboratory, Berkeley, CA 94720.&lt;/institution&gt;&lt;number&gt;34&lt;/number&gt;&lt;subtype&gt;400&lt;/subtype&gt;&lt;endpage&gt;13578&lt;/endpage&gt;&lt;bundle&gt;&lt;publication&gt;&lt;publisher&gt;National Acad Sciences&lt;/publisher&gt;&lt;title&gt;Proceedings of the National Academy of Sciences&lt;/title&gt;&lt;type&gt;-100&lt;/type&gt;&lt;subtype&gt;-100&lt;/subtype&gt;&lt;uuid&gt;29601930-E640-425A-AA83-6EE14CF024FA&lt;/uuid&gt;&lt;/publication&gt;&lt;/bundle&gt;&lt;authors&gt;&lt;author&gt;&lt;firstName&gt;Raymond&lt;/firstName&gt;&lt;middleNames&gt;W&lt;/middleNames&gt;&lt;lastName&gt;Friddle&lt;/lastName&gt;&lt;/author&gt;&lt;author&gt;&lt;firstName&gt;Aleksandr&lt;/firstName&gt;&lt;lastName&gt;Noy&lt;/lastName&gt;&lt;/author&gt;&lt;author&gt;&lt;lastName&gt;Yoreo&lt;/lastName&gt;&lt;nonDroppingParticle&gt;De&lt;/nonDroppingParticle&gt;&lt;firstName&gt;James&lt;/firstName&gt;&lt;middleNames&gt;J&lt;/middleNames&gt;&lt;/author&gt;&lt;/authors&gt;&lt;/publication&gt;&lt;/publications&gt;&lt;cites&gt;&lt;/cites&gt;&lt;/citation&gt;</w:instrText>
      </w:r>
      <w:r w:rsidRPr="00AC2EDA">
        <w:fldChar w:fldCharType="separate"/>
      </w:r>
      <w:r w:rsidR="00126622">
        <w:rPr>
          <w:rFonts w:eastAsiaTheme="minorEastAsia"/>
          <w:vertAlign w:val="superscript"/>
        </w:rPr>
        <w:t>24</w:t>
      </w:r>
      <w:r w:rsidRPr="00AC2EDA">
        <w:fldChar w:fldCharType="end"/>
      </w:r>
      <w:r w:rsidR="0062716A" w:rsidRPr="00AC2EDA">
        <w:t xml:space="preserve"> and intercalation into DNA.</w:t>
      </w:r>
      <w:r w:rsidR="00367202" w:rsidRPr="00AC2EDA">
        <w:fldChar w:fldCharType="begin"/>
      </w:r>
      <w:r w:rsidR="00126622">
        <w:instrText xml:space="preserve"> ADDIN PAPERS2_CITATIONS &lt;citation&gt;&lt;uuid&gt;50FA555F-2B9A-42C4-96AC-7DEC5EBB8AB2&lt;/uuid&gt;&lt;priority&gt;0&lt;/priority&gt;&lt;publications&gt;&lt;publication&gt;&lt;uuid&gt;FB8A5023-9BD7-458D-90AB-6691C8BC4652&lt;/uuid&gt;&lt;volume&gt;11&lt;/volume&gt;&lt;doi&gt;10.1039/c3ob42009d&lt;/doi&gt;&lt;startpage&gt;8340&lt;/startpage&gt;&lt;publication_date&gt;99201312281200000000222000&lt;/publication_date&gt;&lt;url&gt;http://eutils.ncbi.nlm.nih.gov/entrez/eutils/elink.fcgi?dbfrom=pubmed&amp;amp;id=24158749&amp;amp;retmode=ref&amp;amp;cmd=prlinks&lt;/url&gt;&lt;citekey&gt;Rackham:2013gp&lt;/citekey&gt;&lt;type&gt;400&lt;/type&gt;&lt;title&gt;Non-covalent duplex to duplex crosslinking of DNA in solution revealed by single molecule force spectroscopy.&lt;/title&gt;&lt;publisher&gt;The Royal Society of Chemistry&lt;/publisher&gt;&lt;institution&gt;School of Pharmacy, University of East Anglia, Norwich Research Park, Norwich NR4 7TJ, UK. m.searcey@uea.ac.uk a.round@uea.ac.uk.&lt;/institution&gt;&lt;number&gt;48&lt;/number&gt;&lt;subtype&gt;400&lt;/subtype&gt;&lt;endpage&gt;8347&lt;/endpage&gt;&lt;bundle&gt;&lt;publication&gt;&lt;publisher&gt;The Royal Society of Chemistry&lt;/publisher&gt;&lt;title&gt;Organic &amp;amp; Biomolecular Chemistry&lt;/title&gt;&lt;type&gt;-100&lt;/type&gt;&lt;subtype&gt;-100&lt;/subtype&gt;&lt;uuid&gt;95E34680-D218-4EEB-A31F-174220CC3F9F&lt;/uuid&gt;&lt;/publication&gt;&lt;/bundle&gt;&lt;authors&gt;&lt;author&gt;&lt;firstName&gt;Benjamin&lt;/firstName&gt;&lt;middleNames&gt;D&lt;/middleNames&gt;&lt;lastName&gt;Rackham&lt;/lastName&gt;&lt;/author&gt;&lt;author&gt;&lt;firstName&gt;Lesley&lt;/firstName&gt;&lt;middleNames&gt;A&lt;/middleNames&gt;&lt;lastName&gt;Howell&lt;/lastName&gt;&lt;/author&gt;&lt;author&gt;&lt;firstName&gt;Andrew&lt;/firstName&gt;&lt;middleNames&gt;N&lt;/middleNames&gt;&lt;lastName&gt;Round&lt;/lastName&gt;&lt;/author&gt;&lt;author&gt;&lt;firstName&gt;Mark&lt;/firstName&gt;&lt;lastName&gt;Searcey&lt;/lastName&gt;&lt;/author&gt;&lt;/authors&gt;&lt;/publication&gt;&lt;/publications&gt;&lt;cites&gt;&lt;/cites&gt;&lt;/citation&gt;</w:instrText>
      </w:r>
      <w:r w:rsidR="00367202" w:rsidRPr="00AC2EDA">
        <w:fldChar w:fldCharType="separate"/>
      </w:r>
      <w:r w:rsidR="00126622">
        <w:rPr>
          <w:rFonts w:eastAsiaTheme="minorEastAsia"/>
          <w:vertAlign w:val="superscript"/>
        </w:rPr>
        <w:t>28</w:t>
      </w:r>
      <w:r w:rsidR="00367202" w:rsidRPr="00AC2EDA">
        <w:fldChar w:fldCharType="end"/>
      </w:r>
      <w:r w:rsidR="0062716A" w:rsidRPr="00AC2EDA">
        <w:t xml:space="preserve"> Correspondingly, the energies calculated for the s</w:t>
      </w:r>
      <w:r w:rsidR="005D76D5">
        <w:t>lid</w:t>
      </w:r>
      <w:r w:rsidR="0062716A" w:rsidRPr="00AC2EDA">
        <w:t>ing interactions (ΔG</w:t>
      </w:r>
      <w:r w:rsidR="0062716A" w:rsidRPr="00AC2EDA">
        <w:rPr>
          <w:vertAlign w:val="subscript"/>
        </w:rPr>
        <w:t>s</w:t>
      </w:r>
      <w:r w:rsidR="005D76D5">
        <w:rPr>
          <w:vertAlign w:val="subscript"/>
        </w:rPr>
        <w:t>l</w:t>
      </w:r>
      <w:r w:rsidR="0062716A" w:rsidRPr="00AC2EDA">
        <w:t xml:space="preserve">) are found to range from </w:t>
      </w:r>
      <w:r w:rsidR="0032667B" w:rsidRPr="00AC2EDA">
        <w:t>20</w:t>
      </w:r>
      <w:r w:rsidR="0062716A" w:rsidRPr="00AC2EDA">
        <w:t xml:space="preserve"> to </w:t>
      </w:r>
      <w:r w:rsidR="0032667B" w:rsidRPr="00AC2EDA">
        <w:t>160</w:t>
      </w:r>
      <w:r w:rsidR="0062716A" w:rsidRPr="00AC2EDA">
        <w:t xml:space="preserve"> kJ/mol; equivalent t</w:t>
      </w:r>
      <w:r w:rsidR="004737C1" w:rsidRPr="00AC2EDA">
        <w:t>o between approximately 1 and 8</w:t>
      </w:r>
      <w:r w:rsidR="0062716A" w:rsidRPr="00AC2EDA">
        <w:t xml:space="preserve"> hydrogen bonds (free energy of hydrogen bond in water = 23.3 kJ</w:t>
      </w:r>
      <w:r w:rsidR="001C50A8">
        <w:t>/</w:t>
      </w:r>
      <w:r w:rsidR="0062716A" w:rsidRPr="00AC2EDA">
        <w:t>mol)</w:t>
      </w:r>
      <w:r w:rsidR="007912A0" w:rsidRPr="00AC2EDA">
        <w:fldChar w:fldCharType="begin"/>
      </w:r>
      <w:r w:rsidR="00126622">
        <w:instrText xml:space="preserve"> ADDIN PAPERS2_CITATIONS &lt;citation&gt;&lt;uuid&gt;62F76E44-F39F-4B39-94A8-5C36F868CF7E&lt;/uuid&gt;&lt;priority&gt;0&lt;/priority&gt;&lt;publications&gt;&lt;publication&gt;&lt;uuid&gt;EA24EAE1-EE10-4A6B-83E1-F824F03EA1D1&lt;/uuid&gt;&lt;volume&gt;113&lt;/volume&gt;&lt;doi&gt;10.1063/1.1320822&lt;/doi&gt;&lt;startpage&gt;9727&lt;/startpage&gt;&lt;publication_date&gt;99200012011200000000222000&lt;/publication_date&gt;&lt;url&gt;http://scitation.aip.org/content/aip/journal/jcp/113/21/10.1063/1.1320822&lt;/url&gt;&lt;type&gt;400&lt;/type&gt;&lt;title&gt;Hydrogen bond thermodynamic properties of water from dielectric constant data&lt;/title&gt;&lt;publisher&gt;AIP Publishing&lt;/publisher&gt;&lt;number&gt;21&lt;/number&gt;&lt;subtype&gt;400&lt;/subtype&gt;&lt;endpage&gt;9732&lt;/endpage&gt;&lt;bundle&gt;&lt;publication&gt;&lt;publisher&gt;American Institute of Physics&lt;/publisher&gt;&lt;title&gt;The Journal of Chemical Physics&lt;/title&gt;&lt;type&gt;-100&lt;/type&gt;&lt;subtype&gt;-100&lt;/subtype&gt;&lt;uuid&gt;1FE7CBEF-40A1-40BF-88FC-F6CA89669FB3&lt;/uuid&gt;&lt;/publication&gt;&lt;/bundle&gt;&lt;authors&gt;&lt;author&gt;&lt;firstName&gt;S&lt;/firstName&gt;&lt;middleNames&gt;J&lt;/middleNames&gt;&lt;lastName&gt;Suresh&lt;/lastName&gt;&lt;/author&gt;&lt;author&gt;&lt;firstName&gt;V&lt;/firstName&gt;&lt;middleNames&gt;M&lt;/middleNames&gt;&lt;lastName&gt;Naik&lt;/lastName&gt;&lt;/author&gt;&lt;/authors&gt;&lt;/publication&gt;&lt;publication&gt;&lt;type&gt;400&lt;/type&gt;&lt;publication_date&gt;99200700001200000000200000&lt;/publication_date&gt;&lt;title&gt;Temperature, pressure, and isotope effects on the structure and properties of liquid water: a lattice approach&lt;/title&gt;&lt;url&gt;http://scitation.aip.org/content/aip/journal/jcp/127/22/10.1063/1.2804418&lt;/url&gt;&lt;subtype&gt;400&lt;/subtype&gt;&lt;uuid&gt;44FC02DE-89B7-48C6-BEFD-0D5898FA5C54&lt;/uuid&gt;&lt;bundle&gt;&lt;publication&gt;&lt;title&gt;The Journal of …&lt;/title&gt;&lt;type&gt;-100&lt;/type&gt;&lt;subtype&gt;-100&lt;/subtype&gt;&lt;uuid&gt;4FD4BA2B-02A6-45EF-A279-310E59C84248&lt;/uuid&gt;&lt;/publication&gt;&lt;/bundle&gt;&lt;authors&gt;&lt;author&gt;&lt;firstName&gt;I&lt;/firstName&gt;&lt;middleNames&gt;F&lt;/middleNames&gt;&lt;lastName&gt;Hakem&lt;/lastName&gt;&lt;/author&gt;&lt;author&gt;&lt;firstName&gt;A&lt;/firstName&gt;&lt;lastName&gt;Boussaid&lt;/lastName&gt;&lt;/author&gt;&lt;author&gt;&lt;firstName&gt;H&lt;/firstName&gt;&lt;lastName&gt;Benchouk-Taleb&lt;/lastName&gt;&lt;/author&gt;&lt;/authors&gt;&lt;/publication&gt;&lt;/publications&gt;&lt;cites&gt;&lt;/cites&gt;&lt;/citation&gt;</w:instrText>
      </w:r>
      <w:r w:rsidR="007912A0" w:rsidRPr="00AC2EDA">
        <w:fldChar w:fldCharType="separate"/>
      </w:r>
      <w:r w:rsidR="00126622">
        <w:rPr>
          <w:rFonts w:eastAsiaTheme="minorEastAsia"/>
          <w:vertAlign w:val="superscript"/>
        </w:rPr>
        <w:t>29,30</w:t>
      </w:r>
      <w:r w:rsidR="007912A0" w:rsidRPr="00AC2EDA">
        <w:fldChar w:fldCharType="end"/>
      </w:r>
      <w:r w:rsidR="005B4E41">
        <w:t xml:space="preserve">. </w:t>
      </w:r>
      <w:r w:rsidR="0062716A" w:rsidRPr="00AC2EDA">
        <w:t>In subsequent analyses presented below we use the free energy of s</w:t>
      </w:r>
      <w:r w:rsidR="005D76D5">
        <w:t>lid</w:t>
      </w:r>
      <w:r w:rsidR="0062716A" w:rsidRPr="00AC2EDA">
        <w:t>ing ΔG</w:t>
      </w:r>
      <w:r w:rsidR="0062716A" w:rsidRPr="00AC2EDA">
        <w:rPr>
          <w:vertAlign w:val="subscript"/>
        </w:rPr>
        <w:t>s</w:t>
      </w:r>
      <w:r w:rsidR="005D76D5">
        <w:rPr>
          <w:vertAlign w:val="subscript"/>
        </w:rPr>
        <w:t>l</w:t>
      </w:r>
      <w:r w:rsidR="0062716A" w:rsidRPr="00AC2EDA">
        <w:t xml:space="preserve"> rather than equilibrium</w:t>
      </w:r>
      <w:r w:rsidR="0062716A" w:rsidRPr="00AC2EDA">
        <w:rPr>
          <w:rFonts w:asciiTheme="minorHAnsi" w:eastAsiaTheme="minorHAnsi" w:hAnsiTheme="minorHAnsi"/>
          <w:w w:val="108"/>
          <w:sz w:val="18"/>
          <w:szCs w:val="18"/>
          <w:lang w:eastAsia="en-US"/>
        </w:rPr>
        <w:t xml:space="preserve"> </w:t>
      </w:r>
      <w:r w:rsidR="00EB5059" w:rsidRPr="00AC2EDA">
        <w:t>force</w:t>
      </w:r>
      <w:r w:rsidR="0062716A" w:rsidRPr="00AC2EDA">
        <w:t xml:space="preserve"> </w:t>
      </w:r>
      <w:r w:rsidR="00B56848" w:rsidRPr="00AC2EDA">
        <w:rPr>
          <w:i/>
        </w:rPr>
        <w:t>f</w:t>
      </w:r>
      <w:r w:rsidR="0062716A" w:rsidRPr="00AC2EDA">
        <w:rPr>
          <w:vertAlign w:val="subscript"/>
        </w:rPr>
        <w:t>eq</w:t>
      </w:r>
      <w:r w:rsidR="0062716A" w:rsidRPr="00AC2EDA">
        <w:t xml:space="preserve"> since the latter quantity is dependent on the spring constant of the particular cantilever used,</w:t>
      </w:r>
      <w:r w:rsidR="007912A0" w:rsidRPr="00AC2EDA">
        <w:fldChar w:fldCharType="begin"/>
      </w:r>
      <w:r w:rsidR="00126622">
        <w:instrText xml:space="preserve"> ADDIN PAPERS2_CITATIONS &lt;citation&gt;&lt;uuid&gt;103F4091-CE04-4F18-AEEA-08C5A248A9FD&lt;/uuid&gt;&lt;priority&gt;0&lt;/priority&gt;&lt;publications&gt;&lt;publication&gt;&lt;uuid&gt;C5EE47E4-692F-446C-9FA7-8AEF80E4CEDD&lt;/uuid&gt;&lt;volume&gt;109&lt;/volume&gt;&lt;doi&gt;10.1073/pnas.1202946109&lt;/doi&gt;&lt;startpage&gt;13573&lt;/startpage&gt;&lt;publication_date&gt;99201208211200000000222000&lt;/publication_date&gt;&lt;url&gt;http://www.pnas.org/content/109/34/13573.long&lt;/url&gt;&lt;citekey&gt;Friddle:2012dj&lt;/citekey&gt;&lt;type&gt;400&lt;/type&gt;&lt;title&gt;Interpreting the widespread nonlinear force spectra of intermolecular bonds.&lt;/title&gt;&lt;location&gt;602,0,0,0&lt;/location&gt;&lt;institution&gt;Molecular Foundry, Lawrence Berkeley National Laboratory, Berkeley, CA 94720.&lt;/institution&gt;&lt;number&gt;34&lt;/number&gt;&lt;subtype&gt;400&lt;/subtype&gt;&lt;endpage&gt;13578&lt;/endpage&gt;&lt;bundle&gt;&lt;publication&gt;&lt;publisher&gt;National Acad Sciences&lt;/publisher&gt;&lt;title&gt;Proceedings of the National Academy of Sciences&lt;/title&gt;&lt;type&gt;-100&lt;/type&gt;&lt;subtype&gt;-100&lt;/subtype&gt;&lt;uuid&gt;29601930-E640-425A-AA83-6EE14CF024FA&lt;/uuid&gt;&lt;/publication&gt;&lt;/bundle&gt;&lt;authors&gt;&lt;author&gt;&lt;firstName&gt;Raymond&lt;/firstName&gt;&lt;middleNames&gt;W&lt;/middleNames&gt;&lt;lastName&gt;Friddle&lt;/lastName&gt;&lt;/author&gt;&lt;author&gt;&lt;firstName&gt;Aleksandr&lt;/firstName&gt;&lt;lastName&gt;Noy&lt;/lastName&gt;&lt;/author&gt;&lt;author&gt;&lt;lastName&gt;Yoreo&lt;/lastName&gt;&lt;nonDroppingParticle&gt;De&lt;/nonDroppingParticle&gt;&lt;firstName&gt;James&lt;/firstName&gt;&lt;middleNames&gt;J&lt;/middleNames&gt;&lt;/author&gt;&lt;/authors&gt;&lt;/publication&gt;&lt;/publications&gt;&lt;cites&gt;&lt;/cites&gt;&lt;/citation&gt;</w:instrText>
      </w:r>
      <w:r w:rsidR="007912A0" w:rsidRPr="00AC2EDA">
        <w:fldChar w:fldCharType="separate"/>
      </w:r>
      <w:r w:rsidR="00126622">
        <w:rPr>
          <w:rFonts w:eastAsiaTheme="minorEastAsia"/>
          <w:vertAlign w:val="superscript"/>
        </w:rPr>
        <w:t>24</w:t>
      </w:r>
      <w:r w:rsidR="007912A0" w:rsidRPr="00AC2EDA">
        <w:fldChar w:fldCharType="end"/>
      </w:r>
      <w:r w:rsidR="0062716A" w:rsidRPr="00AC2EDA">
        <w:t xml:space="preserve"> making direct comparison of values obtained w</w:t>
      </w:r>
      <w:r w:rsidR="004737C1" w:rsidRPr="00AC2EDA">
        <w:t>i</w:t>
      </w:r>
      <w:r w:rsidR="0062716A" w:rsidRPr="00AC2EDA">
        <w:t>th different cantilevers more difficult.  ΔG</w:t>
      </w:r>
      <w:r w:rsidR="0062716A" w:rsidRPr="00AC2EDA">
        <w:rPr>
          <w:vertAlign w:val="subscript"/>
        </w:rPr>
        <w:t>s</w:t>
      </w:r>
      <w:r w:rsidR="005D76D5">
        <w:rPr>
          <w:vertAlign w:val="subscript"/>
        </w:rPr>
        <w:t>l</w:t>
      </w:r>
      <w:r w:rsidR="0062716A" w:rsidRPr="00AC2EDA">
        <w:t xml:space="preserve"> is calculated from the value of </w:t>
      </w:r>
      <w:r w:rsidR="00B56848" w:rsidRPr="00AC2EDA">
        <w:rPr>
          <w:i/>
        </w:rPr>
        <w:t>f</w:t>
      </w:r>
      <w:r w:rsidR="0062716A" w:rsidRPr="00AC2EDA">
        <w:rPr>
          <w:vertAlign w:val="subscript"/>
        </w:rPr>
        <w:t>eq</w:t>
      </w:r>
      <w:r w:rsidR="0062716A" w:rsidRPr="00AC2EDA">
        <w:t xml:space="preserve"> and the spring constant of the cantilever used and is therefore directly comparable across different experiments. However, direct comparison with literature data can only be made when the spring constants of the cantilevers used for each specific data set are reported. As an example, the range of magnitudes of the forces observed in the present study is consistent with those found for the unbinding of host-guest complexes between β-CD and a range of aromatic groups,</w:t>
      </w:r>
      <w:r w:rsidR="007912A0" w:rsidRPr="00AC2EDA">
        <w:fldChar w:fldCharType="begin"/>
      </w:r>
      <w:r w:rsidR="00126622">
        <w:instrText xml:space="preserve"> ADDIN PAPERS2_CITATIONS &lt;citation&gt;&lt;uuid&gt;F2306327-9420-4985-BB46-67D9A32E6BD2&lt;/uuid&gt;&lt;priority&gt;0&lt;/priority&gt;&lt;publications&gt;&lt;publication&gt;&lt;uuid&gt;BF8EC236-2F04-4A65-BEA4-EB23B2DD1EB4&lt;/uuid&gt;&lt;volume&gt;126&lt;/volume&gt;&lt;doi&gt;10.1021/ja0383569&lt;/doi&gt;&lt;startpage&gt;1577&lt;/startpage&gt;&lt;publication_date&gt;99200402111200000000222000&lt;/publication_date&gt;&lt;url&gt;http://eutils.ncbi.nlm.nih.gov/entrez/eutils/elink.fcgi?dbfrom=pubmed&amp;amp;id=14759218&amp;amp;retmode=ref&amp;amp;cmd=prlinks&lt;/url&gt;&lt;type&gt;400&lt;/type&gt;&lt;title&gt;Beta-cyclodextrin host-guest complexes probed under thermodynamic equilibrium: thermodynamics and AFM force spectroscopy.&lt;/title&gt;&lt;location&gt;&amp;lt;html&amp;gt;&amp;lt;head&amp;gt;&amp;lt;meta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Home&amp;lt;/a&amp;gt;&amp;lt;/div&amp;gt;&amp;lt;/body&amp;gt;&amp;lt;/html&amp;gt;&lt;/location&gt;&lt;institution&gt;Supramolecular Chemistry and Technology, MESA(+) Institute for Nanotechnology, University of Twente, P.O. Box 217, 7500 AE Enschede, The Netherlands.&lt;/institution&gt;&lt;number&gt;5&lt;/number&gt;&lt;subtype&gt;400&lt;/subtype&gt;&lt;endpage&gt;1584&lt;/endpage&gt;&lt;bundle&gt;&lt;publication&gt;&lt;publisher&gt;American Chemical Society&lt;/publisher&gt;&lt;title&gt;Journal Of The American Chemical Society&lt;/title&gt;&lt;type&gt;-100&lt;/type&gt;&lt;subtype&gt;-100&lt;/subtype&gt;&lt;uuid&gt;BC05F51B-24D8-4C7C-912D-98305E18EC2F&lt;/uuid&gt;&lt;/publication&gt;&lt;/bundle&gt;&lt;authors&gt;&lt;author&gt;&lt;firstName&gt;Tommaso&lt;/firstName&gt;&lt;lastName&gt;Auletta&lt;/lastName&gt;&lt;/author&gt;&lt;author&gt;&lt;lastName&gt;Jong&lt;/lastName&gt;&lt;nonDroppingParticle&gt;de&lt;/nonDroppingParticle&gt;&lt;firstName&gt;Menno&lt;/firstName&gt;&lt;middleNames&gt;R&lt;/middleNames&gt;&lt;/author&gt;&lt;author&gt;&lt;firstName&gt;Alart&lt;/firstName&gt;&lt;lastName&gt;Mulder&lt;/lastName&gt;&lt;/author&gt;&lt;author&gt;&lt;lastName&gt;Veggel&lt;/lastName&gt;&lt;nonDroppingParticle&gt;van&lt;/nonDroppingParticle&gt;&lt;firstName&gt;Frank&lt;/firstName&gt;&lt;middleNames&gt;C J M&lt;/middleNames&gt;&lt;/author&gt;&lt;author&gt;&lt;firstName&gt;Jurriaan&lt;/firstName&gt;&lt;lastName&gt;Huskens&lt;/lastName&gt;&lt;/author&gt;&lt;author&gt;&lt;firstName&gt;David&lt;/firstName&gt;&lt;middleNames&gt;N&lt;/middleNames&gt;&lt;lastName&gt;Reinhoudt&lt;/lastName&gt;&lt;/author&gt;&lt;author&gt;&lt;firstName&gt;Shan&lt;/firstName&gt;&lt;lastName&gt;Zou&lt;/lastName&gt;&lt;/author&gt;&lt;author&gt;&lt;firstName&gt;Szczepan&lt;/firstName&gt;&lt;lastName&gt;Zapotoczny&lt;/lastName&gt;&lt;/author&gt;&lt;author&gt;&lt;firstName&gt;Holger&lt;/firstName&gt;&lt;lastName&gt;Schonherr&lt;/lastName&gt;&lt;/author&gt;&lt;author&gt;&lt;firstName&gt;G&lt;/firstName&gt;&lt;middleNames&gt;Julius&lt;/middleNames&gt;&lt;lastName&gt;Vancso&lt;/lastName&gt;&lt;/author&gt;&lt;author&gt;&lt;firstName&gt;Laurens&lt;/firstName&gt;&lt;lastName&gt;Kuipers&lt;/lastName&gt;&lt;/author&gt;&lt;/authors&gt;&lt;/publication&gt;&lt;/publications&gt;&lt;cites&gt;&lt;/cites&gt;&lt;/citation&gt;</w:instrText>
      </w:r>
      <w:r w:rsidR="007912A0" w:rsidRPr="00AC2EDA">
        <w:fldChar w:fldCharType="separate"/>
      </w:r>
      <w:r w:rsidR="00126622">
        <w:rPr>
          <w:rFonts w:eastAsiaTheme="minorEastAsia"/>
          <w:vertAlign w:val="superscript"/>
        </w:rPr>
        <w:t>31</w:t>
      </w:r>
      <w:r w:rsidR="007912A0" w:rsidRPr="00AC2EDA">
        <w:fldChar w:fldCharType="end"/>
      </w:r>
      <w:r w:rsidR="0062716A" w:rsidRPr="00AC2EDA">
        <w:t xml:space="preserve"> although when the equilibrium forces and spring constants reported in that work are used to calculate ΔG</w:t>
      </w:r>
      <w:r w:rsidR="005D76D5" w:rsidRPr="005946AD">
        <w:rPr>
          <w:vertAlign w:val="subscript"/>
        </w:rPr>
        <w:t>b</w:t>
      </w:r>
      <w:r w:rsidR="0062716A" w:rsidRPr="00AC2EDA">
        <w:rPr>
          <w:vertAlign w:val="subscript"/>
        </w:rPr>
        <w:t>u</w:t>
      </w:r>
      <w:r w:rsidR="0062716A" w:rsidRPr="00AC2EDA">
        <w:t xml:space="preserve"> by Friddle and Noy’s me</w:t>
      </w:r>
      <w:r w:rsidR="00C8027F" w:rsidRPr="00AC2EDA">
        <w:t>thod the values range between 13 and 87</w:t>
      </w:r>
      <w:r w:rsidR="0062716A" w:rsidRPr="00AC2EDA">
        <w:t xml:space="preserve"> kJ/mol</w:t>
      </w:r>
      <w:r w:rsidR="006303B8" w:rsidRPr="00AC2EDA">
        <w:t xml:space="preserve"> (see supporting information</w:t>
      </w:r>
      <w:r w:rsidR="00117BE3" w:rsidRPr="00AC2EDA">
        <w:t>)</w:t>
      </w:r>
      <w:r w:rsidR="0062716A" w:rsidRPr="00AC2EDA">
        <w:t>. The discrepancy in values of ΔG</w:t>
      </w:r>
      <w:r w:rsidR="005D76D5" w:rsidRPr="005946AD">
        <w:rPr>
          <w:vertAlign w:val="subscript"/>
        </w:rPr>
        <w:t>b</w:t>
      </w:r>
      <w:r w:rsidR="0062716A" w:rsidRPr="00AC2EDA">
        <w:rPr>
          <w:vertAlign w:val="subscript"/>
        </w:rPr>
        <w:t>u</w:t>
      </w:r>
      <w:r w:rsidR="0062716A" w:rsidRPr="00AC2EDA">
        <w:t xml:space="preserve"> calculated from the data in [</w:t>
      </w:r>
      <w:r w:rsidR="00B56848" w:rsidRPr="00AC2EDA">
        <w:t>2</w:t>
      </w:r>
      <w:r w:rsidR="001C50A8">
        <w:t>2</w:t>
      </w:r>
      <w:r w:rsidR="0062716A" w:rsidRPr="00AC2EDA">
        <w:t>] and the ΔG</w:t>
      </w:r>
      <w:r w:rsidR="0062716A" w:rsidRPr="00AC2EDA">
        <w:rPr>
          <w:vertAlign w:val="subscript"/>
        </w:rPr>
        <w:t>s</w:t>
      </w:r>
      <w:r w:rsidR="005D76D5">
        <w:rPr>
          <w:vertAlign w:val="subscript"/>
        </w:rPr>
        <w:t>l</w:t>
      </w:r>
      <w:r w:rsidR="0062716A" w:rsidRPr="00AC2EDA">
        <w:t xml:space="preserve"> values obtained in the present work highlights the distinction between the dissociation of equilibrated host-guest complexes and the forced s</w:t>
      </w:r>
      <w:r w:rsidR="005D76D5">
        <w:t>lid</w:t>
      </w:r>
      <w:r w:rsidR="0062716A" w:rsidRPr="00AC2EDA">
        <w:t xml:space="preserve">ing of the host cyclodextrin ring over the guest monomers. </w:t>
      </w:r>
    </w:p>
    <w:p w:rsidR="003522F0" w:rsidRPr="00AC2EDA" w:rsidRDefault="003522F0" w:rsidP="002A436C">
      <w:pPr>
        <w:pStyle w:val="Head1"/>
        <w:jc w:val="both"/>
      </w:pPr>
    </w:p>
    <w:p w:rsidR="0062716A" w:rsidRPr="00AC2EDA" w:rsidRDefault="0062716A" w:rsidP="002A436C">
      <w:pPr>
        <w:pStyle w:val="Head1"/>
        <w:jc w:val="both"/>
      </w:pPr>
      <w:r w:rsidRPr="00AC2EDA">
        <w:t xml:space="preserve">Additional comparison can be made with the values predicted and observed for the sliding of </w:t>
      </w:r>
      <w:r w:rsidR="008A0A8E" w:rsidRPr="00AC2EDA">
        <w:t xml:space="preserve">a </w:t>
      </w:r>
      <w:r w:rsidRPr="00AC2EDA">
        <w:t xml:space="preserve">β-CD </w:t>
      </w:r>
      <w:r w:rsidR="008A0A8E" w:rsidRPr="00AC2EDA">
        <w:t xml:space="preserve">bead </w:t>
      </w:r>
      <w:r w:rsidRPr="00AC2EDA">
        <w:t xml:space="preserve">over single- stranded DNA: </w:t>
      </w:r>
      <w:r w:rsidR="003444C1" w:rsidRPr="00AC2EDA">
        <w:t>Lindsay and Williams</w:t>
      </w:r>
      <w:r w:rsidR="003444C1" w:rsidRPr="00AC2EDA">
        <w:rPr>
          <w:vertAlign w:val="superscript"/>
        </w:rPr>
        <w:fldChar w:fldCharType="begin"/>
      </w:r>
      <w:r w:rsidR="00126622">
        <w:rPr>
          <w:vertAlign w:val="superscript"/>
        </w:rPr>
        <w:instrText xml:space="preserve"> ADDIN PAPERS2_CITATIONS &lt;citation&gt;&lt;uuid&gt;5EF7893D-2352-4F0E-8C93-3D02C8F6829B&lt;/uuid&gt;&lt;priority&gt;0&lt;/priority&gt;&lt;publications&gt;&lt;publication&gt;&lt;uuid&gt;7F6A913B-4222-46CD-8B49-B6CBE6B80E84&lt;/uuid&gt;&lt;volume&gt;94&lt;/volume&gt;&lt;doi&gt;10.1529/biophysj.107.108670&lt;/doi&gt;&lt;startpage&gt;1233&lt;/startpage&gt;&lt;publication_date&gt;99200802151200000000222000&lt;/publication_date&gt;&lt;url&gt;http://eutils.ncbi.nlm.nih.gov/entrez/eutils/elink.fcgi?dbfrom=pubmed&amp;amp;id=17965134&amp;amp;retmode=ref&amp;amp;cmd=prlinks&lt;/url&gt;&lt;type&gt;400&lt;/type&gt;&lt;title&gt;Can an atomic force microscope sequence DNA using a nanopore?&lt;/title&gt;&lt;location&gt;200,9,33.4192276,-111.9283891&lt;/location&gt;&lt;institution&gt;Center for Single Molecule Biophysics, The Biodesign Institute, Arizona State University, Tempe, Arizona 85287, USA. shahid.qamar@asu.edu&lt;/institution&gt;&lt;number&gt;4&lt;/number&gt;&lt;subtype&gt;400&lt;/subtype&gt;&lt;endpage&gt;1240&lt;/endpage&gt;&lt;bundle&gt;&lt;publication&gt;&lt;publisher&gt;Elsevier&lt;/publisher&gt;&lt;title&gt;Biophysical Journal&lt;/title&gt;&lt;type&gt;-100&lt;/type&gt;&lt;subtype&gt;-100&lt;/subtype&gt;&lt;uuid&gt;07D612CF-3795-4F1B-8209-A7314A62BAED&lt;/uuid&gt;&lt;/publication&gt;&lt;/bundle&gt;&lt;authors&gt;&lt;author&gt;&lt;firstName&gt;Shahid&lt;/firstName&gt;&lt;lastName&gt;Qamar&lt;/lastName&gt;&lt;/author&gt;&lt;author&gt;&lt;firstName&gt;Phil&lt;/firstName&gt;&lt;middleNames&gt;M&lt;/middleNames&gt;&lt;lastName&gt;Williams&lt;/lastName&gt;&lt;/author&gt;&lt;author&gt;&lt;firstName&gt;Stuart&lt;/firstName&gt;&lt;middleNames&gt;M&lt;/middleNames&gt;&lt;lastName&gt;Lindsay&lt;/lastName&gt;&lt;/author&gt;&lt;/authors&gt;&lt;/publication&gt;&lt;/publications&gt;&lt;cites&gt;&lt;/cites&gt;&lt;/citation&gt;</w:instrText>
      </w:r>
      <w:r w:rsidR="003444C1" w:rsidRPr="00AC2EDA">
        <w:rPr>
          <w:vertAlign w:val="superscript"/>
        </w:rPr>
        <w:fldChar w:fldCharType="separate"/>
      </w:r>
      <w:r w:rsidR="00126622">
        <w:rPr>
          <w:rFonts w:eastAsiaTheme="minorEastAsia"/>
          <w:vertAlign w:val="superscript"/>
        </w:rPr>
        <w:t>23</w:t>
      </w:r>
      <w:r w:rsidR="003444C1" w:rsidRPr="00AC2EDA">
        <w:rPr>
          <w:vertAlign w:val="superscript"/>
        </w:rPr>
        <w:fldChar w:fldCharType="end"/>
      </w:r>
      <w:r w:rsidR="003444C1" w:rsidRPr="00AC2EDA">
        <w:t xml:space="preserve"> predicted that the force required to drive a β-CD bead along a single strand of DNA was 75-78 pN</w:t>
      </w:r>
      <w:r w:rsidR="008966C4" w:rsidRPr="00AC2EDA">
        <w:t xml:space="preserve"> (corresponding to </w:t>
      </w:r>
      <w:r w:rsidR="002B59AE" w:rsidRPr="00AC2EDA">
        <w:t>31-33</w:t>
      </w:r>
      <w:r w:rsidR="00B56848" w:rsidRPr="00AC2EDA">
        <w:t xml:space="preserve"> </w:t>
      </w:r>
      <w:r w:rsidR="00206CF5" w:rsidRPr="00AC2EDA">
        <w:t xml:space="preserve">kJ/mol </w:t>
      </w:r>
      <w:r w:rsidR="00B56848" w:rsidRPr="00AC2EDA">
        <w:t xml:space="preserve">using the F-N-Y relation between </w:t>
      </w:r>
      <w:r w:rsidR="00B56848" w:rsidRPr="00AC2EDA">
        <w:rPr>
          <w:i/>
        </w:rPr>
        <w:t>f</w:t>
      </w:r>
      <w:r w:rsidR="00B56848" w:rsidRPr="00AC2EDA">
        <w:rPr>
          <w:vertAlign w:val="subscript"/>
        </w:rPr>
        <w:t>eq</w:t>
      </w:r>
      <w:r w:rsidR="00B56848" w:rsidRPr="00AC2EDA">
        <w:t xml:space="preserve"> and ΔG</w:t>
      </w:r>
      <w:r w:rsidR="005D76D5" w:rsidRPr="005946AD">
        <w:rPr>
          <w:vertAlign w:val="subscript"/>
        </w:rPr>
        <w:t>b</w:t>
      </w:r>
      <w:r w:rsidR="00B56848" w:rsidRPr="00AC2EDA">
        <w:rPr>
          <w:vertAlign w:val="subscript"/>
        </w:rPr>
        <w:t>u</w:t>
      </w:r>
      <w:r w:rsidR="002B59AE" w:rsidRPr="00AC2EDA">
        <w:t xml:space="preserve"> and a reported spring constant of 0.3 N/m</w:t>
      </w:r>
      <w:r w:rsidR="008966C4" w:rsidRPr="00AC2EDA">
        <w:t xml:space="preserve">, see </w:t>
      </w:r>
      <w:r w:rsidR="00D117A6" w:rsidRPr="00AC2EDA">
        <w:t xml:space="preserve">Table S2 in </w:t>
      </w:r>
      <w:r w:rsidR="008966C4" w:rsidRPr="00AC2EDA">
        <w:t>supporting information</w:t>
      </w:r>
      <w:r w:rsidR="00B56848" w:rsidRPr="00AC2EDA">
        <w:t>)</w:t>
      </w:r>
      <w:r w:rsidR="003444C1" w:rsidRPr="00AC2EDA">
        <w:t xml:space="preserve">, depending on whether the base passed over was a purine or a pyrimidine. Therefore, no distinguishing force signature between purine and pyrimidine nucleotides would be detected above </w:t>
      </w:r>
      <w:r w:rsidR="00235949" w:rsidRPr="00AC2EDA">
        <w:t>instrument</w:t>
      </w:r>
      <w:r w:rsidR="003444C1" w:rsidRPr="00AC2EDA">
        <w:t xml:space="preserve">al noise (~15 pN or more). These authors proposed that this </w:t>
      </w:r>
      <w:r w:rsidR="002B59AE" w:rsidRPr="00AC2EDA">
        <w:t xml:space="preserve">rather low value </w:t>
      </w:r>
      <w:r w:rsidR="003444C1" w:rsidRPr="00AC2EDA">
        <w:t>was due to the mobility of the bases around their point of attachment to the (deoxy)ribose backbone, allowing them to fold flat against the phosphate-deoxyribose backbone to pass through the CD pore. The same group subsequently published experimental data</w:t>
      </w:r>
      <w:r w:rsidR="003444C1" w:rsidRPr="00AC2EDA">
        <w:fldChar w:fldCharType="begin"/>
      </w:r>
      <w:r w:rsidR="00126622">
        <w:instrText xml:space="preserve"> ADDIN PAPERS2_CITATIONS &lt;citation&gt;&lt;uuid&gt;157846A6-0B88-48C9-BD65-664AB6A646C8&lt;/uuid&gt;&lt;priority&gt;0&lt;/priority&gt;&lt;publications&gt;&lt;publication&gt;&lt;uuid&gt;07BDF8A5-30F6-4C57-B800-ACF035BAF9D9&lt;/uuid&gt;&lt;volume&gt;4&lt;/volume&gt;&lt;doi&gt;10.1002/smll.200800233&lt;/doi&gt;&lt;startpage&gt;1468&lt;/startpage&gt;&lt;publication_date&gt;99200809001200000000220000&lt;/publication_date&gt;&lt;url&gt;http://onlinelibrary.wiley.com/doi/10.1002/smll.200800233/abstract&lt;/url&gt;&lt;type&gt;400&lt;/type&gt;&lt;title&gt;An AFM/rotaxane molecular reading head for sequence-dependent DNA structures.&lt;/title&gt;&lt;location&gt;200,9,33.4192276,-111.9283891&lt;/location&gt;&lt;institution&gt;Biodesign Institute, Arizona State University, PO Box 875601 Tempe, AZ 85287, USA.&lt;/institution&gt;&lt;number&gt;9&lt;/number&gt;&lt;subtype&gt;400&lt;/subtype&gt;&lt;endpage&gt;1475&lt;/endpage&gt;&lt;bundle&gt;&lt;publication&gt;&lt;title&gt;Small&lt;/title&gt;&lt;type&gt;-100&lt;/type&gt;&lt;subtype&gt;-100&lt;/subtype&gt;&lt;uuid&gt;BF540E91-0BEA-4885-9EA1-1CA20286A25C&lt;/uuid&gt;&lt;/publication&gt;&lt;/bundle&gt;&lt;authors&gt;&lt;author&gt;&lt;firstName&gt;Brian&lt;/firstName&gt;&lt;middleNames&gt;A&lt;/middleNames&gt;&lt;lastName&gt;Ashcroft&lt;/lastName&gt;&lt;/author&gt;&lt;author&gt;&lt;firstName&gt;Quinn&lt;/firstName&gt;&lt;lastName&gt;Spadola&lt;/lastName&gt;&lt;/author&gt;&lt;author&gt;&lt;firstName&gt;Shahid&lt;/firstName&gt;&lt;lastName&gt;Qamar&lt;/lastName&gt;&lt;/author&gt;&lt;author&gt;&lt;firstName&gt;Peiming&lt;/firstName&gt;&lt;lastName&gt;Zhang&lt;/lastName&gt;&lt;/author&gt;&lt;author&gt;&lt;firstName&gt;Gerald&lt;/firstName&gt;&lt;lastName&gt;Kada&lt;/lastName&gt;&lt;/author&gt;&lt;author&gt;&lt;firstName&gt;Rouvain&lt;/firstName&gt;&lt;lastName&gt;Bension&lt;/lastName&gt;&lt;/author&gt;&lt;author&gt;&lt;firstName&gt;Stuart&lt;/firstName&gt;&lt;middleNames&gt;M&lt;/middleNames&gt;&lt;lastName&gt;Lindsay&lt;/lastName&gt;&lt;/author&gt;&lt;/authors&gt;&lt;/publication&gt;&lt;/publications&gt;&lt;cites&gt;&lt;/cites&gt;&lt;/citation&gt;</w:instrText>
      </w:r>
      <w:r w:rsidR="003444C1" w:rsidRPr="00AC2EDA">
        <w:fldChar w:fldCharType="separate"/>
      </w:r>
      <w:r w:rsidR="00460042">
        <w:rPr>
          <w:rFonts w:eastAsiaTheme="minorEastAsia"/>
          <w:vertAlign w:val="superscript"/>
        </w:rPr>
        <w:t>10</w:t>
      </w:r>
      <w:r w:rsidR="003444C1" w:rsidRPr="00AC2EDA">
        <w:fldChar w:fldCharType="end"/>
      </w:r>
      <w:r w:rsidR="003444C1" w:rsidRPr="00AC2EDA">
        <w:t xml:space="preserve"> showing force plateaus for the sliding of β-CD along DNA </w:t>
      </w:r>
      <w:r w:rsidR="00206CF5" w:rsidRPr="00AC2EDA">
        <w:t>somewhat larger than</w:t>
      </w:r>
      <w:r w:rsidR="003444C1" w:rsidRPr="00AC2EDA">
        <w:t xml:space="preserve"> this value</w:t>
      </w:r>
      <w:r w:rsidR="00206CF5" w:rsidRPr="00AC2EDA">
        <w:t>, at approximately 125 pN</w:t>
      </w:r>
      <w:r w:rsidR="003444C1" w:rsidRPr="00AC2EDA">
        <w:t>. W</w:t>
      </w:r>
      <w:r w:rsidRPr="00AC2EDA">
        <w:t xml:space="preserve">e report here </w:t>
      </w:r>
      <w:r w:rsidR="00F540F2" w:rsidRPr="00AC2EDA">
        <w:t xml:space="preserve">most probable </w:t>
      </w:r>
      <w:r w:rsidRPr="00AC2EDA">
        <w:t>slidi</w:t>
      </w:r>
      <w:r w:rsidR="00A320E9" w:rsidRPr="00AC2EDA">
        <w:t>ng forces of 63-98</w:t>
      </w:r>
      <w:r w:rsidRPr="00AC2EDA">
        <w:t xml:space="preserve"> pN for differently-su</w:t>
      </w:r>
      <w:r w:rsidR="00A320E9" w:rsidRPr="00AC2EDA">
        <w:t>bstituted aroma</w:t>
      </w:r>
      <w:r w:rsidR="00F10765" w:rsidRPr="00AC2EDA">
        <w:t>tic groups and 45-46</w:t>
      </w:r>
      <w:r w:rsidRPr="00AC2EDA">
        <w:t xml:space="preserve"> pN for a monosaccharide (passing through α-CD), at comparable or higher loading rates (instantaneous loading rates from 400 to 8000 pN/s). </w:t>
      </w:r>
    </w:p>
    <w:p w:rsidR="003444C1" w:rsidRPr="00AC2EDA" w:rsidRDefault="003444C1" w:rsidP="002A436C">
      <w:pPr>
        <w:pStyle w:val="Head1"/>
        <w:jc w:val="both"/>
      </w:pPr>
    </w:p>
    <w:p w:rsidR="00EF05CC" w:rsidRPr="00EF05CC" w:rsidRDefault="00EF05CC" w:rsidP="002A436C">
      <w:pPr>
        <w:spacing w:line="480" w:lineRule="auto"/>
        <w:jc w:val="both"/>
        <w:outlineLvl w:val="0"/>
        <w:rPr>
          <w:b/>
          <w:lang w:val="en-GB"/>
        </w:rPr>
      </w:pPr>
      <w:r w:rsidRPr="00EF05CC">
        <w:rPr>
          <w:b/>
          <w:lang w:val="en-GB"/>
        </w:rPr>
        <w:t>Relationship between complexation constant and sl</w:t>
      </w:r>
      <w:r w:rsidR="0043197A">
        <w:rPr>
          <w:b/>
          <w:lang w:val="en-GB"/>
        </w:rPr>
        <w:t>id</w:t>
      </w:r>
      <w:r w:rsidRPr="00EF05CC">
        <w:rPr>
          <w:b/>
          <w:lang w:val="en-GB"/>
        </w:rPr>
        <w:t>ing energy</w:t>
      </w:r>
    </w:p>
    <w:p w:rsidR="002323A4" w:rsidRDefault="008A0A8E" w:rsidP="002A436C">
      <w:pPr>
        <w:spacing w:line="480" w:lineRule="auto"/>
        <w:jc w:val="both"/>
        <w:rPr>
          <w:lang w:val="en-GB"/>
        </w:rPr>
      </w:pPr>
      <w:r>
        <w:rPr>
          <w:lang w:val="en-GB"/>
        </w:rPr>
        <w:t>We sought to discern the parameters that might be used to predict the s</w:t>
      </w:r>
      <w:r w:rsidR="005D76D5">
        <w:rPr>
          <w:lang w:val="en-GB"/>
        </w:rPr>
        <w:t>lid</w:t>
      </w:r>
      <w:r>
        <w:rPr>
          <w:lang w:val="en-GB"/>
        </w:rPr>
        <w:t>ing free energy for passing a CD bead over a particular monomer, and with the example of Auletta et al</w:t>
      </w:r>
      <w:r w:rsidR="00C421B6">
        <w:rPr>
          <w:lang w:val="en-GB"/>
        </w:rPr>
        <w:fldChar w:fldCharType="begin"/>
      </w:r>
      <w:r w:rsidR="00126622">
        <w:rPr>
          <w:lang w:val="en-GB"/>
        </w:rPr>
        <w:instrText xml:space="preserve"> ADDIN PAPERS2_CITATIONS &lt;citation&gt;&lt;uuid&gt;9862F309-39C8-4A73-B043-F053AA361EFB&lt;/uuid&gt;&lt;priority&gt;0&lt;/priority&gt;&lt;publications&gt;&lt;publication&gt;&lt;uuid&gt;BF8EC236-2F04-4A65-BEA4-EB23B2DD1EB4&lt;/uuid&gt;&lt;volume&gt;126&lt;/volume&gt;&lt;doi&gt;10.1021/ja0383569&lt;/doi&gt;&lt;startpage&gt;1577&lt;/startpage&gt;&lt;publication_date&gt;99200402111200000000222000&lt;/publication_date&gt;&lt;url&gt;http://eutils.ncbi.nlm.nih.gov/entrez/eutils/elink.fcgi?dbfrom=pubmed&amp;amp;id=14759218&amp;amp;retmode=ref&amp;amp;cmd=prlinks&lt;/url&gt;&lt;type&gt;400&lt;/type&gt;&lt;title&gt;Beta-cyclodextrin host-guest complexes probed under thermodynamic equilibrium: thermodynamics and AFM force spectroscopy.&lt;/title&gt;&lt;location&gt;&amp;lt;html&amp;gt;&amp;lt;head&amp;gt;&amp;lt;meta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Home&amp;lt;/a&amp;gt;&amp;lt;/div&amp;gt;&amp;lt;/body&amp;gt;&amp;lt;/html&amp;gt;&lt;/location&gt;&lt;institution&gt;Supramolecular Chemistry and Technology, MESA(+) Institute for Nanotechnology, University of Twente, P.O. Box 217, 7500 AE Enschede, The Netherlands.&lt;/institution&gt;&lt;number&gt;5&lt;/number&gt;&lt;subtype&gt;400&lt;/subtype&gt;&lt;endpage&gt;1584&lt;/endpage&gt;&lt;bundle&gt;&lt;publication&gt;&lt;publisher&gt;American Chemical Society&lt;/publisher&gt;&lt;title&gt;Journal Of The American Chemical Society&lt;/title&gt;&lt;type&gt;-100&lt;/type&gt;&lt;subtype&gt;-100&lt;/subtype&gt;&lt;uuid&gt;BC05F51B-24D8-4C7C-912D-98305E18EC2F&lt;/uuid&gt;&lt;/publication&gt;&lt;/bundle&gt;&lt;authors&gt;&lt;author&gt;&lt;firstName&gt;Tommaso&lt;/firstName&gt;&lt;lastName&gt;Auletta&lt;/lastName&gt;&lt;/author&gt;&lt;author&gt;&lt;lastName&gt;Jong&lt;/lastName&gt;&lt;nonDroppingParticle&gt;de&lt;/nonDroppingParticle&gt;&lt;firstName&gt;Menno&lt;/firstName&gt;&lt;middleNames&gt;R&lt;/middleNames&gt;&lt;/author&gt;&lt;author&gt;&lt;firstName&gt;Alart&lt;/firstName&gt;&lt;lastName&gt;Mulder&lt;/lastName&gt;&lt;/author&gt;&lt;author&gt;&lt;lastName&gt;Veggel&lt;/lastName&gt;&lt;nonDroppingParticle&gt;van&lt;/nonDroppingParticle&gt;&lt;firstName&gt;Frank&lt;/firstName&gt;&lt;middleNames&gt;C J M&lt;/middleNames&gt;&lt;/author&gt;&lt;author&gt;&lt;firstName&gt;Jurriaan&lt;/firstName&gt;&lt;lastName&gt;Huskens&lt;/lastName&gt;&lt;/author&gt;&lt;author&gt;&lt;firstName&gt;David&lt;/firstName&gt;&lt;middleNames&gt;N&lt;/middleNames&gt;&lt;lastName&gt;Reinhoudt&lt;/lastName&gt;&lt;/author&gt;&lt;author&gt;&lt;firstName&gt;Shan&lt;/firstName&gt;&lt;lastName&gt;Zou&lt;/lastName&gt;&lt;/author&gt;&lt;author&gt;&lt;firstName&gt;Szczepan&lt;/firstName&gt;&lt;lastName&gt;Zapotoczny&lt;/lastName&gt;&lt;/author&gt;&lt;author&gt;&lt;firstName&gt;Holger&lt;/firstName&gt;&lt;lastName&gt;Schonherr&lt;/lastName&gt;&lt;/author&gt;&lt;author&gt;&lt;firstName&gt;G&lt;/firstName&gt;&lt;middleNames&gt;Julius&lt;/middleNames&gt;&lt;lastName&gt;Vancso&lt;/lastName&gt;&lt;/author&gt;&lt;author&gt;&lt;firstName&gt;Laurens&lt;/firstName&gt;&lt;lastName&gt;Kuipers&lt;/lastName&gt;&lt;/author&gt;&lt;/authors&gt;&lt;/publication&gt;&lt;/publications&gt;&lt;cites&gt;&lt;/cites&gt;&lt;/citation&gt;</w:instrText>
      </w:r>
      <w:r w:rsidR="00C421B6">
        <w:rPr>
          <w:lang w:val="en-GB"/>
        </w:rPr>
        <w:fldChar w:fldCharType="separate"/>
      </w:r>
      <w:r w:rsidR="00126622">
        <w:rPr>
          <w:rFonts w:eastAsiaTheme="minorEastAsia"/>
          <w:vertAlign w:val="superscript"/>
          <w:lang w:val="en-GB"/>
        </w:rPr>
        <w:t>31</w:t>
      </w:r>
      <w:r w:rsidR="00C421B6">
        <w:rPr>
          <w:lang w:val="en-GB"/>
        </w:rPr>
        <w:fldChar w:fldCharType="end"/>
      </w:r>
      <w:r>
        <w:rPr>
          <w:lang w:val="en-GB"/>
        </w:rPr>
        <w:t xml:space="preserve"> in mind, started by considering </w:t>
      </w:r>
      <w:r w:rsidR="002323A4" w:rsidRPr="00A77CBA">
        <w:rPr>
          <w:lang w:val="en-GB"/>
        </w:rPr>
        <w:t xml:space="preserve">whether the sliding of the CD over the monomer reflects the well-known host-guest </w:t>
      </w:r>
      <w:r w:rsidR="000906F7" w:rsidRPr="00A77CBA">
        <w:rPr>
          <w:lang w:val="en-GB"/>
        </w:rPr>
        <w:t xml:space="preserve">(hereafter H-G) </w:t>
      </w:r>
      <w:r w:rsidR="002323A4" w:rsidRPr="00A77CBA">
        <w:rPr>
          <w:lang w:val="en-GB"/>
        </w:rPr>
        <w:t xml:space="preserve">complexation interaction. Here the guest (monomer) forms a complex by penetrating into the pore of the host (CD). </w:t>
      </w:r>
      <w:r w:rsidR="005F509B">
        <w:rPr>
          <w:lang w:val="en-GB"/>
        </w:rPr>
        <w:t>Using</w:t>
      </w:r>
      <w:r w:rsidR="00EC3E6B" w:rsidRPr="00A77CBA">
        <w:rPr>
          <w:lang w:val="en-GB"/>
        </w:rPr>
        <w:t xml:space="preserve"> the data provided in that work</w:t>
      </w:r>
      <w:r w:rsidR="00742C8F" w:rsidRPr="00A77CBA">
        <w:rPr>
          <w:lang w:val="en-GB"/>
        </w:rPr>
        <w:t>,</w:t>
      </w:r>
      <w:r w:rsidR="002323A4" w:rsidRPr="00A77CBA">
        <w:rPr>
          <w:lang w:val="en-GB"/>
        </w:rPr>
        <w:t xml:space="preserve"> </w:t>
      </w:r>
      <w:r w:rsidR="00650215">
        <w:rPr>
          <w:lang w:val="en-GB"/>
        </w:rPr>
        <w:t xml:space="preserve">we </w:t>
      </w:r>
      <w:r w:rsidR="007A4B43">
        <w:rPr>
          <w:lang w:val="en-GB"/>
        </w:rPr>
        <w:t xml:space="preserve">calculated values of </w:t>
      </w:r>
      <w:r w:rsidR="007A4B43" w:rsidRPr="00A77CBA">
        <w:rPr>
          <w:lang w:val="en-GB"/>
        </w:rPr>
        <w:t>ΔG</w:t>
      </w:r>
      <w:r w:rsidR="005D76D5" w:rsidRPr="005946AD">
        <w:rPr>
          <w:vertAlign w:val="subscript"/>
          <w:lang w:val="en-GB"/>
        </w:rPr>
        <w:t>b</w:t>
      </w:r>
      <w:r w:rsidR="007A4B43">
        <w:rPr>
          <w:vertAlign w:val="subscript"/>
          <w:lang w:val="en-GB"/>
        </w:rPr>
        <w:t>u</w:t>
      </w:r>
      <w:r w:rsidR="007A4B43">
        <w:rPr>
          <w:lang w:val="en-GB"/>
        </w:rPr>
        <w:t xml:space="preserve"> from the most probable rupture forces and spring constants reported, and </w:t>
      </w:r>
      <w:r w:rsidR="00650215">
        <w:rPr>
          <w:lang w:val="en-GB"/>
        </w:rPr>
        <w:t xml:space="preserve">find </w:t>
      </w:r>
      <w:r w:rsidR="002323A4" w:rsidRPr="00A77CBA">
        <w:rPr>
          <w:lang w:val="en-GB"/>
        </w:rPr>
        <w:t xml:space="preserve">a positive dependence of </w:t>
      </w:r>
      <w:r w:rsidR="005D76D5" w:rsidRPr="00A77CBA">
        <w:rPr>
          <w:lang w:val="en-GB"/>
        </w:rPr>
        <w:t>ΔG</w:t>
      </w:r>
      <w:r w:rsidR="005D76D5" w:rsidRPr="001D2DB0">
        <w:rPr>
          <w:vertAlign w:val="subscript"/>
          <w:lang w:val="en-GB"/>
        </w:rPr>
        <w:t>b</w:t>
      </w:r>
      <w:r w:rsidR="005D76D5">
        <w:rPr>
          <w:vertAlign w:val="subscript"/>
          <w:lang w:val="en-GB"/>
        </w:rPr>
        <w:t>u</w:t>
      </w:r>
      <w:r w:rsidR="00CD0E1D" w:rsidRPr="00A77CBA">
        <w:rPr>
          <w:lang w:val="en-GB"/>
        </w:rPr>
        <w:t xml:space="preserve"> on </w:t>
      </w:r>
      <w:r w:rsidR="00BE62F1">
        <w:rPr>
          <w:lang w:val="en-GB"/>
        </w:rPr>
        <w:t xml:space="preserve">log </w:t>
      </w:r>
      <w:r w:rsidR="00CD0E1D" w:rsidRPr="00A77CBA">
        <w:rPr>
          <w:lang w:val="en-GB"/>
        </w:rPr>
        <w:t xml:space="preserve">K, </w:t>
      </w:r>
      <w:r w:rsidR="00650215">
        <w:rPr>
          <w:lang w:val="en-GB"/>
        </w:rPr>
        <w:t>where K is</w:t>
      </w:r>
      <w:r w:rsidR="00BE62F1">
        <w:rPr>
          <w:lang w:val="en-GB"/>
        </w:rPr>
        <w:t xml:space="preserve"> </w:t>
      </w:r>
      <w:r w:rsidR="00CD0E1D" w:rsidRPr="00A77CBA">
        <w:rPr>
          <w:lang w:val="en-GB"/>
        </w:rPr>
        <w:t>the binding constant</w:t>
      </w:r>
      <w:r w:rsidR="00650215">
        <w:rPr>
          <w:lang w:val="en-GB"/>
        </w:rPr>
        <w:t xml:space="preserve"> for the H-G complex</w:t>
      </w:r>
      <w:r w:rsidR="00D2224E">
        <w:rPr>
          <w:lang w:val="en-GB"/>
        </w:rPr>
        <w:t xml:space="preserve">, derived from </w:t>
      </w:r>
      <w:r w:rsidR="008C7621" w:rsidRPr="00A77CBA">
        <w:rPr>
          <w:lang w:val="en-GB"/>
        </w:rPr>
        <w:t>Δ</w:t>
      </w:r>
      <w:r w:rsidR="00D2224E">
        <w:rPr>
          <w:lang w:val="en-GB"/>
        </w:rPr>
        <w:t>G</w:t>
      </w:r>
      <w:r w:rsidR="00D2224E" w:rsidRPr="00D2224E">
        <w:rPr>
          <w:lang w:val="en-GB"/>
        </w:rPr>
        <w:t>º</w:t>
      </w:r>
      <w:r w:rsidR="004F204A">
        <w:rPr>
          <w:lang w:val="en-GB"/>
        </w:rPr>
        <w:t xml:space="preserve"> </w:t>
      </w:r>
      <w:r w:rsidR="00D2224E">
        <w:rPr>
          <w:lang w:val="en-GB"/>
        </w:rPr>
        <w:t xml:space="preserve">as measured by Auletta et al using </w:t>
      </w:r>
      <w:r w:rsidR="00F540F2">
        <w:rPr>
          <w:lang w:val="en-GB"/>
        </w:rPr>
        <w:t>ITC</w:t>
      </w:r>
      <w:r w:rsidR="00D2224E">
        <w:rPr>
          <w:lang w:val="en-GB"/>
        </w:rPr>
        <w:t xml:space="preserve"> </w:t>
      </w:r>
      <w:r w:rsidR="004F204A">
        <w:rPr>
          <w:lang w:val="en-GB"/>
        </w:rPr>
        <w:t>(</w:t>
      </w:r>
      <w:r w:rsidR="004F204A" w:rsidRPr="0030103C">
        <w:rPr>
          <w:b/>
          <w:lang w:val="en-GB"/>
        </w:rPr>
        <w:t>Figure 4</w:t>
      </w:r>
      <w:r w:rsidR="00A320E9" w:rsidRPr="0030103C">
        <w:rPr>
          <w:b/>
          <w:lang w:val="en-GB"/>
        </w:rPr>
        <w:t>a</w:t>
      </w:r>
      <w:r w:rsidR="00A320E9" w:rsidRPr="00A77CBA">
        <w:rPr>
          <w:lang w:val="en-GB"/>
        </w:rPr>
        <w:t>)</w:t>
      </w:r>
      <w:r w:rsidR="00CD0E1D" w:rsidRPr="00A77CBA">
        <w:rPr>
          <w:lang w:val="en-GB"/>
        </w:rPr>
        <w:t xml:space="preserve">. We </w:t>
      </w:r>
      <w:r w:rsidR="00BE62F1">
        <w:rPr>
          <w:lang w:val="en-GB"/>
        </w:rPr>
        <w:t xml:space="preserve">then </w:t>
      </w:r>
      <w:r w:rsidR="00CD0E1D" w:rsidRPr="00A77CBA">
        <w:rPr>
          <w:lang w:val="en-GB"/>
        </w:rPr>
        <w:t xml:space="preserve">compared values of the </w:t>
      </w:r>
      <w:r w:rsidR="00BE62F1">
        <w:rPr>
          <w:lang w:val="en-GB"/>
        </w:rPr>
        <w:t xml:space="preserve">same </w:t>
      </w:r>
      <w:r w:rsidR="00CD0E1D" w:rsidRPr="00A77CBA">
        <w:rPr>
          <w:lang w:val="en-GB"/>
        </w:rPr>
        <w:t xml:space="preserve">binding constant </w:t>
      </w:r>
      <w:r w:rsidR="00BE62F1">
        <w:rPr>
          <w:lang w:val="en-GB"/>
        </w:rPr>
        <w:t xml:space="preserve">K </w:t>
      </w:r>
      <w:r w:rsidR="00CD0E1D" w:rsidRPr="00A77CBA">
        <w:rPr>
          <w:lang w:val="en-GB"/>
        </w:rPr>
        <w:t>for each of the monomers used in the present work</w:t>
      </w:r>
      <w:r w:rsidR="00D52C39" w:rsidRPr="00A77CBA">
        <w:rPr>
          <w:lang w:val="en-GB"/>
        </w:rPr>
        <w:t xml:space="preserve">, </w:t>
      </w:r>
      <w:r w:rsidR="00CD3C35">
        <w:rPr>
          <w:lang w:val="en-GB"/>
        </w:rPr>
        <w:t>(</w:t>
      </w:r>
      <w:r w:rsidR="008A3107">
        <w:rPr>
          <w:lang w:val="en-GB"/>
        </w:rPr>
        <w:t xml:space="preserve">presented in </w:t>
      </w:r>
      <w:r w:rsidR="008A3107" w:rsidRPr="008A3107">
        <w:rPr>
          <w:b/>
          <w:lang w:val="en-GB"/>
        </w:rPr>
        <w:t>Table 1</w:t>
      </w:r>
      <w:r w:rsidR="008A3107">
        <w:rPr>
          <w:lang w:val="en-GB"/>
        </w:rPr>
        <w:t xml:space="preserve">, and </w:t>
      </w:r>
      <w:r w:rsidR="00BE62F1">
        <w:rPr>
          <w:lang w:val="en-GB"/>
        </w:rPr>
        <w:t>derived from</w:t>
      </w:r>
      <w:r w:rsidR="00E23514">
        <w:rPr>
          <w:lang w:val="en-GB"/>
        </w:rPr>
        <w:t xml:space="preserve"> litera</w:t>
      </w:r>
      <w:r w:rsidR="005F509B">
        <w:rPr>
          <w:lang w:val="en-GB"/>
        </w:rPr>
        <w:t>ture</w:t>
      </w:r>
      <w:r w:rsidR="00BE62F1">
        <w:rPr>
          <w:lang w:val="en-GB"/>
        </w:rPr>
        <w:t xml:space="preserve"> reports</w:t>
      </w:r>
      <w:r w:rsidR="00B608B7">
        <w:rPr>
          <w:lang w:val="en-GB"/>
        </w:rPr>
        <w:fldChar w:fldCharType="begin"/>
      </w:r>
      <w:r w:rsidR="00126622">
        <w:rPr>
          <w:lang w:val="en-GB"/>
        </w:rPr>
        <w:instrText xml:space="preserve"> ADDIN PAPERS2_CITATIONS &lt;citation&gt;&lt;uuid&gt;0D2FCC04-3EA9-4418-9539-92641CE837EB&lt;/uuid&gt;&lt;priority&gt;0&lt;/priority&gt;&lt;publications&gt;&lt;publication&gt;&lt;uuid&gt;394D6DCB-ADC0-4248-8FD9-18FD636AC770&lt;/uuid&gt;&lt;volume&gt;84&lt;/volume&gt;&lt;doi&gt;10.1002/jps.2600840712&lt;/doi&gt;&lt;startpage&gt;843&lt;/startpage&gt;&lt;publication_date&gt;99199507001200000000220000&lt;/publication_date&gt;&lt;url&gt;http://doi.wiley.com/10.1002/jps.2600840712&lt;/url&gt;&lt;citekey&gt;Connors:1995dj&lt;/citekey&gt;&lt;type&gt;400&lt;/type&gt;&lt;title&gt;Population characteristics of cyclodextrin complex stabilities in aqueous solution&lt;/title&gt;&lt;number&gt;7&lt;/number&gt;&lt;subtype&gt;400&lt;/subtype&gt;&lt;endpage&gt;848&lt;/endpage&gt;&lt;bundle&gt;&lt;publication&gt;&lt;publisher&gt;NIH Public Access&lt;/publisher&gt;&lt;title&gt;Journal of pharmaceutical sciences&lt;/title&gt;&lt;type&gt;-100&lt;/type&gt;&lt;subtype&gt;-100&lt;/subtype&gt;&lt;uuid&gt;D365F721-249C-4549-952A-DADBC6239B41&lt;/uuid&gt;&lt;/publication&gt;&lt;/bundle&gt;&lt;authors&gt;&lt;author&gt;&lt;firstName&gt;Kenneth&lt;/firstName&gt;&lt;middleNames&gt;A&lt;/middleNames&gt;&lt;lastName&gt;Connors&lt;/lastName&gt;&lt;/author&gt;&lt;/authors&gt;&lt;/publication&gt;&lt;publication&gt;&lt;uuid&gt;5639131F-E7C7-4DAE-B630-7496A6251466&lt;/uuid&gt;&lt;volume&gt;29&lt;/volume&gt;&lt;doi&gt;10.1023/A:1007981816611&lt;/doi&gt;&lt;startpage&gt;167&lt;/startpage&gt;&lt;publication_date&gt;99199700001200000000200000&lt;/publication_date&gt;&lt;url&gt;http://link.springer.com/10.1023/A:1007981816611&lt;/url&gt;&lt;type&gt;400&lt;/type&gt;&lt;title&gt;Cucurbituril and β-Cyclodextrin as Hosts for the Complexation of Organic Dyes&lt;/title&gt;&lt;publisher&gt;Kluwer Academic Publishers&lt;/publisher&gt;&lt;number&gt;2&lt;/number&gt;&lt;subtype&gt;400&lt;/subtype&gt;&lt;endpage&gt;174&lt;/endpage&gt;&lt;bundle&gt;&lt;publication&gt;&lt;publisher&gt;Kluwer Academic Publishers&lt;/publisher&gt;&lt;title&gt;Journal Of Inclusion Phenomena And Macrocyclic Chemistry&lt;/title&gt;&lt;type&gt;-100&lt;/type&gt;&lt;subtype&gt;-100&lt;/subtype&gt;&lt;uuid&gt;248BFA76-1CF7-4A02-B1FC-9F59B0A51EB7&lt;/uuid&gt;&lt;/publication&gt;&lt;/bundle&gt;&lt;authors&gt;&lt;author&gt;&lt;firstName&gt;H&lt;/firstName&gt;&lt;middleNames&gt;J&lt;/middleNames&gt;&lt;lastName&gt;Buschmann&lt;/lastName&gt;&lt;/author&gt;&lt;author&gt;&lt;firstName&gt;E&lt;/firstName&gt;&lt;lastName&gt;Schollmeyer&lt;/lastName&gt;&lt;/author&gt;&lt;/authors&gt;&lt;/publication&gt;&lt;publication&gt;&lt;uuid&gt;5BFF71D9-04E6-4398-94CC-39586BE238B1&lt;/uuid&gt;&lt;volume&gt;37&lt;/volume&gt;&lt;doi&gt;10.1023/A:1008148831359&lt;/doi&gt;&lt;startpage&gt;231&lt;/startpage&gt;&lt;publication_date&gt;99200000001200000000200000&lt;/publication_date&gt;&lt;url&gt;https://link.springer.com/article/10.1023/A:1008148831359&lt;/url&gt;&lt;type&gt;400&lt;/type&gt;&lt;title&gt;Cucurbituril and α- and β-Cyclodextrins as Ligands for the Complexation of Nonionic Surfactants and Polyethyleneglycols in Aqueous Solutions&lt;/title&gt;&lt;publisher&gt;Kluwer Academic Publishers&lt;/publisher&gt;&lt;number&gt;1-4&lt;/number&gt;&lt;subtype&gt;400&lt;/subtype&gt;&lt;endpage&gt;236&lt;/endpage&gt;&lt;bundle&gt;&lt;publication&gt;&lt;publisher&gt;Kluwer Academic Publishers&lt;/publisher&gt;&lt;title&gt;Journal Of Inclusion Phenomena And Macrocyclic Chemistry&lt;/title&gt;&lt;type&gt;-100&lt;/type&gt;&lt;subtype&gt;-100&lt;/subtype&gt;&lt;uuid&gt;248BFA76-1CF7-4A02-B1FC-9F59B0A51EB7&lt;/uuid&gt;&lt;/publication&gt;&lt;/bundle&gt;&lt;authors&gt;&lt;author&gt;&lt;firstName&gt;H&lt;/firstName&gt;&lt;middleNames&gt;J&lt;/middleNames&gt;&lt;lastName&gt;Buschmann&lt;/lastName&gt;&lt;/author&gt;&lt;author&gt;&lt;firstName&gt;K&lt;/firstName&gt;&lt;lastName&gt;Jansen&lt;/lastName&gt;&lt;/author&gt;&lt;author&gt;&lt;firstName&gt;E&lt;/firstName&gt;&lt;lastName&gt;Schollmeyer&lt;/lastName&gt;&lt;/author&gt;&lt;/authors&gt;&lt;/publication&gt;&lt;publication&gt;&lt;volume&gt;90&lt;/volume&gt;&lt;publication_date&gt;99199400001200000000200000&lt;/publication_date&gt;&lt;number&gt;6&lt;/number&gt;&lt;doi&gt;10.1039/ft9949000845&lt;/doi&gt;&lt;startpage&gt;845&lt;/startpage&gt;&lt;title&gt;Cyclodextrin?monosaccharide interactions in water&lt;/title&gt;&lt;uuid&gt;863E9E5B-652B-4193-B57C-191DFBDCEDCB&lt;/uuid&gt;&lt;subtype&gt;400&lt;/subtype&gt;&lt;type&gt;400&lt;/type&gt;&lt;url&gt;http://xlink.rsc.org/?DOI=ft9949000845&lt;/url&gt;&lt;bundle&gt;&lt;publication&gt;&lt;title&gt;Journal Of The Chemical Society-Faraday Transactions&lt;/title&gt;&lt;type&gt;-100&lt;/type&gt;&lt;subtype&gt;-100&lt;/subtype&gt;&lt;uuid&gt;D86F95DE-7F57-4D7E-B121-10C19D33472A&lt;/uuid&gt;&lt;/publication&gt;&lt;/bundle&gt;&lt;authors&gt;&lt;author&gt;&lt;lastName&gt;Namor&lt;/lastName&gt;&lt;nonDroppingParticle&gt;de&lt;/nonDroppingParticle&gt;&lt;firstName&gt;Angela&lt;/firstName&gt;&lt;middleNames&gt;F Danil&lt;/middleNames&gt;&lt;/author&gt;&lt;author&gt;&lt;firstName&gt;Peter&lt;/firstName&gt;&lt;middleNames&gt;M&lt;/middleNames&gt;&lt;lastName&gt;Blackett&lt;/lastName&gt;&lt;/author&gt;&lt;author&gt;&lt;firstName&gt;Mercedes&lt;/firstName&gt;&lt;middleNames&gt;C&lt;/middleNames&gt;&lt;lastName&gt;Cabaleiro&lt;/lastName&gt;&lt;/author&gt;&lt;author&gt;&lt;lastName&gt;Rawi&lt;/lastName&gt;&lt;firstName&gt;Jasim&lt;/firstName&gt;&lt;middleNames&gt;M A&lt;/middleNames&gt;&lt;droppingParticle&gt;Al&lt;/droppingParticle&gt;&lt;/author&gt;&lt;/authors&gt;&lt;/publication&gt;&lt;/publications&gt;&lt;cites&gt;&lt;/cites&gt;&lt;/citation&gt;</w:instrText>
      </w:r>
      <w:r w:rsidR="00B608B7">
        <w:rPr>
          <w:lang w:val="en-GB"/>
        </w:rPr>
        <w:fldChar w:fldCharType="separate"/>
      </w:r>
      <w:r w:rsidR="00126622">
        <w:rPr>
          <w:rFonts w:eastAsiaTheme="minorEastAsia"/>
          <w:vertAlign w:val="superscript"/>
          <w:lang w:val="en-GB"/>
        </w:rPr>
        <w:t>32-35</w:t>
      </w:r>
      <w:r w:rsidR="00B608B7">
        <w:rPr>
          <w:lang w:val="en-GB"/>
        </w:rPr>
        <w:fldChar w:fldCharType="end"/>
      </w:r>
      <w:r w:rsidR="005F509B">
        <w:rPr>
          <w:lang w:val="en-GB"/>
        </w:rPr>
        <w:t xml:space="preserve">, </w:t>
      </w:r>
      <w:r w:rsidR="003C6E21">
        <w:rPr>
          <w:lang w:val="en-GB"/>
        </w:rPr>
        <w:t xml:space="preserve">and/or </w:t>
      </w:r>
      <w:r>
        <w:rPr>
          <w:lang w:val="en-GB"/>
        </w:rPr>
        <w:t>measured b</w:t>
      </w:r>
      <w:r w:rsidR="00CD3C35">
        <w:rPr>
          <w:lang w:val="en-GB"/>
        </w:rPr>
        <w:t xml:space="preserve">y a UV spectroscopic </w:t>
      </w:r>
      <w:r w:rsidR="005F509B">
        <w:rPr>
          <w:lang w:val="en-GB"/>
        </w:rPr>
        <w:t>method</w:t>
      </w:r>
      <w:r w:rsidR="00BB4147">
        <w:rPr>
          <w:lang w:val="en-GB"/>
        </w:rPr>
        <w:t xml:space="preserve">, see </w:t>
      </w:r>
      <w:r w:rsidR="00BB4147" w:rsidRPr="00BB4147">
        <w:rPr>
          <w:b/>
          <w:lang w:val="en-GB"/>
        </w:rPr>
        <w:t>supporting information</w:t>
      </w:r>
      <w:r w:rsidR="00CD3C35">
        <w:rPr>
          <w:lang w:val="en-GB"/>
        </w:rPr>
        <w:t>)</w:t>
      </w:r>
      <w:r w:rsidR="00D52C39" w:rsidRPr="00A77CBA">
        <w:rPr>
          <w:lang w:val="en-GB"/>
        </w:rPr>
        <w:t xml:space="preserve">, to </w:t>
      </w:r>
      <w:r w:rsidR="00363447" w:rsidRPr="00A77CBA">
        <w:rPr>
          <w:lang w:val="en-GB"/>
        </w:rPr>
        <w:t>ΔG</w:t>
      </w:r>
      <w:r w:rsidR="00CD3C35">
        <w:rPr>
          <w:vertAlign w:val="subscript"/>
          <w:lang w:val="en-GB"/>
        </w:rPr>
        <w:t>s</w:t>
      </w:r>
      <w:r w:rsidR="005D76D5">
        <w:rPr>
          <w:vertAlign w:val="subscript"/>
          <w:lang w:val="en-GB"/>
        </w:rPr>
        <w:t>l</w:t>
      </w:r>
      <w:r w:rsidR="005F509B">
        <w:rPr>
          <w:lang w:val="en-GB"/>
        </w:rPr>
        <w:t xml:space="preserve">, and find </w:t>
      </w:r>
      <w:r w:rsidR="00435D28">
        <w:rPr>
          <w:lang w:val="en-GB"/>
        </w:rPr>
        <w:t>no clear</w:t>
      </w:r>
      <w:r w:rsidR="00363447" w:rsidRPr="00A77CBA">
        <w:rPr>
          <w:lang w:val="en-GB"/>
        </w:rPr>
        <w:t xml:space="preserve"> </w:t>
      </w:r>
      <w:r w:rsidR="00EC3E6B" w:rsidRPr="00A77CBA">
        <w:rPr>
          <w:lang w:val="en-GB"/>
        </w:rPr>
        <w:t xml:space="preserve">relationship between </w:t>
      </w:r>
      <w:r w:rsidR="005F509B" w:rsidRPr="00A77CBA">
        <w:rPr>
          <w:lang w:val="en-GB"/>
        </w:rPr>
        <w:t>ΔG</w:t>
      </w:r>
      <w:r w:rsidR="005F509B">
        <w:rPr>
          <w:vertAlign w:val="subscript"/>
          <w:lang w:val="en-GB"/>
        </w:rPr>
        <w:t>s</w:t>
      </w:r>
      <w:r w:rsidR="005D76D5">
        <w:rPr>
          <w:vertAlign w:val="subscript"/>
          <w:lang w:val="en-GB"/>
        </w:rPr>
        <w:t>l</w:t>
      </w:r>
      <w:r w:rsidR="00EC3E6B" w:rsidRPr="00A77CBA">
        <w:rPr>
          <w:lang w:val="en-GB"/>
        </w:rPr>
        <w:t xml:space="preserve"> and </w:t>
      </w:r>
      <w:r w:rsidR="00650215">
        <w:rPr>
          <w:lang w:val="en-GB"/>
        </w:rPr>
        <w:t xml:space="preserve">log </w:t>
      </w:r>
      <w:r w:rsidR="004F204A">
        <w:rPr>
          <w:lang w:val="en-GB"/>
        </w:rPr>
        <w:t xml:space="preserve">K, as depicted in </w:t>
      </w:r>
      <w:r w:rsidR="004F204A" w:rsidRPr="0030103C">
        <w:rPr>
          <w:b/>
          <w:lang w:val="en-GB"/>
        </w:rPr>
        <w:t>Figure 4</w:t>
      </w:r>
      <w:r w:rsidR="00A320E9" w:rsidRPr="0030103C">
        <w:rPr>
          <w:b/>
          <w:lang w:val="en-GB"/>
        </w:rPr>
        <w:t>b</w:t>
      </w:r>
      <w:r w:rsidR="00D52C39" w:rsidRPr="00A77CBA">
        <w:rPr>
          <w:lang w:val="en-GB"/>
        </w:rPr>
        <w:t>.</w:t>
      </w:r>
      <w:r w:rsidR="00EC3E6B" w:rsidRPr="00A77CBA">
        <w:rPr>
          <w:lang w:val="en-GB"/>
        </w:rPr>
        <w:t xml:space="preserve"> The </w:t>
      </w:r>
      <w:r w:rsidR="00435D28">
        <w:rPr>
          <w:lang w:val="en-GB"/>
        </w:rPr>
        <w:t>lack of dependence observed in our</w:t>
      </w:r>
      <w:r w:rsidR="006A5543">
        <w:rPr>
          <w:lang w:val="en-GB"/>
        </w:rPr>
        <w:t xml:space="preserve"> SCFS</w:t>
      </w:r>
      <w:r w:rsidR="00435D28">
        <w:rPr>
          <w:lang w:val="en-GB"/>
        </w:rPr>
        <w:t xml:space="preserve"> data, in contrast to the clear relationship </w:t>
      </w:r>
      <w:r w:rsidR="00C93570">
        <w:rPr>
          <w:lang w:val="en-GB"/>
        </w:rPr>
        <w:t>observable</w:t>
      </w:r>
      <w:r w:rsidR="00435D28">
        <w:rPr>
          <w:lang w:val="en-GB"/>
        </w:rPr>
        <w:t xml:space="preserve"> in Auletta et al’s data, </w:t>
      </w:r>
      <w:r w:rsidR="00CD0E1D" w:rsidRPr="00A77CBA">
        <w:rPr>
          <w:lang w:val="en-GB"/>
        </w:rPr>
        <w:t xml:space="preserve"> </w:t>
      </w:r>
      <w:r w:rsidR="000906F7" w:rsidRPr="00A77CBA">
        <w:rPr>
          <w:lang w:val="en-GB"/>
        </w:rPr>
        <w:t>reflects the distinction between H-G complexation and forced threading of the CD over the monomer in SCFS: in H-G complexation the geometry that favours the lowest (kinetically accessible) energy state for the guest in the host may not involve complete inclusion of that guest in the host; while in SCFS the monomer is forced to pass through the CD pore, driving the complex through energetically unfavourable transition states that constitute the largest energy barriers to the passage of the monomer through the pore.</w:t>
      </w:r>
      <w:r w:rsidR="007C209C" w:rsidRPr="00A77CBA">
        <w:rPr>
          <w:lang w:val="en-GB"/>
        </w:rPr>
        <w:t xml:space="preserve"> This may be expected to </w:t>
      </w:r>
      <w:r w:rsidR="008B144C" w:rsidRPr="00A77CBA">
        <w:rPr>
          <w:lang w:val="en-GB"/>
        </w:rPr>
        <w:t xml:space="preserve">be </w:t>
      </w:r>
      <w:r w:rsidR="007C209C" w:rsidRPr="00A77CBA">
        <w:rPr>
          <w:lang w:val="en-GB"/>
        </w:rPr>
        <w:t xml:space="preserve">most relevant when the monomer is large and rigid, as would be the case for substituted aromatic groups. </w:t>
      </w:r>
      <w:r w:rsidR="00303B4C" w:rsidRPr="00A77CBA">
        <w:rPr>
          <w:lang w:val="en-GB"/>
        </w:rPr>
        <w:t>We sketch the differing mechanisms and result</w:t>
      </w:r>
      <w:r w:rsidR="004F204A">
        <w:rPr>
          <w:lang w:val="en-GB"/>
        </w:rPr>
        <w:t xml:space="preserve">ing energy pathways in </w:t>
      </w:r>
      <w:r w:rsidR="004F204A" w:rsidRPr="0030103C">
        <w:rPr>
          <w:b/>
          <w:lang w:val="en-GB"/>
        </w:rPr>
        <w:t>Figure 4c</w:t>
      </w:r>
      <w:r w:rsidR="00303B4C" w:rsidRPr="00A77CBA">
        <w:rPr>
          <w:lang w:val="en-GB"/>
        </w:rPr>
        <w:t xml:space="preserve">. </w:t>
      </w:r>
      <w:r w:rsidR="009962E8">
        <w:rPr>
          <w:lang w:val="en-GB"/>
        </w:rPr>
        <w:t>As an illustrative example, we consider that</w:t>
      </w:r>
      <w:r w:rsidR="007C209C" w:rsidRPr="00A77CBA">
        <w:rPr>
          <w:lang w:val="en-GB"/>
        </w:rPr>
        <w:t xml:space="preserve"> the </w:t>
      </w:r>
      <w:r w:rsidR="00C7351F" w:rsidRPr="00A77CBA">
        <w:rPr>
          <w:lang w:val="en-GB"/>
        </w:rPr>
        <w:t>Δ</w:t>
      </w:r>
      <w:r w:rsidR="007C209C" w:rsidRPr="00A77CBA">
        <w:rPr>
          <w:lang w:val="en-GB"/>
        </w:rPr>
        <w:t>G</w:t>
      </w:r>
      <w:r w:rsidR="00D2224E">
        <w:rPr>
          <w:lang w:val="en-GB"/>
        </w:rPr>
        <w:t>º</w:t>
      </w:r>
      <w:r w:rsidR="007C209C" w:rsidRPr="00A77CBA">
        <w:rPr>
          <w:lang w:val="en-GB"/>
        </w:rPr>
        <w:t xml:space="preserve"> of rupturing the H-G complex between aniline and </w:t>
      </w:r>
      <w:r w:rsidR="00671ECC" w:rsidRPr="00A77CBA">
        <w:rPr>
          <w:lang w:val="en-GB"/>
        </w:rPr>
        <w:t>β</w:t>
      </w:r>
      <w:r w:rsidR="007C209C" w:rsidRPr="00A77CBA">
        <w:rPr>
          <w:lang w:val="en-GB"/>
        </w:rPr>
        <w:t>-CD</w:t>
      </w:r>
      <w:r w:rsidR="00671ECC" w:rsidRPr="00A77CBA">
        <w:rPr>
          <w:lang w:val="en-GB"/>
        </w:rPr>
        <w:t>, when the aniline guest has adopted the most energetically favourable configuration,</w:t>
      </w:r>
      <w:r w:rsidR="007C209C" w:rsidRPr="00A77CBA">
        <w:rPr>
          <w:lang w:val="en-GB"/>
        </w:rPr>
        <w:t xml:space="preserve"> was measured to be 2.3 kcal/mol (9.6 kJ/mol) by ITC (and </w:t>
      </w:r>
      <w:r w:rsidR="005D76D5" w:rsidRPr="00A77CBA">
        <w:rPr>
          <w:lang w:val="en-GB"/>
        </w:rPr>
        <w:t>ΔG</w:t>
      </w:r>
      <w:r w:rsidR="005D76D5" w:rsidRPr="001D2DB0">
        <w:rPr>
          <w:vertAlign w:val="subscript"/>
          <w:lang w:val="en-GB"/>
        </w:rPr>
        <w:t>b</w:t>
      </w:r>
      <w:r w:rsidR="005D76D5">
        <w:rPr>
          <w:vertAlign w:val="subscript"/>
          <w:lang w:val="en-GB"/>
        </w:rPr>
        <w:t>u</w:t>
      </w:r>
      <w:r w:rsidR="007C209C" w:rsidRPr="00A77CBA">
        <w:rPr>
          <w:lang w:val="en-GB"/>
        </w:rPr>
        <w:t xml:space="preserve"> calculated to be </w:t>
      </w:r>
      <w:r w:rsidR="00EF4865">
        <w:rPr>
          <w:lang w:val="en-GB"/>
        </w:rPr>
        <w:t>1</w:t>
      </w:r>
      <w:r w:rsidR="00441F02">
        <w:rPr>
          <w:lang w:val="en-GB"/>
        </w:rPr>
        <w:t>2.7</w:t>
      </w:r>
      <w:r w:rsidR="007C209C" w:rsidRPr="00A77CBA">
        <w:rPr>
          <w:lang w:val="en-GB"/>
        </w:rPr>
        <w:t xml:space="preserve"> kJ/mol using that work’s data and applying the F-N-Y formalism</w:t>
      </w:r>
      <w:r w:rsidR="006A5543">
        <w:rPr>
          <w:lang w:val="en-GB"/>
        </w:rPr>
        <w:t xml:space="preserve">; see </w:t>
      </w:r>
      <w:r w:rsidR="006A5543" w:rsidRPr="006A5543">
        <w:rPr>
          <w:b/>
          <w:lang w:val="en-GB"/>
        </w:rPr>
        <w:t>Table S2</w:t>
      </w:r>
      <w:r w:rsidR="006A5543">
        <w:rPr>
          <w:lang w:val="en-GB"/>
        </w:rPr>
        <w:t xml:space="preserve"> in </w:t>
      </w:r>
      <w:r w:rsidR="006A5543" w:rsidRPr="006A5543">
        <w:rPr>
          <w:b/>
          <w:lang w:val="en-GB"/>
        </w:rPr>
        <w:t>supporting information</w:t>
      </w:r>
      <w:r w:rsidR="007C209C" w:rsidRPr="00A77CBA">
        <w:rPr>
          <w:lang w:val="en-GB"/>
        </w:rPr>
        <w:t xml:space="preserve">), </w:t>
      </w:r>
      <w:r w:rsidR="00C7351F" w:rsidRPr="00A77CBA">
        <w:rPr>
          <w:lang w:val="en-GB"/>
        </w:rPr>
        <w:t xml:space="preserve">while </w:t>
      </w:r>
      <w:r w:rsidR="007C209C" w:rsidRPr="00A77CBA">
        <w:rPr>
          <w:lang w:val="en-GB"/>
        </w:rPr>
        <w:t xml:space="preserve">we find a </w:t>
      </w:r>
      <w:r w:rsidR="00363447" w:rsidRPr="00A77CBA">
        <w:rPr>
          <w:lang w:val="en-GB"/>
        </w:rPr>
        <w:t>ΔG</w:t>
      </w:r>
      <w:r w:rsidR="004F204A">
        <w:rPr>
          <w:vertAlign w:val="subscript"/>
          <w:lang w:val="en-GB"/>
        </w:rPr>
        <w:t>s</w:t>
      </w:r>
      <w:r w:rsidR="005D76D5">
        <w:rPr>
          <w:vertAlign w:val="subscript"/>
          <w:lang w:val="en-GB"/>
        </w:rPr>
        <w:t>l</w:t>
      </w:r>
      <w:r w:rsidR="007C209C" w:rsidRPr="00A77CBA">
        <w:rPr>
          <w:lang w:val="en-GB"/>
        </w:rPr>
        <w:t xml:space="preserve"> for sliding </w:t>
      </w:r>
      <w:r w:rsidR="00C7351F" w:rsidRPr="00A77CBA">
        <w:rPr>
          <w:lang w:val="en-GB"/>
        </w:rPr>
        <w:t>β</w:t>
      </w:r>
      <w:r w:rsidR="00671ECC" w:rsidRPr="00A77CBA">
        <w:rPr>
          <w:lang w:val="en-GB"/>
        </w:rPr>
        <w:t>-CD from a PEO chain</w:t>
      </w:r>
      <w:r w:rsidR="007C209C" w:rsidRPr="00A77CBA">
        <w:rPr>
          <w:lang w:val="en-GB"/>
        </w:rPr>
        <w:t xml:space="preserve"> over</w:t>
      </w:r>
      <w:r w:rsidR="009962E8">
        <w:rPr>
          <w:lang w:val="en-GB"/>
        </w:rPr>
        <w:t xml:space="preserve"> the very similar station</w:t>
      </w:r>
      <w:r w:rsidR="007C209C" w:rsidRPr="00A77CBA">
        <w:rPr>
          <w:lang w:val="en-GB"/>
        </w:rPr>
        <w:t xml:space="preserve"> p-aminoaniline and on to a subsequent PEO chain t</w:t>
      </w:r>
      <w:r w:rsidR="00183C23" w:rsidRPr="00A77CBA">
        <w:rPr>
          <w:lang w:val="en-GB"/>
        </w:rPr>
        <w:t>o be much higher at 72 kJ/mol</w:t>
      </w:r>
      <w:r w:rsidR="00EE3762">
        <w:rPr>
          <w:lang w:val="en-GB"/>
        </w:rPr>
        <w:t xml:space="preserve"> (see </w:t>
      </w:r>
      <w:r w:rsidR="00EE3762" w:rsidRPr="005946AD">
        <w:rPr>
          <w:b/>
          <w:lang w:val="en-GB"/>
        </w:rPr>
        <w:t>Table 1</w:t>
      </w:r>
      <w:r w:rsidR="00EE3762">
        <w:rPr>
          <w:lang w:val="en-GB"/>
        </w:rPr>
        <w:t>)</w:t>
      </w:r>
      <w:r w:rsidR="00183C23" w:rsidRPr="00A77CBA">
        <w:rPr>
          <w:lang w:val="en-GB"/>
        </w:rPr>
        <w:t>. Thus, s</w:t>
      </w:r>
      <w:r w:rsidR="007C209C" w:rsidRPr="00A77CBA">
        <w:rPr>
          <w:lang w:val="en-GB"/>
        </w:rPr>
        <w:t xml:space="preserve">ince the binding constants measured or calculated for H-G complexes will not necessarily reflect the main energy barrier to sliding the same CD host over the same monomer guest, we reject using H-G binding constants as a basis for </w:t>
      </w:r>
      <w:r w:rsidR="00900BF3">
        <w:rPr>
          <w:lang w:val="en-GB"/>
        </w:rPr>
        <w:t>predict</w:t>
      </w:r>
      <w:r w:rsidR="00F82FC0">
        <w:rPr>
          <w:lang w:val="en-GB"/>
        </w:rPr>
        <w:t xml:space="preserve">ing the expected </w:t>
      </w:r>
      <w:r w:rsidR="005D76D5">
        <w:rPr>
          <w:lang w:val="en-GB"/>
        </w:rPr>
        <w:t xml:space="preserve">sliding </w:t>
      </w:r>
      <w:r w:rsidR="00F82FC0">
        <w:rPr>
          <w:lang w:val="en-GB"/>
        </w:rPr>
        <w:t>energy</w:t>
      </w:r>
      <w:r w:rsidR="007C209C" w:rsidRPr="00A77CBA">
        <w:rPr>
          <w:lang w:val="en-GB"/>
        </w:rPr>
        <w:t>.</w:t>
      </w:r>
    </w:p>
    <w:p w:rsidR="00495712" w:rsidRDefault="0028565F" w:rsidP="002A436C">
      <w:pPr>
        <w:spacing w:line="480" w:lineRule="auto"/>
        <w:jc w:val="both"/>
        <w:rPr>
          <w:lang w:val="en-GB"/>
        </w:rPr>
      </w:pPr>
      <w:r>
        <w:rPr>
          <w:noProof/>
          <w:lang w:val="nb-NO" w:eastAsia="nb-NO"/>
        </w:rPr>
        <w:drawing>
          <wp:inline distT="0" distB="0" distL="0" distR="0" wp14:anchorId="4CB73D68" wp14:editId="2C81DE2B">
            <wp:extent cx="4958615" cy="63584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4abcd.png"/>
                    <pic:cNvPicPr/>
                  </pic:nvPicPr>
                  <pic:blipFill>
                    <a:blip r:embed="rId7">
                      <a:extLst>
                        <a:ext uri="{28A0092B-C50C-407E-A947-70E740481C1C}">
                          <a14:useLocalDpi xmlns:a14="http://schemas.microsoft.com/office/drawing/2010/main" val="0"/>
                        </a:ext>
                      </a:extLst>
                    </a:blip>
                    <a:stretch>
                      <a:fillRect/>
                    </a:stretch>
                  </pic:blipFill>
                  <pic:spPr>
                    <a:xfrm>
                      <a:off x="0" y="0"/>
                      <a:ext cx="4958615" cy="6358416"/>
                    </a:xfrm>
                    <a:prstGeom prst="rect">
                      <a:avLst/>
                    </a:prstGeom>
                  </pic:spPr>
                </pic:pic>
              </a:graphicData>
            </a:graphic>
          </wp:inline>
        </w:drawing>
      </w:r>
    </w:p>
    <w:p w:rsidR="0030103C" w:rsidRPr="009D5EFF" w:rsidRDefault="0030103C" w:rsidP="002A436C">
      <w:pPr>
        <w:pStyle w:val="Head1"/>
        <w:jc w:val="both"/>
      </w:pPr>
      <w:r w:rsidRPr="00986D5B">
        <w:t>Figure 4</w:t>
      </w:r>
      <w:r w:rsidR="00B20C23" w:rsidRPr="00986D5B">
        <w:t>.</w:t>
      </w:r>
      <w:r w:rsidR="00B20C23" w:rsidRPr="00C02CD5">
        <w:t xml:space="preserve"> </w:t>
      </w:r>
      <w:r w:rsidR="00B20C23" w:rsidRPr="009D5EFF">
        <w:t xml:space="preserve">(a) Plot of the relationship between </w:t>
      </w:r>
      <w:r w:rsidR="005D76D5" w:rsidRPr="009D5EFF">
        <w:t>ΔG</w:t>
      </w:r>
      <w:r w:rsidR="005D76D5" w:rsidRPr="009D5EFF">
        <w:rPr>
          <w:vertAlign w:val="subscript"/>
        </w:rPr>
        <w:t>bu</w:t>
      </w:r>
      <w:r w:rsidR="00B20C23" w:rsidRPr="009D5EFF">
        <w:t xml:space="preserve"> (calculated from the </w:t>
      </w:r>
      <w:r w:rsidR="00D2224E" w:rsidRPr="009D5EFF">
        <w:t xml:space="preserve">AFM </w:t>
      </w:r>
      <w:r w:rsidR="00B20C23" w:rsidRPr="009D5EFF">
        <w:t xml:space="preserve">data in </w:t>
      </w:r>
      <w:r w:rsidR="00666826" w:rsidRPr="009D5EFF">
        <w:t>[2</w:t>
      </w:r>
      <w:r w:rsidR="003B01E6" w:rsidRPr="009D5EFF">
        <w:t>2</w:t>
      </w:r>
      <w:r w:rsidR="00666826" w:rsidRPr="009D5EFF">
        <w:t>]</w:t>
      </w:r>
      <w:r w:rsidR="00B20C23" w:rsidRPr="009D5EFF">
        <w:t xml:space="preserve"> using the Friddle-Noy method) and log K (derived from </w:t>
      </w:r>
      <w:r w:rsidR="00D2224E" w:rsidRPr="009D5EFF">
        <w:t>ITC measurements</w:t>
      </w:r>
      <w:r w:rsidR="003B01E6" w:rsidRPr="009D5EFF">
        <w:t xml:space="preserve"> described in [22</w:t>
      </w:r>
      <w:r w:rsidR="00EE3762" w:rsidRPr="009D5EFF">
        <w:t>]</w:t>
      </w:r>
      <w:r w:rsidR="00D2224E" w:rsidRPr="009D5EFF">
        <w:t>) for the host-guest complexes interrogated by Auletta et al</w:t>
      </w:r>
      <w:r w:rsidR="00D2224E" w:rsidRPr="008A087E">
        <w:fldChar w:fldCharType="begin"/>
      </w:r>
      <w:r w:rsidR="00126622" w:rsidRPr="009D5EFF">
        <w:instrText xml:space="preserve"> ADDIN PAPERS2_CITATIONS &lt;citation&gt;&lt;uuid&gt;FFD8D7E3-9F35-4F30-8B14-3AEB958F507A&lt;/uuid&gt;&lt;priority&gt;0&lt;/priority&gt;&lt;publications&gt;&lt;publication&gt;&lt;uuid&gt;BF8EC236-2F04-4A65-BEA4-EB23B2DD1EB4&lt;/uuid&gt;&lt;volume&gt;126&lt;/volume&gt;&lt;doi&gt;10.1021/ja0383569&lt;/doi&gt;&lt;startpage&gt;1577&lt;/startpage&gt;&lt;publication_date&gt;99200402111200000000222000&lt;/publication_date&gt;&lt;url&gt;http://eutils.ncbi.nlm.nih.gov/entrez/eutils/elink.fcgi?dbfrom=pubmed&amp;amp;id=14759218&amp;amp;retmode=ref&amp;amp;cmd=prlinks&lt;/url&gt;&lt;type&gt;400&lt;/type&gt;&lt;title&gt;Beta-cyclodextrin host-guest complexes probed under thermodynamic equilibrium: thermodynamics and AFM force spectroscopy.&lt;/title&gt;&lt;location&gt;&amp;lt;html&amp;gt;&amp;lt;head&amp;gt;&amp;lt;meta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Home&amp;lt;/a&amp;gt;&amp;lt;/div&amp;gt;&amp;lt;/body&amp;gt;&amp;lt;/html&amp;gt;&lt;/location&gt;&lt;institution&gt;Supramolecular Chemistry and Technology, MESA(+) Institute for Nanotechnology, University of Twente, P.O. Box 217, 7500 AE Enschede, The Netherlands.&lt;/institution&gt;&lt;number&gt;5&lt;/number&gt;&lt;subtype&gt;400&lt;/subtype&gt;&lt;endpage&gt;1584&lt;/endpage&gt;&lt;bundle&gt;&lt;publication&gt;&lt;publisher&gt;American Chemical Society&lt;/publisher&gt;&lt;title&gt;Journal Of The American Chemical Society&lt;/title&gt;&lt;type&gt;-100&lt;/type&gt;&lt;subtype&gt;-100&lt;/subtype&gt;&lt;uuid&gt;BC05F51B-24D8-4C7C-912D-98305E18EC2F&lt;/uuid&gt;&lt;/publication&gt;&lt;/bundle&gt;&lt;authors&gt;&lt;author&gt;&lt;firstName&gt;Tommaso&lt;/firstName&gt;&lt;lastName&gt;Auletta&lt;/lastName&gt;&lt;/author&gt;&lt;author&gt;&lt;lastName&gt;Jong&lt;/lastName&gt;&lt;nonDroppingParticle&gt;de&lt;/nonDroppingParticle&gt;&lt;firstName&gt;Menno&lt;/firstName&gt;&lt;middleNames&gt;R&lt;/middleNames&gt;&lt;/author&gt;&lt;author&gt;&lt;firstName&gt;Alart&lt;/firstName&gt;&lt;lastName&gt;Mulder&lt;/lastName&gt;&lt;/author&gt;&lt;author&gt;&lt;lastName&gt;Veggel&lt;/lastName&gt;&lt;nonDroppingParticle&gt;van&lt;/nonDroppingParticle&gt;&lt;firstName&gt;Frank&lt;/firstName&gt;&lt;middleNames&gt;C J M&lt;/middleNames&gt;&lt;/author&gt;&lt;author&gt;&lt;firstName&gt;Jurriaan&lt;/firstName&gt;&lt;lastName&gt;Huskens&lt;/lastName&gt;&lt;/author&gt;&lt;author&gt;&lt;firstName&gt;David&lt;/firstName&gt;&lt;middleNames&gt;N&lt;/middleNames&gt;&lt;lastName&gt;Reinhoudt&lt;/lastName&gt;&lt;/author&gt;&lt;author&gt;&lt;firstName&gt;Shan&lt;/firstName&gt;&lt;lastName&gt;Zou&lt;/lastName&gt;&lt;/author&gt;&lt;author&gt;&lt;firstName&gt;Szczepan&lt;/firstName&gt;&lt;lastName&gt;Zapotoczny&lt;/lastName&gt;&lt;/author&gt;&lt;author&gt;&lt;firstName&gt;Holger&lt;/firstName&gt;&lt;lastName&gt;Schonherr&lt;/lastName&gt;&lt;/author&gt;&lt;author&gt;&lt;firstName&gt;G&lt;/firstName&gt;&lt;middleNames&gt;Julius&lt;/middleNames&gt;&lt;lastName&gt;Vancso&lt;/lastName&gt;&lt;/author&gt;&lt;author&gt;&lt;firstName&gt;Laurens&lt;/firstName&gt;&lt;lastName&gt;Kuipers&lt;/lastName&gt;&lt;/author&gt;&lt;/authors&gt;&lt;/publication&gt;&lt;/publications&gt;&lt;cites&gt;&lt;/cites&gt;&lt;/citation&gt;</w:instrText>
      </w:r>
      <w:r w:rsidR="00D2224E" w:rsidRPr="008A087E">
        <w:fldChar w:fldCharType="separate"/>
      </w:r>
      <w:r w:rsidR="00126622" w:rsidRPr="009D5EFF">
        <w:rPr>
          <w:rFonts w:eastAsiaTheme="minorEastAsia"/>
          <w:vertAlign w:val="superscript"/>
        </w:rPr>
        <w:t>31</w:t>
      </w:r>
      <w:r w:rsidR="00D2224E" w:rsidRPr="008A087E">
        <w:fldChar w:fldCharType="end"/>
      </w:r>
      <w:r w:rsidR="00D2224E" w:rsidRPr="009D5EFF">
        <w:t>. (b) Plot of the relationship between ΔG</w:t>
      </w:r>
      <w:r w:rsidR="00D2224E" w:rsidRPr="009D5EFF">
        <w:rPr>
          <w:vertAlign w:val="subscript"/>
        </w:rPr>
        <w:t>s</w:t>
      </w:r>
      <w:r w:rsidR="005D76D5" w:rsidRPr="009D5EFF">
        <w:rPr>
          <w:vertAlign w:val="subscript"/>
        </w:rPr>
        <w:t>l</w:t>
      </w:r>
      <w:r w:rsidR="00D2224E" w:rsidRPr="009D5EFF">
        <w:t xml:space="preserve"> and log K for the sliding contact experiments described in this work. (c</w:t>
      </w:r>
      <w:r w:rsidR="0028565F" w:rsidRPr="009D5EFF">
        <w:t>,d</w:t>
      </w:r>
      <w:r w:rsidR="00D2224E" w:rsidRPr="009D5EFF">
        <w:t xml:space="preserve">) </w:t>
      </w:r>
      <w:r w:rsidR="00967E7F" w:rsidRPr="009D5EFF">
        <w:t xml:space="preserve">illustrations </w:t>
      </w:r>
      <w:r w:rsidR="00D2224E" w:rsidRPr="009D5EFF">
        <w:t xml:space="preserve">of the unbinding processes and </w:t>
      </w:r>
      <w:r w:rsidR="00967E7F" w:rsidRPr="009D5EFF">
        <w:t xml:space="preserve">sketches of </w:t>
      </w:r>
      <w:r w:rsidR="008515B6" w:rsidRPr="009D5EFF">
        <w:t xml:space="preserve">possible </w:t>
      </w:r>
      <w:r w:rsidR="00D2224E" w:rsidRPr="009D5EFF">
        <w:t xml:space="preserve">corresponding </w:t>
      </w:r>
      <w:r w:rsidR="00452390" w:rsidRPr="009D5EFF">
        <w:t xml:space="preserve">energy pathways for </w:t>
      </w:r>
      <w:r w:rsidR="0028565F" w:rsidRPr="009D5EFF">
        <w:t>disrupting the H-G complex (c</w:t>
      </w:r>
      <w:r w:rsidR="00452390" w:rsidRPr="009D5EFF">
        <w:t>)</w:t>
      </w:r>
      <w:r w:rsidR="00967E7F" w:rsidRPr="009D5EFF">
        <w:t>, where the depth of the energy well for the H-G complex binding is the principal energy barrier,</w:t>
      </w:r>
      <w:r w:rsidR="00452390" w:rsidRPr="009D5EFF">
        <w:t xml:space="preserve"> and the s</w:t>
      </w:r>
      <w:r w:rsidR="0028565F" w:rsidRPr="009D5EFF">
        <w:t>liding contact experiment (d</w:t>
      </w:r>
      <w:r w:rsidR="00452390" w:rsidRPr="009D5EFF">
        <w:t>)</w:t>
      </w:r>
      <w:r w:rsidR="00967E7F" w:rsidRPr="009D5EFF">
        <w:t>, where other barriers to the passage of the guest may dominate</w:t>
      </w:r>
      <w:r w:rsidR="00452390" w:rsidRPr="009D5EFF">
        <w:t>.</w:t>
      </w:r>
    </w:p>
    <w:p w:rsidR="0030103C" w:rsidRPr="0080328E" w:rsidRDefault="0030103C" w:rsidP="002A436C">
      <w:pPr>
        <w:pStyle w:val="Head1"/>
        <w:jc w:val="both"/>
      </w:pPr>
    </w:p>
    <w:p w:rsidR="00BB4147" w:rsidRPr="009D5EFF" w:rsidRDefault="00BB4147" w:rsidP="002A436C">
      <w:pPr>
        <w:pStyle w:val="Head1"/>
        <w:jc w:val="both"/>
      </w:pPr>
      <w:r w:rsidRPr="009D5EFF">
        <w:t>Contributions of solvation and friction to s</w:t>
      </w:r>
      <w:r w:rsidR="0043197A" w:rsidRPr="009D5EFF">
        <w:t>lid</w:t>
      </w:r>
      <w:r w:rsidRPr="009D5EFF">
        <w:t>ing force</w:t>
      </w:r>
    </w:p>
    <w:p w:rsidR="003522F0" w:rsidRPr="009D5EFF" w:rsidRDefault="00183C23" w:rsidP="002A436C">
      <w:pPr>
        <w:pStyle w:val="Head1"/>
        <w:jc w:val="both"/>
      </w:pPr>
      <w:r w:rsidRPr="009D5EFF">
        <w:t xml:space="preserve">We </w:t>
      </w:r>
      <w:r w:rsidR="003817D4" w:rsidRPr="009D5EFF">
        <w:t>then proceed to consider</w:t>
      </w:r>
      <w:r w:rsidRPr="009D5EFF">
        <w:t xml:space="preserve"> a</w:t>
      </w:r>
      <w:r w:rsidR="00452390" w:rsidRPr="009D5EFF">
        <w:t xml:space="preserve"> more general</w:t>
      </w:r>
      <w:r w:rsidRPr="009D5EFF">
        <w:t xml:space="preserve"> paradigm to account for t</w:t>
      </w:r>
      <w:r w:rsidR="002323A4" w:rsidRPr="009D5EFF">
        <w:t>he origins of this energy pe</w:t>
      </w:r>
      <w:r w:rsidRPr="009D5EFF">
        <w:t>nalty to sliding along the polymer chain. Lulevich et al</w:t>
      </w:r>
      <w:r w:rsidR="004F204A" w:rsidRPr="008A087E">
        <w:fldChar w:fldCharType="begin"/>
      </w:r>
      <w:r w:rsidR="00126622" w:rsidRPr="009D5EFF">
        <w:instrText xml:space="preserve"> ADDIN PAPERS2_CITATIONS &lt;citation&gt;&lt;uuid&gt;4D495F15-EB82-4C63-84FB-BC03F9F59CE8&lt;/uuid&gt;&lt;priority&gt;0&lt;/priority&gt;&lt;publications&gt;&lt;publication&gt;&lt;uuid&gt;CA05E109-7E86-4420-AC5A-5F1F6CEFE36E&lt;/uuid&gt;&lt;volume&gt;11&lt;/volume&gt;&lt;doi&gt;10.1021/nl104116s&lt;/doi&gt;&lt;startpage&gt;1171&lt;/startpage&gt;&lt;publication_date&gt;99201103091200000000222000&lt;/publication_date&gt;&lt;url&gt;http://eutils.ncbi.nlm.nih.gov/entrez/eutils/elink.fcgi?dbfrom=pubmed&amp;amp;id=21275410&amp;amp;retmode=ref&amp;amp;cmd=prlinks&lt;/url&gt;&lt;citekey&gt;Lulevich:2011cl&lt;/citekey&gt;&lt;type&gt;400&lt;/type&gt;&lt;title&gt;Frictionless sliding of single-stranded DNA in a carbon nanotube pore observed by single molecule force spectroscopy.&lt;/title&gt;&lt;location&gt;200,9,37.8708706,-122.2647762&lt;/location&gt;&lt;institution&gt;Department of Mechanical Engineering, UC Berkeley , Berkeley, California, United States.&lt;/institution&gt;&lt;number&gt;3&lt;/number&gt;&lt;subtype&gt;400&lt;/subtype&gt;&lt;endpage&gt;1176&lt;/endpage&gt;&lt;bundle&gt;&lt;publication&gt;&lt;publisher&gt; American Chemical Society &lt;/publisher&gt;&lt;title&gt;Nano Letters&lt;/title&gt;&lt;type&gt;-100&lt;/type&gt;&lt;subtype&gt;-100&lt;/subtype&gt;&lt;uuid&gt;4D7232EE-A01B-43BD-8231-999B6F71DA48&lt;/uuid&gt;&lt;/publication&gt;&lt;/bundle&gt;&lt;authors&gt;&lt;author&gt;&lt;firstName&gt;Valentin&lt;/firstName&gt;&lt;lastName&gt;Lulevich&lt;/lastName&gt;&lt;/author&gt;&lt;author&gt;&lt;firstName&gt;Sangil&lt;/firstName&gt;&lt;lastName&gt;Kim&lt;/lastName&gt;&lt;/author&gt;&lt;author&gt;&lt;firstName&gt;Costas&lt;/firstName&gt;&lt;middleNames&gt;P&lt;/middleNames&gt;&lt;lastName&gt;Grigoropoulos&lt;/lastName&gt;&lt;/author&gt;&lt;author&gt;&lt;firstName&gt;Aleksandr&lt;/firstName&gt;&lt;lastName&gt;Noy&lt;/lastName&gt;&lt;/author&gt;&lt;/authors&gt;&lt;/publication&gt;&lt;/publications&gt;&lt;cites&gt;&lt;/cites&gt;&lt;/citation&gt;</w:instrText>
      </w:r>
      <w:r w:rsidR="004F204A" w:rsidRPr="008A087E">
        <w:fldChar w:fldCharType="separate"/>
      </w:r>
      <w:r w:rsidR="00126622" w:rsidRPr="009D5EFF">
        <w:rPr>
          <w:rFonts w:eastAsiaTheme="minorEastAsia"/>
          <w:vertAlign w:val="superscript"/>
        </w:rPr>
        <w:t>36</w:t>
      </w:r>
      <w:r w:rsidR="004F204A" w:rsidRPr="008A087E">
        <w:fldChar w:fldCharType="end"/>
      </w:r>
      <w:r w:rsidR="0011561A" w:rsidRPr="009D5EFF">
        <w:t>, when interpreting the flat, plateau-like events they observed when they used AFM to pull single stranded DNA (ssDNA) out of the interior pore of a carbon nanotube,</w:t>
      </w:r>
      <w:r w:rsidRPr="009D5EFF">
        <w:t xml:space="preserve"> </w:t>
      </w:r>
      <w:r w:rsidR="003817D4" w:rsidRPr="009D5EFF">
        <w:t>consider</w:t>
      </w:r>
      <w:r w:rsidRPr="009D5EFF">
        <w:t xml:space="preserve">ed that </w:t>
      </w:r>
      <w:r w:rsidR="005018C2" w:rsidRPr="009D5EFF">
        <w:t>the total work W</w:t>
      </w:r>
      <w:r w:rsidR="005018C2" w:rsidRPr="009D5EFF">
        <w:rPr>
          <w:vertAlign w:val="subscript"/>
        </w:rPr>
        <w:t>tot</w:t>
      </w:r>
      <w:r w:rsidR="005018C2" w:rsidRPr="009D5EFF">
        <w:t xml:space="preserve"> required </w:t>
      </w:r>
      <w:r w:rsidRPr="009D5EFF">
        <w:t>t</w:t>
      </w:r>
      <w:r w:rsidR="002323A4" w:rsidRPr="009D5EFF">
        <w:t xml:space="preserve">o pull a polymer out of a pore requires the actor to overcome two principal barriers: </w:t>
      </w:r>
      <w:r w:rsidR="005018C2" w:rsidRPr="009D5EFF">
        <w:t>W</w:t>
      </w:r>
      <w:r w:rsidR="005018C2" w:rsidRPr="009D5EFF">
        <w:rPr>
          <w:vertAlign w:val="subscript"/>
        </w:rPr>
        <w:t>fr</w:t>
      </w:r>
      <w:r w:rsidR="005018C2" w:rsidRPr="009D5EFF">
        <w:t xml:space="preserve">, </w:t>
      </w:r>
      <w:r w:rsidR="002323A4" w:rsidRPr="009D5EFF">
        <w:t xml:space="preserve">the </w:t>
      </w:r>
      <w:r w:rsidR="005018C2" w:rsidRPr="009D5EFF">
        <w:t xml:space="preserve">work arising from the </w:t>
      </w:r>
      <w:r w:rsidR="002323A4" w:rsidRPr="009D5EFF">
        <w:t xml:space="preserve">friction accompanying motion of the polymer in the pore, and </w:t>
      </w:r>
      <w:r w:rsidR="005018C2" w:rsidRPr="009D5EFF">
        <w:t>W</w:t>
      </w:r>
      <w:r w:rsidR="00452390" w:rsidRPr="009D5EFF">
        <w:rPr>
          <w:vertAlign w:val="subscript"/>
        </w:rPr>
        <w:t>adh</w:t>
      </w:r>
      <w:r w:rsidR="005018C2" w:rsidRPr="009D5EFF">
        <w:t xml:space="preserve">, the work arising from </w:t>
      </w:r>
      <w:r w:rsidR="002323A4" w:rsidRPr="009D5EFF">
        <w:t xml:space="preserve">the strength of the </w:t>
      </w:r>
      <w:r w:rsidR="00452390" w:rsidRPr="009D5EFF">
        <w:t xml:space="preserve">adhesive </w:t>
      </w:r>
      <w:r w:rsidR="002323A4" w:rsidRPr="009D5EFF">
        <w:t>interaction bet</w:t>
      </w:r>
      <w:r w:rsidRPr="009D5EFF">
        <w:t>ween the polymer and the pore</w:t>
      </w:r>
      <w:r w:rsidR="005018C2" w:rsidRPr="009D5EFF">
        <w:t>, so that</w:t>
      </w:r>
      <w:r w:rsidR="006C43C0" w:rsidRPr="009D5EFF">
        <w:t xml:space="preserve"> </w:t>
      </w:r>
      <w:r w:rsidR="00E71D88" w:rsidRPr="009D5EFF">
        <w:t>W</w:t>
      </w:r>
      <w:r w:rsidR="00E71D88" w:rsidRPr="009D5EFF">
        <w:rPr>
          <w:vertAlign w:val="subscript"/>
        </w:rPr>
        <w:t>tot</w:t>
      </w:r>
      <w:r w:rsidR="00E71D88" w:rsidRPr="009D5EFF">
        <w:t xml:space="preserve"> = W</w:t>
      </w:r>
      <w:r w:rsidR="00E71D88" w:rsidRPr="009D5EFF">
        <w:rPr>
          <w:vertAlign w:val="subscript"/>
        </w:rPr>
        <w:t>fr</w:t>
      </w:r>
      <w:r w:rsidR="005018C2" w:rsidRPr="009D5EFF">
        <w:t xml:space="preserve"> + W</w:t>
      </w:r>
      <w:r w:rsidR="00452390" w:rsidRPr="009D5EFF">
        <w:rPr>
          <w:vertAlign w:val="subscript"/>
        </w:rPr>
        <w:t>adh</w:t>
      </w:r>
      <w:r w:rsidR="005018C2" w:rsidRPr="009D5EFF">
        <w:t>.</w:t>
      </w:r>
      <w:r w:rsidR="006C43C0" w:rsidRPr="009D5EFF">
        <w:t xml:space="preserve"> </w:t>
      </w:r>
      <w:r w:rsidRPr="009D5EFF">
        <w:t>The first barrier</w:t>
      </w:r>
      <w:r w:rsidR="005018C2" w:rsidRPr="009D5EFF">
        <w:t>, W</w:t>
      </w:r>
      <w:r w:rsidR="005018C2" w:rsidRPr="009D5EFF">
        <w:rPr>
          <w:vertAlign w:val="subscript"/>
        </w:rPr>
        <w:t>fr</w:t>
      </w:r>
      <w:r w:rsidR="005018C2" w:rsidRPr="009D5EFF">
        <w:t>,</w:t>
      </w:r>
      <w:r w:rsidRPr="009D5EFF">
        <w:t xml:space="preserve"> </w:t>
      </w:r>
      <w:r w:rsidR="00EF4352" w:rsidRPr="009D5EFF">
        <w:t xml:space="preserve">denotes </w:t>
      </w:r>
      <w:r w:rsidR="002E279F" w:rsidRPr="009D5EFF">
        <w:t xml:space="preserve">work done </w:t>
      </w:r>
      <w:r w:rsidR="00EF4352" w:rsidRPr="009D5EFF">
        <w:t xml:space="preserve">opposing relative motion between the </w:t>
      </w:r>
      <w:r w:rsidR="002E279F" w:rsidRPr="009D5EFF">
        <w:t xml:space="preserve">polymer and the pore and </w:t>
      </w:r>
      <w:r w:rsidRPr="009D5EFF">
        <w:t xml:space="preserve">may be expected to depend upon the ‘tightness of fit’ of the monomer in the pore, while a key component of </w:t>
      </w:r>
      <w:r w:rsidR="005018C2" w:rsidRPr="009D5EFF">
        <w:t>W</w:t>
      </w:r>
      <w:r w:rsidR="00452390" w:rsidRPr="009D5EFF">
        <w:rPr>
          <w:vertAlign w:val="subscript"/>
        </w:rPr>
        <w:t>adh</w:t>
      </w:r>
      <w:r w:rsidR="005018C2" w:rsidRPr="009D5EFF">
        <w:t xml:space="preserve"> is the difference between the solvation energies</w:t>
      </w:r>
      <w:r w:rsidR="002323A4" w:rsidRPr="009D5EFF">
        <w:t xml:space="preserve"> of the polymer with the pore interior and with the exterior solvent</w:t>
      </w:r>
      <w:r w:rsidR="00BB7A88" w:rsidRPr="009D5EFF">
        <w:t xml:space="preserve"> – a hydrophobic molecule will experience the interior of the CD pore as a more favourable environment than the aqueous bulk phase</w:t>
      </w:r>
      <w:r w:rsidR="002323A4" w:rsidRPr="009D5EFF">
        <w:t xml:space="preserve">. </w:t>
      </w:r>
      <w:r w:rsidR="0015045B" w:rsidRPr="009D5EFF">
        <w:t>Bot</w:t>
      </w:r>
      <w:r w:rsidR="00273D10" w:rsidRPr="009D5EFF">
        <w:t>h Lulevich</w:t>
      </w:r>
      <w:r w:rsidR="00273D10" w:rsidRPr="008A087E">
        <w:fldChar w:fldCharType="begin"/>
      </w:r>
      <w:r w:rsidR="00126622" w:rsidRPr="009D5EFF">
        <w:instrText xml:space="preserve"> ADDIN PAPERS2_CITATIONS &lt;citation&gt;&lt;uuid&gt;2B654C37-47A3-4087-ACB3-CF2E058AB05B&lt;/uuid&gt;&lt;priority&gt;0&lt;/priority&gt;&lt;publications&gt;&lt;publication&gt;&lt;uuid&gt;CA05E109-7E86-4420-AC5A-5F1F6CEFE36E&lt;/uuid&gt;&lt;volume&gt;11&lt;/volume&gt;&lt;doi&gt;10.1021/nl104116s&lt;/doi&gt;&lt;startpage&gt;1171&lt;/startpage&gt;&lt;publication_date&gt;99201103091200000000222000&lt;/publication_date&gt;&lt;url&gt;http://eutils.ncbi.nlm.nih.gov/entrez/eutils/elink.fcgi?dbfrom=pubmed&amp;amp;id=21275410&amp;amp;retmode=ref&amp;amp;cmd=prlinks&lt;/url&gt;&lt;citekey&gt;Lulevich:2011cl&lt;/citekey&gt;&lt;type&gt;400&lt;/type&gt;&lt;title&gt;Frictionless sliding of single-stranded DNA in a carbon nanotube pore observed by single molecule force spectroscopy.&lt;/title&gt;&lt;location&gt;200,9,37.8708706,-122.2647762&lt;/location&gt;&lt;institution&gt;Department of Mechanical Engineering, UC Berkeley , Berkeley, California, United States.&lt;/institution&gt;&lt;number&gt;3&lt;/number&gt;&lt;subtype&gt;400&lt;/subtype&gt;&lt;endpage&gt;1176&lt;/endpage&gt;&lt;bundle&gt;&lt;publication&gt;&lt;publisher&gt; American Chemical Society &lt;/publisher&gt;&lt;title&gt;Nano Letters&lt;/title&gt;&lt;type&gt;-100&lt;/type&gt;&lt;subtype&gt;-100&lt;/subtype&gt;&lt;uuid&gt;4D7232EE-A01B-43BD-8231-999B6F71DA48&lt;/uuid&gt;&lt;/publication&gt;&lt;/bundle&gt;&lt;authors&gt;&lt;author&gt;&lt;firstName&gt;Valentin&lt;/firstName&gt;&lt;lastName&gt;Lulevich&lt;/lastName&gt;&lt;/author&gt;&lt;author&gt;&lt;firstName&gt;Sangil&lt;/firstName&gt;&lt;lastName&gt;Kim&lt;/lastName&gt;&lt;/author&gt;&lt;author&gt;&lt;firstName&gt;Costas&lt;/firstName&gt;&lt;middleNames&gt;P&lt;/middleNames&gt;&lt;lastName&gt;Grigoropoulos&lt;/lastName&gt;&lt;/author&gt;&lt;author&gt;&lt;firstName&gt;Aleksandr&lt;/firstName&gt;&lt;lastName&gt;Noy&lt;/lastName&gt;&lt;/author&gt;&lt;/authors&gt;&lt;/publication&gt;&lt;/publications&gt;&lt;cites&gt;&lt;/cites&gt;&lt;/citation&gt;</w:instrText>
      </w:r>
      <w:r w:rsidR="00273D10" w:rsidRPr="008A087E">
        <w:fldChar w:fldCharType="separate"/>
      </w:r>
      <w:r w:rsidR="00126622" w:rsidRPr="009D5EFF">
        <w:rPr>
          <w:rFonts w:eastAsiaTheme="minorEastAsia"/>
          <w:vertAlign w:val="superscript"/>
        </w:rPr>
        <w:t>36</w:t>
      </w:r>
      <w:r w:rsidR="00273D10" w:rsidRPr="008A087E">
        <w:fldChar w:fldCharType="end"/>
      </w:r>
      <w:r w:rsidR="00273D10" w:rsidRPr="009D5EFF">
        <w:t xml:space="preserve"> and, more recently, N</w:t>
      </w:r>
      <w:r w:rsidR="0015045B" w:rsidRPr="009D5EFF">
        <w:t>elson et al,</w:t>
      </w:r>
      <w:r w:rsidR="00273D10" w:rsidRPr="008A087E">
        <w:fldChar w:fldCharType="begin"/>
      </w:r>
      <w:r w:rsidR="00126622" w:rsidRPr="009D5EFF">
        <w:instrText xml:space="preserve"> ADDIN PAPERS2_CITATIONS &lt;citation&gt;&lt;uuid&gt;2082C1A6-8D90-48CA-99D2-B43B671B98BA&lt;/uuid&gt;&lt;priority&gt;0&lt;/priority&gt;&lt;publications&gt;&lt;publication&gt;&lt;uuid&gt;37E20AAF-18F0-4EF2-A919-23BE68C23E2C&lt;/uuid&gt;&lt;volume&gt;8&lt;/volume&gt;&lt;doi&gt;10.1021/nn405331t&lt;/doi&gt;&lt;startpage&gt;5484&lt;/startpage&gt;&lt;publication_date&gt;99201406241200000000222000&lt;/publication_date&gt;&lt;url&gt;http://pubs.acs.org/doi/abs/10.1021/nn405331t&lt;/url&gt;&lt;type&gt;400&lt;/type&gt;&lt;title&gt;Direct, concurrent measurements of the forces and currents affecting DNA in a nanopore with comparable topography.&lt;/title&gt;&lt;institution&gt;University of Notre Dame , Stinson-Remick Hall, Notre Dame Avenue, Notre Dame, Indiana 46556, United States.&lt;/institution&gt;&lt;number&gt;6&lt;/number&gt;&lt;subtype&gt;400&lt;/subtype&gt;&lt;endpage&gt;5493&lt;/endpage&gt;&lt;bundle&gt;&lt;publication&gt;&lt;publisher&gt;American Chemical Society&lt;/publisher&gt;&lt;title&gt;Acs Nano&lt;/title&gt;&lt;type&gt;-100&lt;/type&gt;&lt;subtype&gt;-100&lt;/subtype&gt;&lt;uuid&gt;5E9CA553-02C7-485C-94F5-97FDA0032E37&lt;/uuid&gt;&lt;/publication&gt;&lt;/bundle&gt;&lt;authors&gt;&lt;author&gt;&lt;firstName&gt;Edward&lt;/firstName&gt;&lt;middleNames&gt;M&lt;/middleNames&gt;&lt;lastName&gt;Nelson&lt;/lastName&gt;&lt;/author&gt;&lt;author&gt;&lt;firstName&gt;Hui&lt;/firstName&gt;&lt;lastName&gt;Li&lt;/lastName&gt;&lt;/author&gt;&lt;author&gt;&lt;firstName&gt;Gregory&lt;/firstName&gt;&lt;lastName&gt;Timp&lt;/lastName&gt;&lt;/author&gt;&lt;/authors&gt;&lt;/publication&gt;&lt;/publications&gt;&lt;cites&gt;&lt;/cites&gt;&lt;/citation&gt;</w:instrText>
      </w:r>
      <w:r w:rsidR="00273D10" w:rsidRPr="008A087E">
        <w:fldChar w:fldCharType="separate"/>
      </w:r>
      <w:r w:rsidR="00126622" w:rsidRPr="009D5EFF">
        <w:rPr>
          <w:rFonts w:eastAsiaTheme="minorEastAsia"/>
          <w:vertAlign w:val="superscript"/>
        </w:rPr>
        <w:t>18</w:t>
      </w:r>
      <w:r w:rsidR="00273D10" w:rsidRPr="008A087E">
        <w:fldChar w:fldCharType="end"/>
      </w:r>
      <w:r w:rsidR="00273D10" w:rsidRPr="009D5EFF">
        <w:t xml:space="preserve"> have found the sliding of ssDNA within</w:t>
      </w:r>
      <w:r w:rsidR="0015045B" w:rsidRPr="009D5EFF">
        <w:t xml:space="preserve"> </w:t>
      </w:r>
      <w:r w:rsidR="00273D10" w:rsidRPr="009D5EFF">
        <w:t>nanopores to be frictionless, although in both cases the pores they investigated (</w:t>
      </w:r>
      <w:r w:rsidR="00C6543F" w:rsidRPr="009D5EFF">
        <w:t xml:space="preserve">between 1 and 3 nm diameter) </w:t>
      </w:r>
      <w:r w:rsidR="00273D10" w:rsidRPr="009D5EFF">
        <w:t>were significantly larger than the pore of a cyclodextrin</w:t>
      </w:r>
      <w:r w:rsidR="00815EDA" w:rsidRPr="009D5EFF">
        <w:t xml:space="preserve"> (0.5-0.6 nm diameter for α- and β-CD)</w:t>
      </w:r>
      <w:r w:rsidR="00273D10" w:rsidRPr="009D5EFF">
        <w:t xml:space="preserve">. </w:t>
      </w:r>
      <w:r w:rsidR="00D70C2D" w:rsidRPr="009D5EFF">
        <w:t>The phenomenon of solvation as a barrier to polymer unfolding has been observed previously in SMFS exper</w:t>
      </w:r>
      <w:r w:rsidR="005018C2" w:rsidRPr="009D5EFF">
        <w:t>iments as the Ra</w:t>
      </w:r>
      <w:r w:rsidR="00D70C2D" w:rsidRPr="009D5EFF">
        <w:t>leigh Instability</w:t>
      </w:r>
      <w:r w:rsidR="004240BF" w:rsidRPr="009D5EFF">
        <w:t>, resulting on the observation of plateaus as individual polymers are pulled out of the globular conformation they adopt in a poor solvent</w:t>
      </w:r>
      <w:r w:rsidR="00D70C2D" w:rsidRPr="009D5EFF">
        <w:t>.</w:t>
      </w:r>
      <w:r w:rsidR="005018C2" w:rsidRPr="008A087E">
        <w:fldChar w:fldCharType="begin"/>
      </w:r>
      <w:r w:rsidR="00126622" w:rsidRPr="009D5EFF">
        <w:instrText xml:space="preserve"> ADDIN PAPERS2_CITATIONS &lt;citation&gt;&lt;uuid&gt;5EF49CFD-97C7-491A-AA61-038DCEC044B1&lt;/uuid&gt;&lt;priority&gt;0&lt;/priority&gt;&lt;publications&gt;&lt;publication&gt;&lt;uuid&gt;B3BB05EA-45B1-476B-A0DA-C8482B32803B&lt;/uuid&gt;&lt;volume&gt;38&lt;/volume&gt;&lt;doi&gt;10.1021/ma051415d&lt;/doi&gt;&lt;startpage&gt;9821&lt;/startpage&gt;&lt;publication_date&gt;99200500001200000000200000&lt;/publication_date&gt;&lt;url&gt;http://pubs.acs.org/doi/abs/10.1021/ma051415d&lt;/url&gt;&lt;type&gt;400&lt;/type&gt;&lt;title&gt;Intermolecular interactions of polymer molecules determined by single-molecule force spectroscopy&lt;/title&gt;&lt;location&gt;200,5,48.1059924,11.4864487&lt;/location&gt;&lt;institution&gt;Univ Munich, Dept Chem &amp;amp; Biochem, D-81377 Munich, Germany&lt;/institution&gt;&lt;number&gt;23&lt;/number&gt;&lt;subtype&gt;400&lt;/subtype&gt;&lt;endpage&gt;9825&lt;/endpage&gt;&lt;bundle&gt;&lt;publication&gt;&lt;publisher&gt; American Chemical Society&lt;/publisher&gt;&lt;title&gt;Macromolecules&lt;/title&gt;&lt;type&gt;-100&lt;/type&gt;&lt;subtype&gt;-100&lt;/subtype&gt;&lt;uuid&gt;21CD14DE-05BD-4EFF-B132-D0033E2A0A03&lt;/uuid&gt;&lt;/publication&gt;&lt;/bundle&gt;&lt;authors&gt;&lt;author&gt;&lt;firstName&gt;A&lt;/firstName&gt;&lt;lastName&gt;Scherer&lt;/lastName&gt;&lt;/author&gt;&lt;author&gt;&lt;firstName&gt;CQ&lt;/firstName&gt;&lt;lastName&gt;Zhou&lt;/lastName&gt;&lt;/author&gt;&lt;author&gt;&lt;firstName&gt;J&lt;/firstName&gt;&lt;lastName&gt;Michaelis&lt;/lastName&gt;&lt;/author&gt;&lt;author&gt;&lt;firstName&gt;C&lt;/firstName&gt;&lt;lastName&gt;Brauchle&lt;/lastName&gt;&lt;/author&gt;&lt;author&gt;&lt;firstName&gt;A&lt;/firstName&gt;&lt;lastName&gt;Zumbusch&lt;/lastName&gt;&lt;/author&gt;&lt;/authors&gt;&lt;/publication&gt;&lt;/publications&gt;&lt;cites&gt;&lt;/cites&gt;&lt;/citation&gt;</w:instrText>
      </w:r>
      <w:r w:rsidR="005018C2" w:rsidRPr="008A087E">
        <w:fldChar w:fldCharType="separate"/>
      </w:r>
      <w:r w:rsidR="00126622" w:rsidRPr="009D5EFF">
        <w:rPr>
          <w:rFonts w:eastAsiaTheme="minorEastAsia"/>
          <w:vertAlign w:val="superscript"/>
        </w:rPr>
        <w:t>37</w:t>
      </w:r>
      <w:r w:rsidR="005018C2" w:rsidRPr="008A087E">
        <w:fldChar w:fldCharType="end"/>
      </w:r>
      <w:r w:rsidR="00D70C2D" w:rsidRPr="009D5EFF">
        <w:t xml:space="preserve"> </w:t>
      </w:r>
      <w:r w:rsidR="0011561A" w:rsidRPr="009D5EFF">
        <w:t xml:space="preserve">We applied this approach to our data. </w:t>
      </w:r>
    </w:p>
    <w:p w:rsidR="003522F0" w:rsidRPr="009D5EFF" w:rsidRDefault="003522F0" w:rsidP="002A436C">
      <w:pPr>
        <w:pStyle w:val="Head1"/>
        <w:jc w:val="both"/>
      </w:pPr>
    </w:p>
    <w:p w:rsidR="007B7347" w:rsidRPr="009D5EFF" w:rsidRDefault="00E60EE1" w:rsidP="002A436C">
      <w:pPr>
        <w:pStyle w:val="Head1"/>
        <w:jc w:val="both"/>
      </w:pPr>
      <w:r w:rsidRPr="009D5EFF">
        <w:t xml:space="preserve">In order to estimate the contributions of friction and solvation to the overall energy of passing a particular monomer through the CD pore, we looked for measured or calculable parameters that reflect these two contributions. As already described, the friction component will depend in some part upon the ‘tightness of fit’ of the monomer inside the CD pore, so the ratio of cross-sectional areas of the monomer and the CD pore, called the </w:t>
      </w:r>
      <w:r w:rsidR="00173E0C" w:rsidRPr="009D5EFF">
        <w:t xml:space="preserve">dimensionless </w:t>
      </w:r>
      <w:r w:rsidRPr="009D5EFF">
        <w:t xml:space="preserve">space-filling parameter </w:t>
      </w:r>
      <w:r w:rsidR="005018C2" w:rsidRPr="009D5EFF">
        <w:t>Φ</w:t>
      </w:r>
      <w:r w:rsidR="0035631E" w:rsidRPr="008A087E">
        <w:fldChar w:fldCharType="begin"/>
      </w:r>
      <w:r w:rsidR="00126622" w:rsidRPr="009D5EFF">
        <w:instrText xml:space="preserve"> ADDIN PAPERS2_CITATIONS &lt;citation&gt;&lt;uuid&gt;EAED3419-10E7-499D-82EF-2FEDDF1A0D74&lt;/uuid&gt;&lt;priority&gt;0&lt;/priority&gt;&lt;publications&gt;&lt;publication&gt;&lt;uuid&gt;88EC2BC1-643A-4F41-AD49-AA8877A02262&lt;/uuid&gt;&lt;volume&gt;106&lt;/volume&gt;&lt;doi&gt;10.1021/cr970027+&lt;/doi&gt;&lt;startpage&gt;782&lt;/startpage&gt;&lt;publication_date&gt;99200600001200000000200000&lt;/publication_date&gt;&lt;url&gt;http://eutils.ncbi.nlm.nih.gov/entrez/eutils/elink.fcgi?dbfrom=pubmed&amp;amp;id=16522009&amp;amp;retmode=ref&amp;amp;cmd=prlinks&lt;/url&gt;&lt;type&gt;400&lt;/type&gt;&lt;title&gt;Cyclodextrin rotaxanes and polyrotaxanes&lt;/title&gt;&lt;location&gt;200,9,49.2551604,7.0408960&lt;/location&gt;&lt;institution&gt;Univ Saarland, D-66123 Saarbrucken, Germany&lt;/institution&gt;&lt;subtype&gt;400&lt;/subtype&gt;&lt;endpage&gt;817&lt;/endpage&gt;&lt;bundle&gt;&lt;publication&gt;&lt;publisher&gt;ACS Publications&lt;/publisher&gt;&lt;title&gt;Chemical Reviews&lt;/title&gt;&lt;type&gt;-100&lt;/type&gt;&lt;subtype&gt;-100&lt;/subtype&gt;&lt;uuid&gt;3046440C-0418-4E17-8FF3-26E7CA36B288&lt;/uuid&gt;&lt;/publication&gt;&lt;/bundle&gt;&lt;authors&gt;&lt;author&gt;&lt;firstName&gt;Gerhard&lt;/firstName&gt;&lt;lastName&gt;Wenz&lt;/lastName&gt;&lt;/author&gt;&lt;author&gt;&lt;firstName&gt;BH&lt;/firstName&gt;&lt;lastName&gt;Han&lt;/lastName&gt;&lt;/author&gt;&lt;author&gt;&lt;firstName&gt;A&lt;/firstName&gt;&lt;lastName&gt;Muller&lt;/lastName&gt;&lt;/author&gt;&lt;/authors&gt;&lt;/publication&gt;&lt;/publications&gt;&lt;cites&gt;&lt;/cites&gt;&lt;/citation&gt;</w:instrText>
      </w:r>
      <w:r w:rsidR="0035631E" w:rsidRPr="008A087E">
        <w:fldChar w:fldCharType="separate"/>
      </w:r>
      <w:r w:rsidR="00126622" w:rsidRPr="009D5EFF">
        <w:rPr>
          <w:rFonts w:eastAsiaTheme="minorEastAsia"/>
          <w:vertAlign w:val="superscript"/>
        </w:rPr>
        <w:t>19</w:t>
      </w:r>
      <w:r w:rsidR="0035631E" w:rsidRPr="008A087E">
        <w:fldChar w:fldCharType="end"/>
      </w:r>
      <w:r w:rsidR="0035631E" w:rsidRPr="009D5EFF">
        <w:t xml:space="preserve"> (calculated using the cross-sectional areas of the monomers</w:t>
      </w:r>
      <w:r w:rsidR="00835572" w:rsidRPr="008A087E">
        <w:fldChar w:fldCharType="begin"/>
      </w:r>
      <w:r w:rsidR="00126622" w:rsidRPr="009D5EFF">
        <w:instrText xml:space="preserve"> ADDIN PAPERS2_CITATIONS &lt;citation&gt;&lt;uuid&gt;C4B65C27-B9B0-4D55-8DD7-30AD48B7F608&lt;/uuid&gt;&lt;priority&gt;0&lt;/priority&gt;&lt;publications&gt;&lt;publication&gt;&lt;uuid&gt;308F0EE2-C9E7-4832-88FF-D371129B238D&lt;/uuid&gt;&lt;volume&gt;13&lt;/volume&gt;&lt;startpage&gt;370&lt;/startpage&gt;&lt;publication_date&gt;99198000001200000000200000&lt;/publication_date&gt;&lt;url&gt;http://pubs.acs.org/doi/abs/10.1021/ma60074a031&lt;/url&gt;&lt;type&gt;400&lt;/type&gt;&lt;title&gt;CHAIN THICKNESS AND POLYMER CONFORMATION IN THE CRYSTALLINE STATE&lt;/title&gt;&lt;location&gt;200,2,35.6894875,139.6917064&lt;/location&gt;&lt;institution&gt;TOKYO INST TECHNOL,DEPT POLYMER TECHNOL,TOKYO 152,JAPAN&lt;/institution&gt;&lt;number&gt;2&lt;/number&gt;&lt;subtype&gt;400&lt;/subtype&gt;&lt;endpage&gt;372&lt;/endpage&gt;&lt;bundle&gt;&lt;publication&gt;&lt;publisher&gt; American Chemical Society&lt;/publisher&gt;&lt;title&gt;Macromolecules&lt;/title&gt;&lt;type&gt;-100&lt;/type&gt;&lt;subtype&gt;-100&lt;/subtype&gt;&lt;uuid&gt;21CD14DE-05BD-4EFF-B132-D0033E2A0A03&lt;/uuid&gt;&lt;/publication&gt;&lt;/bundle&gt;&lt;authors&gt;&lt;author&gt;&lt;firstName&gt;VP&lt;/firstName&gt;&lt;lastName&gt;Privalko&lt;/lastName&gt;&lt;/author&gt;&lt;/authors&gt;&lt;/publication&gt;&lt;/publications&gt;&lt;cites&gt;&lt;/cites&gt;&lt;/citation&gt;</w:instrText>
      </w:r>
      <w:r w:rsidR="00835572" w:rsidRPr="008A087E">
        <w:fldChar w:fldCharType="separate"/>
      </w:r>
      <w:r w:rsidR="00126622" w:rsidRPr="009D5EFF">
        <w:rPr>
          <w:rFonts w:eastAsiaTheme="minorEastAsia"/>
          <w:vertAlign w:val="superscript"/>
        </w:rPr>
        <w:t>38</w:t>
      </w:r>
      <w:r w:rsidR="00835572" w:rsidRPr="008A087E">
        <w:fldChar w:fldCharType="end"/>
      </w:r>
      <w:r w:rsidR="0035631E" w:rsidRPr="009D5EFF">
        <w:t xml:space="preserve"> and the cross-sectional area of the interior pore of the bead)</w:t>
      </w:r>
      <w:r w:rsidR="00CA5877" w:rsidRPr="009D5EFF">
        <w:t xml:space="preserve"> and already shown to have predictive power in estimating the stability constants of host-guest complexes where CDs are the host</w:t>
      </w:r>
      <w:r w:rsidR="006E2C52" w:rsidRPr="008A087E">
        <w:fldChar w:fldCharType="begin"/>
      </w:r>
      <w:r w:rsidR="00126622" w:rsidRPr="009D5EFF">
        <w:instrText xml:space="preserve"> ADDIN PAPERS2_CITATIONS &lt;citation&gt;&lt;uuid&gt;BFD4098A-CD87-4E4F-AA65-D1B9573D758D&lt;/uuid&gt;&lt;priority&gt;39&lt;/priority&gt;&lt;publications&gt;&lt;publication&gt;&lt;uuid&gt;88EC2BC1-643A-4F41-AD49-AA8877A02262&lt;/uuid&gt;&lt;volume&gt;106&lt;/volume&gt;&lt;doi&gt;10.1021/cr970027+&lt;/doi&gt;&lt;startpage&gt;782&lt;/startpage&gt;&lt;publication_date&gt;99200600001200000000200000&lt;/publication_date&gt;&lt;url&gt;http://eutils.ncbi.nlm.nih.gov/entrez/eutils/elink.fcgi?dbfrom=pubmed&amp;amp;id=16522009&amp;amp;retmode=ref&amp;amp;cmd=prlinks&lt;/url&gt;&lt;type&gt;400&lt;/type&gt;&lt;title&gt;Cyclodextrin rotaxanes and polyrotaxanes&lt;/title&gt;&lt;location&gt;200,9,49.2551604,7.0408960&lt;/location&gt;&lt;institution&gt;Univ Saarland, D-66123 Saarbrucken, Germany&lt;/institution&gt;&lt;subtype&gt;400&lt;/subtype&gt;&lt;endpage&gt;817&lt;/endpage&gt;&lt;bundle&gt;&lt;publication&gt;&lt;publisher&gt;ACS Publications&lt;/publisher&gt;&lt;title&gt;Chemical Reviews&lt;/title&gt;&lt;type&gt;-100&lt;/type&gt;&lt;subtype&gt;-100&lt;/subtype&gt;&lt;uuid&gt;3046440C-0418-4E17-8FF3-26E7CA36B288&lt;/uuid&gt;&lt;/publication&gt;&lt;/bundle&gt;&lt;authors&gt;&lt;author&gt;&lt;firstName&gt;Gerhard&lt;/firstName&gt;&lt;lastName&gt;Wenz&lt;/lastName&gt;&lt;/author&gt;&lt;author&gt;&lt;firstName&gt;BH&lt;/firstName&gt;&lt;lastName&gt;Han&lt;/lastName&gt;&lt;/author&gt;&lt;author&gt;&lt;firstName&gt;A&lt;/firstName&gt;&lt;lastName&gt;Muller&lt;/lastName&gt;&lt;/author&gt;&lt;/authors&gt;&lt;/publication&gt;&lt;publication&gt;&lt;uuid&gt;8092F33B-C435-4056-9EA6-3A0F7962C789&lt;/uuid&gt;&lt;volume&gt;13&lt;/volume&gt;&lt;doi&gt;10.1002/chem.200600764&lt;/doi&gt;&lt;startpage&gt;2218&lt;/startpage&gt;&lt;publication_date&gt;99200700001200000000200000&lt;/publication_date&gt;&lt;url&gt;http://eutils.ncbi.nlm.nih.gov/entrez/eutils/elink.fcgi?dbfrom=pubmed&amp;amp;id=17163548&amp;amp;retmode=ref&amp;amp;cmd=prlinks&lt;/url&gt;&lt;type&gt;400&lt;/type&gt;&lt;title&gt;Thickness recognition of bolaamphiphiles by alpha-cyclodextrin.&lt;/title&gt;&lt;location&gt;&amp;lt;html&amp;gt;&amp;lt;head&amp;gt;&amp;lt;meta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Home&amp;lt;/a&amp;gt;&amp;lt;/div&amp;gt;&amp;lt;/body&amp;gt;&amp;lt;/html&amp;gt;&lt;/location&gt;&lt;institution&gt;Organische Makromolekulare Chemie, Geb. C4.2, Saarland University, 66123 Saarbrücken, Germany.&lt;/institution&gt;&lt;number&gt;8&lt;/number&gt;&lt;subtype&gt;400&lt;/subtype&gt;&lt;endpage&gt;2223&lt;/endpage&gt;&lt;bundle&gt;&lt;publication&gt;&lt;title&gt;Chemistry (Weinheim an der Bergstrasse, Germany)&lt;/title&gt;&lt;type&gt;-100&lt;/type&gt;&lt;subtype&gt;-100&lt;/subtype&gt;&lt;uuid&gt;0233681E-55CD-4BDF-9E41-41E3DB12CA0C&lt;/uuid&gt;&lt;/publication&gt;&lt;/bundle&gt;&lt;authors&gt;&lt;author&gt;&lt;firstName&gt;Axel&lt;/firstName&gt;&lt;lastName&gt;Müller&lt;/lastName&gt;&lt;/author&gt;&lt;author&gt;&lt;firstName&gt;Gerhard&lt;/firstName&gt;&lt;lastName&gt;Wenz&lt;/lastName&gt;&lt;/author&gt;&lt;/authors&gt;&lt;/publication&gt;&lt;/publications&gt;&lt;cites&gt;&lt;/cites&gt;&lt;/citation&gt;</w:instrText>
      </w:r>
      <w:r w:rsidR="006E2C52" w:rsidRPr="008A087E">
        <w:fldChar w:fldCharType="separate"/>
      </w:r>
      <w:r w:rsidR="00126622" w:rsidRPr="009D5EFF">
        <w:rPr>
          <w:rFonts w:eastAsiaTheme="minorEastAsia"/>
          <w:vertAlign w:val="superscript"/>
        </w:rPr>
        <w:t>19,39</w:t>
      </w:r>
      <w:r w:rsidR="006E2C52" w:rsidRPr="008A087E">
        <w:fldChar w:fldCharType="end"/>
      </w:r>
      <w:r w:rsidR="00E24D4F" w:rsidRPr="009D5EFF">
        <w:t>, may be considered as a proxy for the friction component</w:t>
      </w:r>
      <w:r w:rsidR="00173E0C" w:rsidRPr="009D5EFF">
        <w:t>.</w:t>
      </w:r>
      <w:r w:rsidR="0011561A" w:rsidRPr="009D5EFF">
        <w:t xml:space="preserve"> The calculation of </w:t>
      </w:r>
      <w:r w:rsidR="005018C2" w:rsidRPr="009D5EFF">
        <w:t>Φ</w:t>
      </w:r>
      <w:r w:rsidR="0011561A" w:rsidRPr="009D5EFF">
        <w:t xml:space="preserve"> for stations 1 to 5 is presented in supporting information, and ranges from </w:t>
      </w:r>
      <w:r w:rsidR="001376BD" w:rsidRPr="009D5EFF">
        <w:t>0.6</w:t>
      </w:r>
      <w:r w:rsidR="00173E0C" w:rsidRPr="009D5EFF">
        <w:t xml:space="preserve"> to 3</w:t>
      </w:r>
      <w:r w:rsidR="000E70F1" w:rsidRPr="009D5EFF">
        <w:t xml:space="preserve"> (</w:t>
      </w:r>
      <w:r w:rsidR="000E70F1" w:rsidRPr="009D5EFF">
        <w:rPr>
          <w:b/>
        </w:rPr>
        <w:t>Table S3</w:t>
      </w:r>
      <w:r w:rsidR="000E70F1" w:rsidRPr="009D5EFF">
        <w:t>)</w:t>
      </w:r>
      <w:r w:rsidR="00E24D4F" w:rsidRPr="009D5EFF">
        <w:t>. Likewise, the solvation c</w:t>
      </w:r>
      <w:r w:rsidR="00EB353D" w:rsidRPr="009D5EFF">
        <w:t>omponent reflects the passage of</w:t>
      </w:r>
      <w:r w:rsidR="00E24D4F" w:rsidRPr="009D5EFF">
        <w:t xml:space="preserve"> the monomer from an aqueous environment, into the hydrophobic interior of the CD pore, and then back out into t</w:t>
      </w:r>
      <w:r w:rsidR="00EB353D" w:rsidRPr="009D5EFF">
        <w:t xml:space="preserve">he aqueous phase again, so that P, the </w:t>
      </w:r>
      <w:r w:rsidR="00173E0C" w:rsidRPr="009D5EFF">
        <w:t xml:space="preserve">dimensionless </w:t>
      </w:r>
      <w:r w:rsidR="00EB353D" w:rsidRPr="009D5EFF">
        <w:t>octanol:water partition coefficient commonly used (in i</w:t>
      </w:r>
      <w:r w:rsidR="00EA0AE7" w:rsidRPr="009D5EFF">
        <w:t xml:space="preserve">ts log form) as a </w:t>
      </w:r>
      <w:r w:rsidR="00EB353D" w:rsidRPr="009D5EFF">
        <w:t xml:space="preserve">measure of hydrophobicity in drug design, </w:t>
      </w:r>
      <w:r w:rsidR="00CA5877" w:rsidRPr="009D5EFF">
        <w:t xml:space="preserve">can be used to describe the relative favourability of these two environments for a particular monomer. </w:t>
      </w:r>
      <w:r w:rsidR="00173E0C" w:rsidRPr="009D5EFF">
        <w:t xml:space="preserve">Values of </w:t>
      </w:r>
      <w:r w:rsidR="001420D5" w:rsidRPr="009D5EFF">
        <w:t xml:space="preserve">log </w:t>
      </w:r>
      <w:r w:rsidR="00173E0C" w:rsidRPr="009D5EFF">
        <w:t xml:space="preserve">P for stations 1-5 are in the range </w:t>
      </w:r>
      <w:r w:rsidR="001420D5" w:rsidRPr="009D5EFF">
        <w:t>-3.3</w:t>
      </w:r>
      <w:r w:rsidR="00173E0C" w:rsidRPr="009D5EFF">
        <w:t xml:space="preserve"> to </w:t>
      </w:r>
      <w:r w:rsidR="001420D5" w:rsidRPr="009D5EFF">
        <w:t>0.6, corresponding to values of P between 0 and 4</w:t>
      </w:r>
      <w:r w:rsidR="004A7D94" w:rsidRPr="009D5EFF">
        <w:t xml:space="preserve">. </w:t>
      </w:r>
    </w:p>
    <w:p w:rsidR="007B7347" w:rsidRPr="009D5EFF" w:rsidRDefault="007B7347" w:rsidP="002A436C">
      <w:pPr>
        <w:pStyle w:val="Head1"/>
        <w:jc w:val="both"/>
      </w:pPr>
    </w:p>
    <w:p w:rsidR="00BB7A88" w:rsidRPr="009D5EFF" w:rsidRDefault="007B7347" w:rsidP="002A436C">
      <w:pPr>
        <w:pStyle w:val="Head1"/>
        <w:jc w:val="both"/>
      </w:pPr>
      <w:r w:rsidRPr="009D5EFF">
        <w:t>We then looked for correlations between ΔG</w:t>
      </w:r>
      <w:r w:rsidRPr="009D5EFF">
        <w:rPr>
          <w:vertAlign w:val="subscript"/>
        </w:rPr>
        <w:t>sl</w:t>
      </w:r>
      <w:r w:rsidRPr="009D5EFF">
        <w:t xml:space="preserve">, Φ and P, as shown by </w:t>
      </w:r>
      <w:r w:rsidRPr="009D5EFF">
        <w:rPr>
          <w:b/>
        </w:rPr>
        <w:t>Figure S7</w:t>
      </w:r>
      <w:r w:rsidRPr="009D5EFF">
        <w:t xml:space="preserve"> in </w:t>
      </w:r>
      <w:r w:rsidRPr="009D5EFF">
        <w:rPr>
          <w:b/>
        </w:rPr>
        <w:t>supporting information</w:t>
      </w:r>
      <w:r w:rsidRPr="009D5EFF">
        <w:t xml:space="preserve">. </w:t>
      </w:r>
      <w:r w:rsidR="00362034" w:rsidRPr="009D5EFF">
        <w:t xml:space="preserve">Taken </w:t>
      </w:r>
      <w:r w:rsidR="00F00DC1" w:rsidRPr="009D5EFF">
        <w:t>in isolation,</w:t>
      </w:r>
      <w:r w:rsidR="00362034" w:rsidRPr="009D5EFF">
        <w:t xml:space="preserve"> Φ</w:t>
      </w:r>
      <w:r w:rsidR="00F00DC1" w:rsidRPr="009D5EFF">
        <w:t xml:space="preserve"> does not</w:t>
      </w:r>
      <w:r w:rsidR="00362034" w:rsidRPr="009D5EFF">
        <w:t xml:space="preserve"> show a straightforward relationship with ΔG</w:t>
      </w:r>
      <w:r w:rsidR="00362034" w:rsidRPr="009D5EFF">
        <w:rPr>
          <w:vertAlign w:val="subscript"/>
        </w:rPr>
        <w:t>sl</w:t>
      </w:r>
      <w:r w:rsidR="00F508ED" w:rsidRPr="009D5EFF">
        <w:t xml:space="preserve">, </w:t>
      </w:r>
      <w:r w:rsidR="002D251C" w:rsidRPr="009D5EFF">
        <w:t>likely due to the anomalously low values of ΔG</w:t>
      </w:r>
      <w:r w:rsidR="002D251C" w:rsidRPr="009D5EFF">
        <w:rPr>
          <w:vertAlign w:val="subscript"/>
        </w:rPr>
        <w:t>sl</w:t>
      </w:r>
      <w:r w:rsidR="002D251C" w:rsidRPr="009D5EFF">
        <w:t xml:space="preserve"> for the two uronic acids</w:t>
      </w:r>
      <w:r w:rsidRPr="009D5EFF">
        <w:t>, while there is a clear linear dependence of ΔG</w:t>
      </w:r>
      <w:r w:rsidRPr="009D5EFF">
        <w:rPr>
          <w:vertAlign w:val="subscript"/>
        </w:rPr>
        <w:t xml:space="preserve">sl </w:t>
      </w:r>
      <w:r w:rsidRPr="009D5EFF">
        <w:t>on P</w:t>
      </w:r>
      <w:r w:rsidR="00E54D87" w:rsidRPr="009D5EFF">
        <w:t xml:space="preserve"> (R</w:t>
      </w:r>
      <w:r w:rsidR="00E54D87" w:rsidRPr="009D5EFF">
        <w:rPr>
          <w:vertAlign w:val="superscript"/>
        </w:rPr>
        <w:t>2</w:t>
      </w:r>
      <w:r w:rsidR="00E54D87" w:rsidRPr="009D5EFF">
        <w:t xml:space="preserve"> = 0.90)</w:t>
      </w:r>
      <w:r w:rsidRPr="009D5EFF">
        <w:t xml:space="preserve">. When we look at </w:t>
      </w:r>
      <w:r w:rsidR="00965CDC" w:rsidRPr="009D5EFF">
        <w:t>the dependence of ΔG</w:t>
      </w:r>
      <w:r w:rsidR="00965CDC" w:rsidRPr="009D5EFF">
        <w:rPr>
          <w:vertAlign w:val="subscript"/>
        </w:rPr>
        <w:t>sl</w:t>
      </w:r>
      <w:r w:rsidR="00173E0C" w:rsidRPr="009D5EFF">
        <w:t xml:space="preserve"> o</w:t>
      </w:r>
      <w:r w:rsidR="00965CDC" w:rsidRPr="009D5EFF">
        <w:t>n</w:t>
      </w:r>
      <w:r w:rsidR="00173E0C" w:rsidRPr="009D5EFF">
        <w:t xml:space="preserve"> the sum </w:t>
      </w:r>
      <w:r w:rsidR="005018C2" w:rsidRPr="009D5EFF">
        <w:t>Φ</w:t>
      </w:r>
      <w:r w:rsidR="00173E0C" w:rsidRPr="009D5EFF">
        <w:t xml:space="preserve"> + P</w:t>
      </w:r>
      <w:r w:rsidR="005018C2" w:rsidRPr="009D5EFF">
        <w:t xml:space="preserve">, </w:t>
      </w:r>
      <w:r w:rsidRPr="009D5EFF">
        <w:t>we find that all datapoints collapse onto a straight line</w:t>
      </w:r>
      <w:r w:rsidR="00A401D0" w:rsidRPr="009D5EFF">
        <w:t>. Using the method of least squares, w</w:t>
      </w:r>
      <w:r w:rsidR="008B4885" w:rsidRPr="009D5EFF">
        <w:t>e can therefore equate the sum</w:t>
      </w:r>
      <w:r w:rsidR="005018C2" w:rsidRPr="009D5EFF">
        <w:t xml:space="preserve"> W</w:t>
      </w:r>
      <w:r w:rsidR="005018C2" w:rsidRPr="009D5EFF">
        <w:rPr>
          <w:vertAlign w:val="subscript"/>
        </w:rPr>
        <w:t>fr</w:t>
      </w:r>
      <w:r w:rsidR="005018C2" w:rsidRPr="009D5EFF">
        <w:t xml:space="preserve"> + W</w:t>
      </w:r>
      <w:r w:rsidR="00B76E82" w:rsidRPr="009D5EFF">
        <w:rPr>
          <w:vertAlign w:val="subscript"/>
        </w:rPr>
        <w:t>adh</w:t>
      </w:r>
      <w:r w:rsidR="008B4885" w:rsidRPr="009D5EFF">
        <w:t xml:space="preserve"> to k.(Φ + P), where k = 22.93 kJ/mol (SE = 0.67)</w:t>
      </w:r>
      <w:r w:rsidR="00173E0C" w:rsidRPr="009D5EFF">
        <w:t xml:space="preserve">. </w:t>
      </w:r>
      <w:r w:rsidR="00A401D0" w:rsidRPr="009D5EFF">
        <w:t>The coefficient of determination for this fit is 0.993 and the data are shown in Figur</w:t>
      </w:r>
      <w:r w:rsidR="00E54D87" w:rsidRPr="009D5EFF">
        <w:t>e S7c. We can go further and carry out</w:t>
      </w:r>
      <w:r w:rsidR="00A401D0" w:rsidRPr="009D5EFF">
        <w:t xml:space="preserve"> a multiple </w:t>
      </w:r>
      <w:r w:rsidR="00E54D87" w:rsidRPr="009D5EFF">
        <w:t xml:space="preserve">linear </w:t>
      </w:r>
      <w:r w:rsidR="00A401D0" w:rsidRPr="009D5EFF">
        <w:t>regression</w:t>
      </w:r>
      <w:r w:rsidR="00E54D87" w:rsidRPr="009D5EFF">
        <w:t xml:space="preserve"> analysis to find the values of the constants k</w:t>
      </w:r>
      <w:r w:rsidR="00E54D87" w:rsidRPr="009D5EFF">
        <w:rPr>
          <w:vertAlign w:val="subscript"/>
        </w:rPr>
        <w:t>Φ</w:t>
      </w:r>
      <w:r w:rsidR="00E54D87" w:rsidRPr="009D5EFF">
        <w:t xml:space="preserve"> and k</w:t>
      </w:r>
      <w:r w:rsidR="00E54D87" w:rsidRPr="009D5EFF">
        <w:rPr>
          <w:vertAlign w:val="subscript"/>
        </w:rPr>
        <w:t>P</w:t>
      </w:r>
      <w:r w:rsidR="00E54D87" w:rsidRPr="009D5EFF">
        <w:t xml:space="preserve"> in the terms k</w:t>
      </w:r>
      <w:r w:rsidR="00E54D87" w:rsidRPr="009D5EFF">
        <w:rPr>
          <w:vertAlign w:val="subscript"/>
        </w:rPr>
        <w:t>Φ</w:t>
      </w:r>
      <w:r w:rsidR="00E54D87" w:rsidRPr="009D5EFF">
        <w:t>.Φ = W</w:t>
      </w:r>
      <w:r w:rsidR="00E54D87" w:rsidRPr="009D5EFF">
        <w:rPr>
          <w:vertAlign w:val="subscript"/>
        </w:rPr>
        <w:t>fr</w:t>
      </w:r>
      <w:r w:rsidR="00E54D87" w:rsidRPr="009D5EFF">
        <w:t xml:space="preserve"> and k</w:t>
      </w:r>
      <w:r w:rsidR="00E54D87" w:rsidRPr="009D5EFF">
        <w:rPr>
          <w:vertAlign w:val="subscript"/>
        </w:rPr>
        <w:t>P</w:t>
      </w:r>
      <w:r w:rsidR="00E54D87" w:rsidRPr="009D5EFF">
        <w:t>.P = W</w:t>
      </w:r>
      <w:r w:rsidR="00E54D87" w:rsidRPr="009D5EFF">
        <w:rPr>
          <w:vertAlign w:val="subscript"/>
        </w:rPr>
        <w:t>adh</w:t>
      </w:r>
      <w:r w:rsidR="00E54D87" w:rsidRPr="009D5EFF">
        <w:t xml:space="preserve"> to solve the equation ΔG</w:t>
      </w:r>
      <w:r w:rsidR="00E54D87" w:rsidRPr="009D5EFF">
        <w:rPr>
          <w:vertAlign w:val="subscript"/>
        </w:rPr>
        <w:t>sl</w:t>
      </w:r>
      <w:r w:rsidR="00E54D87" w:rsidRPr="009D5EFF">
        <w:t xml:space="preserve"> =  k</w:t>
      </w:r>
      <w:r w:rsidR="00E54D87" w:rsidRPr="009D5EFF">
        <w:rPr>
          <w:vertAlign w:val="subscript"/>
        </w:rPr>
        <w:t>Φ</w:t>
      </w:r>
      <w:r w:rsidR="00E54D87" w:rsidRPr="009D5EFF">
        <w:t>.Φ + k</w:t>
      </w:r>
      <w:r w:rsidR="00E54D87" w:rsidRPr="009D5EFF">
        <w:rPr>
          <w:vertAlign w:val="subscript"/>
        </w:rPr>
        <w:t>P</w:t>
      </w:r>
      <w:r w:rsidR="00E54D87" w:rsidRPr="009D5EFF">
        <w:t xml:space="preserve">.P. </w:t>
      </w:r>
      <w:r w:rsidR="0058565A" w:rsidRPr="009D5EFF">
        <w:t>This analysis produce</w:t>
      </w:r>
      <w:r w:rsidR="00CE688F" w:rsidRPr="009D5EFF">
        <w:t>s</w:t>
      </w:r>
      <w:r w:rsidR="0058565A" w:rsidRPr="009D5EFF">
        <w:t xml:space="preserve"> values of 19.8 (SE = 1.4) and 25.6 (SE = 1.2) kJ/mol for k</w:t>
      </w:r>
      <w:r w:rsidR="0058565A" w:rsidRPr="009D5EFF">
        <w:rPr>
          <w:vertAlign w:val="subscript"/>
        </w:rPr>
        <w:t>Φ</w:t>
      </w:r>
      <w:r w:rsidR="0058565A" w:rsidRPr="009D5EFF">
        <w:rPr>
          <w:b/>
        </w:rPr>
        <w:t xml:space="preserve"> </w:t>
      </w:r>
      <w:r w:rsidR="0058565A" w:rsidRPr="009D5EFF">
        <w:t>and k</w:t>
      </w:r>
      <w:r w:rsidR="0058565A" w:rsidRPr="009D5EFF">
        <w:rPr>
          <w:vertAlign w:val="subscript"/>
        </w:rPr>
        <w:t>P</w:t>
      </w:r>
      <w:r w:rsidR="0058565A" w:rsidRPr="009D5EFF">
        <w:t xml:space="preserve"> respectively.</w:t>
      </w:r>
      <w:r w:rsidR="0058565A" w:rsidRPr="009D5EFF">
        <w:rPr>
          <w:b/>
        </w:rPr>
        <w:t xml:space="preserve"> </w:t>
      </w:r>
      <w:r w:rsidR="006C43C0" w:rsidRPr="009D5EFF">
        <w:rPr>
          <w:b/>
        </w:rPr>
        <w:t>Figure 5</w:t>
      </w:r>
      <w:r w:rsidR="006C43C0" w:rsidRPr="009D5EFF">
        <w:t xml:space="preserve"> shows the </w:t>
      </w:r>
      <w:r w:rsidR="001E6CD0" w:rsidRPr="009D5EFF">
        <w:t>very close correspondence between the value of</w:t>
      </w:r>
      <w:r w:rsidR="006C43C0" w:rsidRPr="009D5EFF">
        <w:t xml:space="preserve"> </w:t>
      </w:r>
      <w:r w:rsidR="005018C2" w:rsidRPr="009D5EFF">
        <w:t>Δ</w:t>
      </w:r>
      <w:r w:rsidR="006C43C0" w:rsidRPr="009D5EFF">
        <w:t>G</w:t>
      </w:r>
      <w:r w:rsidR="006C43C0" w:rsidRPr="009D5EFF">
        <w:rPr>
          <w:vertAlign w:val="subscript"/>
        </w:rPr>
        <w:t>s</w:t>
      </w:r>
      <w:r w:rsidR="0043197A" w:rsidRPr="009D5EFF">
        <w:rPr>
          <w:vertAlign w:val="subscript"/>
        </w:rPr>
        <w:t>l</w:t>
      </w:r>
      <w:r w:rsidR="006C43C0" w:rsidRPr="009D5EFF">
        <w:t xml:space="preserve"> </w:t>
      </w:r>
      <w:r w:rsidR="001E6CD0" w:rsidRPr="009D5EFF">
        <w:t>measured by SCFS</w:t>
      </w:r>
      <w:r w:rsidR="00563C19" w:rsidRPr="009D5EFF">
        <w:t xml:space="preserve"> (ΔG</w:t>
      </w:r>
      <w:r w:rsidR="00563C19" w:rsidRPr="009D5EFF">
        <w:rPr>
          <w:vertAlign w:val="subscript"/>
        </w:rPr>
        <w:t>sl(meas)</w:t>
      </w:r>
      <w:r w:rsidR="00563C19" w:rsidRPr="009D5EFF">
        <w:t xml:space="preserve"> )</w:t>
      </w:r>
      <w:r w:rsidR="006C43C0" w:rsidRPr="009D5EFF">
        <w:t xml:space="preserve"> for the series of stations passing through </w:t>
      </w:r>
      <w:r w:rsidR="00C2496B" w:rsidRPr="009D5EFF">
        <w:t>α</w:t>
      </w:r>
      <w:r w:rsidR="006C43C0" w:rsidRPr="009D5EFF">
        <w:t xml:space="preserve">- and </w:t>
      </w:r>
      <w:r w:rsidR="00C2496B" w:rsidRPr="009D5EFF">
        <w:t>β</w:t>
      </w:r>
      <w:r w:rsidR="006C43C0" w:rsidRPr="009D5EFF">
        <w:t>-CD</w:t>
      </w:r>
      <w:r w:rsidR="001E6CD0" w:rsidRPr="009D5EFF">
        <w:t xml:space="preserve"> and the value calculated from k</w:t>
      </w:r>
      <w:r w:rsidR="001E6CD0" w:rsidRPr="009D5EFF">
        <w:rPr>
          <w:vertAlign w:val="subscript"/>
        </w:rPr>
        <w:t>Φ</w:t>
      </w:r>
      <w:r w:rsidR="001E6CD0" w:rsidRPr="009D5EFF">
        <w:t>.Φ + k</w:t>
      </w:r>
      <w:r w:rsidR="001E6CD0" w:rsidRPr="009D5EFF">
        <w:rPr>
          <w:vertAlign w:val="subscript"/>
        </w:rPr>
        <w:t>P</w:t>
      </w:r>
      <w:r w:rsidR="001E6CD0" w:rsidRPr="009D5EFF">
        <w:t>.P</w:t>
      </w:r>
      <w:r w:rsidR="00563C19" w:rsidRPr="009D5EFF">
        <w:t>, (ΔG</w:t>
      </w:r>
      <w:r w:rsidR="00563C19" w:rsidRPr="009D5EFF">
        <w:rPr>
          <w:vertAlign w:val="subscript"/>
        </w:rPr>
        <w:t>sl(calc)</w:t>
      </w:r>
      <w:r w:rsidR="00563C19" w:rsidRPr="009D5EFF">
        <w:t>)</w:t>
      </w:r>
      <w:r w:rsidR="00C2496B" w:rsidRPr="009D5EFF">
        <w:t xml:space="preserve">. </w:t>
      </w:r>
    </w:p>
    <w:p w:rsidR="00B42F1A" w:rsidRPr="009D5EFF" w:rsidRDefault="00B42F1A" w:rsidP="002A436C">
      <w:pPr>
        <w:pStyle w:val="Head1"/>
        <w:jc w:val="both"/>
      </w:pPr>
    </w:p>
    <w:p w:rsidR="003F07BA" w:rsidRDefault="003F07BA" w:rsidP="002A436C">
      <w:pPr>
        <w:pStyle w:val="Head1"/>
        <w:jc w:val="both"/>
      </w:pPr>
      <w:r>
        <w:rPr>
          <w:noProof/>
          <w:lang w:val="nb-NO" w:eastAsia="nb-NO"/>
        </w:rPr>
        <w:drawing>
          <wp:inline distT="0" distB="0" distL="0" distR="0" wp14:anchorId="1CE6A9E6" wp14:editId="186C9C21">
            <wp:extent cx="4557069" cy="449541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5.png"/>
                    <pic:cNvPicPr/>
                  </pic:nvPicPr>
                  <pic:blipFill>
                    <a:blip r:embed="rId8">
                      <a:extLst>
                        <a:ext uri="{28A0092B-C50C-407E-A947-70E740481C1C}">
                          <a14:useLocalDpi xmlns:a14="http://schemas.microsoft.com/office/drawing/2010/main" val="0"/>
                        </a:ext>
                      </a:extLst>
                    </a:blip>
                    <a:stretch>
                      <a:fillRect/>
                    </a:stretch>
                  </pic:blipFill>
                  <pic:spPr>
                    <a:xfrm>
                      <a:off x="0" y="0"/>
                      <a:ext cx="4557069" cy="4495412"/>
                    </a:xfrm>
                    <a:prstGeom prst="rect">
                      <a:avLst/>
                    </a:prstGeom>
                  </pic:spPr>
                </pic:pic>
              </a:graphicData>
            </a:graphic>
          </wp:inline>
        </w:drawing>
      </w:r>
    </w:p>
    <w:p w:rsidR="003F07BA" w:rsidRDefault="003F07BA" w:rsidP="002A436C">
      <w:pPr>
        <w:pStyle w:val="Head1"/>
        <w:jc w:val="both"/>
      </w:pPr>
    </w:p>
    <w:p w:rsidR="002B7412" w:rsidRPr="009D5EFF" w:rsidRDefault="002B7412" w:rsidP="002A436C">
      <w:pPr>
        <w:pStyle w:val="Head1"/>
        <w:jc w:val="both"/>
      </w:pPr>
      <w:r w:rsidRPr="005946AD">
        <w:t>Figure 5</w:t>
      </w:r>
      <w:r w:rsidR="00C02CD5" w:rsidRPr="005946AD">
        <w:t>.</w:t>
      </w:r>
      <w:r w:rsidRPr="005946AD">
        <w:t xml:space="preserve"> </w:t>
      </w:r>
      <w:r w:rsidR="00666500" w:rsidRPr="009D5EFF">
        <w:t>Plot of ΔG</w:t>
      </w:r>
      <w:r w:rsidR="00666500" w:rsidRPr="009D5EFF">
        <w:rPr>
          <w:vertAlign w:val="subscript"/>
        </w:rPr>
        <w:t>s</w:t>
      </w:r>
      <w:r w:rsidR="0043197A" w:rsidRPr="009D5EFF">
        <w:rPr>
          <w:vertAlign w:val="subscript"/>
        </w:rPr>
        <w:t>l</w:t>
      </w:r>
      <w:r w:rsidR="001E6CD0" w:rsidRPr="009D5EFF">
        <w:rPr>
          <w:vertAlign w:val="subscript"/>
        </w:rPr>
        <w:t>(meas)</w:t>
      </w:r>
      <w:r w:rsidR="00666500" w:rsidRPr="009D5EFF">
        <w:t xml:space="preserve"> vs. </w:t>
      </w:r>
      <w:r w:rsidR="001E6CD0" w:rsidRPr="009D5EFF">
        <w:t>ΔG</w:t>
      </w:r>
      <w:r w:rsidR="001E6CD0" w:rsidRPr="009D5EFF">
        <w:rPr>
          <w:vertAlign w:val="subscript"/>
        </w:rPr>
        <w:t>sl(calc)</w:t>
      </w:r>
      <w:r w:rsidR="001E6CD0" w:rsidRPr="009D5EFF">
        <w:t xml:space="preserve"> </w:t>
      </w:r>
      <w:r w:rsidR="00666500" w:rsidRPr="009D5EFF">
        <w:t xml:space="preserve">for stations 1-5 passing through α- and β-CD. </w:t>
      </w:r>
      <w:r w:rsidR="001E6CD0" w:rsidRPr="009D5EFF">
        <w:t>The dashed line is the fit to the line y = x. The colours of the datapoints follow the pattern used in figure 3</w:t>
      </w:r>
      <w:r w:rsidRPr="009D5EFF">
        <w:t>. Error bars are 2</w:t>
      </w:r>
      <w:r w:rsidR="002A5F51" w:rsidRPr="009D5EFF">
        <w:t>×</w:t>
      </w:r>
      <w:r w:rsidRPr="009D5EFF">
        <w:t xml:space="preserve">SD of the </w:t>
      </w:r>
      <w:r w:rsidR="00914CEE" w:rsidRPr="009D5EFF">
        <w:t>Δ</w:t>
      </w:r>
      <w:r w:rsidRPr="009D5EFF">
        <w:t>G</w:t>
      </w:r>
      <w:r w:rsidRPr="009D5EFF">
        <w:rPr>
          <w:vertAlign w:val="subscript"/>
        </w:rPr>
        <w:t>s</w:t>
      </w:r>
      <w:r w:rsidR="0043197A" w:rsidRPr="009D5EFF">
        <w:rPr>
          <w:vertAlign w:val="subscript"/>
        </w:rPr>
        <w:t>l</w:t>
      </w:r>
      <w:r w:rsidRPr="009D5EFF">
        <w:t xml:space="preserve"> data, encompassing 95% of data assuming normal distribution.</w:t>
      </w:r>
    </w:p>
    <w:p w:rsidR="0011561A" w:rsidRDefault="0011561A" w:rsidP="002A436C">
      <w:pPr>
        <w:pStyle w:val="Head1"/>
        <w:jc w:val="both"/>
      </w:pPr>
    </w:p>
    <w:p w:rsidR="00784DCC" w:rsidRPr="009D5EFF" w:rsidRDefault="000D6097" w:rsidP="002A436C">
      <w:pPr>
        <w:pStyle w:val="Head1"/>
        <w:jc w:val="both"/>
      </w:pPr>
      <w:r w:rsidRPr="009D5EFF">
        <w:t xml:space="preserve">The data used to construct this relation encompasses large and small monomers that are hydrophilic or mildly hydrophobic (max. log P = 0.6). </w:t>
      </w:r>
      <w:r w:rsidR="00C20ADA" w:rsidRPr="009D5EFF">
        <w:t>For small, hydrophobic monomers such as ethylene</w:t>
      </w:r>
      <w:r w:rsidR="00563C19" w:rsidRPr="009D5EFF">
        <w:t>, or for the guest molecules investigated by Auletta et al</w:t>
      </w:r>
      <w:r w:rsidR="00563C19" w:rsidRPr="008A087E">
        <w:fldChar w:fldCharType="begin"/>
      </w:r>
      <w:r w:rsidR="00126622" w:rsidRPr="009D5EFF">
        <w:instrText xml:space="preserve"> ADDIN PAPERS2_CITATIONS &lt;citation&gt;&lt;uuid&gt;A9693025-EAA8-47B2-9D13-B3F235B9275D&lt;/uuid&gt;&lt;priority&gt;0&lt;/priority&gt;&lt;publications&gt;&lt;publication&gt;&lt;uuid&gt;BF8EC236-2F04-4A65-BEA4-EB23B2DD1EB4&lt;/uuid&gt;&lt;volume&gt;126&lt;/volume&gt;&lt;doi&gt;10.1021/ja0383569&lt;/doi&gt;&lt;startpage&gt;1577&lt;/startpage&gt;&lt;publication_date&gt;99200402111200000000222000&lt;/publication_date&gt;&lt;url&gt;http://eutils.ncbi.nlm.nih.gov/entrez/eutils/elink.fcgi?dbfrom=pubmed&amp;amp;id=14759218&amp;amp;retmode=ref&amp;amp;cmd=prlinks&lt;/url&gt;&lt;type&gt;400&lt;/type&gt;&lt;title&gt;Beta-cyclodextrin host-guest complexes probed under thermodynamic equilibrium: thermodynamics and AFM force spectroscopy.&lt;/title&gt;&lt;location&gt;&amp;lt;html&amp;gt;&amp;lt;head&amp;gt;&amp;lt;meta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Home&amp;lt;/a&amp;gt;&amp;lt;/div&amp;gt;&amp;lt;/body&amp;gt;&amp;lt;/html&amp;gt;&lt;/location&gt;&lt;institution&gt;Supramolecular Chemistry and Technology, MESA(+) Institute for Nanotechnology, University of Twente, P.O. Box 217, 7500 AE Enschede, The Netherlands.&lt;/institution&gt;&lt;number&gt;5&lt;/number&gt;&lt;subtype&gt;400&lt;/subtype&gt;&lt;endpage&gt;1584&lt;/endpage&gt;&lt;bundle&gt;&lt;publication&gt;&lt;publisher&gt;American Chemical Society&lt;/publisher&gt;&lt;title&gt;Journal Of The American Chemical Society&lt;/title&gt;&lt;type&gt;-100&lt;/type&gt;&lt;subtype&gt;-100&lt;/subtype&gt;&lt;uuid&gt;BC05F51B-24D8-4C7C-912D-98305E18EC2F&lt;/uuid&gt;&lt;/publication&gt;&lt;/bundle&gt;&lt;authors&gt;&lt;author&gt;&lt;firstName&gt;Tommaso&lt;/firstName&gt;&lt;lastName&gt;Auletta&lt;/lastName&gt;&lt;/author&gt;&lt;author&gt;&lt;lastName&gt;Jong&lt;/lastName&gt;&lt;nonDroppingParticle&gt;de&lt;/nonDroppingParticle&gt;&lt;firstName&gt;Menno&lt;/firstName&gt;&lt;middleNames&gt;R&lt;/middleNames&gt;&lt;/author&gt;&lt;author&gt;&lt;firstName&gt;Alart&lt;/firstName&gt;&lt;lastName&gt;Mulder&lt;/lastName&gt;&lt;/author&gt;&lt;author&gt;&lt;lastName&gt;Veggel&lt;/lastName&gt;&lt;nonDroppingParticle&gt;van&lt;/nonDroppingParticle&gt;&lt;firstName&gt;Frank&lt;/firstName&gt;&lt;middleNames&gt;C J M&lt;/middleNames&gt;&lt;/author&gt;&lt;author&gt;&lt;firstName&gt;Jurriaan&lt;/firstName&gt;&lt;lastName&gt;Huskens&lt;/lastName&gt;&lt;/author&gt;&lt;author&gt;&lt;firstName&gt;David&lt;/firstName&gt;&lt;middleNames&gt;N&lt;/middleNames&gt;&lt;lastName&gt;Reinhoudt&lt;/lastName&gt;&lt;/author&gt;&lt;author&gt;&lt;firstName&gt;Shan&lt;/firstName&gt;&lt;lastName&gt;Zou&lt;/lastName&gt;&lt;/author&gt;&lt;author&gt;&lt;firstName&gt;Szczepan&lt;/firstName&gt;&lt;lastName&gt;Zapotoczny&lt;/lastName&gt;&lt;/author&gt;&lt;author&gt;&lt;firstName&gt;Holger&lt;/firstName&gt;&lt;lastName&gt;Schonherr&lt;/lastName&gt;&lt;/author&gt;&lt;author&gt;&lt;firstName&gt;G&lt;/firstName&gt;&lt;middleNames&gt;Julius&lt;/middleNames&gt;&lt;lastName&gt;Vancso&lt;/lastName&gt;&lt;/author&gt;&lt;author&gt;&lt;firstName&gt;Laurens&lt;/firstName&gt;&lt;lastName&gt;Kuipers&lt;/lastName&gt;&lt;/author&gt;&lt;/authors&gt;&lt;/publication&gt;&lt;/publications&gt;&lt;cites&gt;&lt;/cites&gt;&lt;/citation&gt;</w:instrText>
      </w:r>
      <w:r w:rsidR="00563C19" w:rsidRPr="008A087E">
        <w:fldChar w:fldCharType="separate"/>
      </w:r>
      <w:r w:rsidR="00126622" w:rsidRPr="009D5EFF">
        <w:rPr>
          <w:rFonts w:eastAsiaTheme="minorEastAsia"/>
          <w:vertAlign w:val="superscript"/>
        </w:rPr>
        <w:t>31</w:t>
      </w:r>
      <w:r w:rsidR="00563C19" w:rsidRPr="008A087E">
        <w:fldChar w:fldCharType="end"/>
      </w:r>
      <w:r w:rsidR="00C20ADA" w:rsidRPr="009D5EFF">
        <w:t xml:space="preserve"> the </w:t>
      </w:r>
      <w:r w:rsidR="00784DCC" w:rsidRPr="009D5EFF">
        <w:t>relation</w:t>
      </w:r>
      <w:r w:rsidR="00C20ADA" w:rsidRPr="009D5EFF">
        <w:t xml:space="preserve"> predicts very high energies (more than 500 </w:t>
      </w:r>
      <w:r w:rsidR="00666826" w:rsidRPr="009D5EFF">
        <w:t>kJ/mol</w:t>
      </w:r>
      <w:r w:rsidR="00C20ADA" w:rsidRPr="009D5EFF">
        <w:t>) due to the dependence on P rather than log P</w:t>
      </w:r>
      <w:r w:rsidR="0033613F" w:rsidRPr="009D5EFF">
        <w:t>, so clearly our empirical model is applicable over a limited range</w:t>
      </w:r>
      <w:r w:rsidR="00C20ADA" w:rsidRPr="009D5EFF">
        <w:t xml:space="preserve">. </w:t>
      </w:r>
      <w:r w:rsidR="006E69B6" w:rsidRPr="009D5EFF">
        <w:t xml:space="preserve">Replicating the above analysis, replacing the dependence on P with a dependence on Log P, </w:t>
      </w:r>
      <w:r w:rsidR="002A5F51" w:rsidRPr="009D5EFF">
        <w:t>yield</w:t>
      </w:r>
      <w:r w:rsidR="006E69B6" w:rsidRPr="009D5EFF">
        <w:t>s the equation ΔG</w:t>
      </w:r>
      <w:r w:rsidR="006E69B6" w:rsidRPr="009D5EFF">
        <w:rPr>
          <w:vertAlign w:val="subscript"/>
        </w:rPr>
        <w:t>sl</w:t>
      </w:r>
      <w:r w:rsidR="006E69B6" w:rsidRPr="009D5EFF">
        <w:t xml:space="preserve"> = (52.9</w:t>
      </w:r>
      <w:r w:rsidR="00195D52" w:rsidRPr="009D5EFF">
        <w:t>×</w:t>
      </w:r>
      <w:r w:rsidR="006E69B6" w:rsidRPr="009D5EFF">
        <w:t>Φ) + (28.4</w:t>
      </w:r>
      <w:r w:rsidR="00195D52" w:rsidRPr="009D5EFF">
        <w:t>×</w:t>
      </w:r>
      <w:r w:rsidR="006E69B6" w:rsidRPr="009D5EFF">
        <w:t>Log P)</w:t>
      </w:r>
      <w:r w:rsidR="00563C19" w:rsidRPr="009D5EFF">
        <w:t>, which still corresponds reasonably well to ΔG</w:t>
      </w:r>
      <w:r w:rsidR="00563C19" w:rsidRPr="009D5EFF">
        <w:rPr>
          <w:vertAlign w:val="subscript"/>
        </w:rPr>
        <w:t>sl(meas)</w:t>
      </w:r>
      <w:r w:rsidR="00563C19" w:rsidRPr="009D5EFF">
        <w:t xml:space="preserve"> but does predict negative energies in some cases, while providing more likely values of ΔG</w:t>
      </w:r>
      <w:r w:rsidR="00563C19" w:rsidRPr="009D5EFF">
        <w:rPr>
          <w:vertAlign w:val="subscript"/>
        </w:rPr>
        <w:t>sl(calc)</w:t>
      </w:r>
      <w:r w:rsidR="002A5F51" w:rsidRPr="009D5EFF">
        <w:t xml:space="preserve"> for hydrophobic monomers</w:t>
      </w:r>
      <w:r w:rsidR="006E69B6" w:rsidRPr="009D5EFF">
        <w:t xml:space="preserve">. </w:t>
      </w:r>
      <w:r w:rsidR="00C20ADA" w:rsidRPr="009D5EFF">
        <w:t>Nevertheless, o</w:t>
      </w:r>
      <w:r w:rsidR="003E4F06" w:rsidRPr="009D5EFF">
        <w:t>the</w:t>
      </w:r>
      <w:r w:rsidR="00C20ADA" w:rsidRPr="009D5EFF">
        <w:t>r monomers that fall within the model’s applicable</w:t>
      </w:r>
      <w:r w:rsidR="003E4F06" w:rsidRPr="009D5EFF">
        <w:t xml:space="preserve"> range include</w:t>
      </w:r>
      <w:r w:rsidR="004A3F6C" w:rsidRPr="009D5EFF">
        <w:t xml:space="preserve"> </w:t>
      </w:r>
      <w:r w:rsidR="003E4F06" w:rsidRPr="009D5EFF">
        <w:t xml:space="preserve">those constituting </w:t>
      </w:r>
      <w:r w:rsidR="0058594E" w:rsidRPr="009D5EFF">
        <w:t>many</w:t>
      </w:r>
      <w:r w:rsidR="004A3F6C" w:rsidRPr="009D5EFF">
        <w:t xml:space="preserve"> important linear </w:t>
      </w:r>
      <w:r w:rsidR="00784DCC" w:rsidRPr="009D5EFF">
        <w:t xml:space="preserve">and short-branched </w:t>
      </w:r>
      <w:r w:rsidR="004A3F6C" w:rsidRPr="009D5EFF">
        <w:t>heteropolymers</w:t>
      </w:r>
      <w:r w:rsidR="008B1B30" w:rsidRPr="009D5EFF">
        <w:t xml:space="preserve"> (ess</w:t>
      </w:r>
      <w:r w:rsidR="00220853" w:rsidRPr="009D5EFF">
        <w:t>entially all monosaccharides,</w:t>
      </w:r>
      <w:r w:rsidR="008B1B30" w:rsidRPr="009D5EFF">
        <w:t xml:space="preserve"> amino acids</w:t>
      </w:r>
      <w:r w:rsidR="00784DCC" w:rsidRPr="009D5EFF">
        <w:t>, nucleic acids</w:t>
      </w:r>
      <w:r w:rsidR="00682D9B" w:rsidRPr="009D5EFF">
        <w:t xml:space="preserve"> and</w:t>
      </w:r>
      <w:r w:rsidR="00220853" w:rsidRPr="009D5EFF">
        <w:t xml:space="preserve"> </w:t>
      </w:r>
      <w:r w:rsidR="00682D9B" w:rsidRPr="009D5EFF">
        <w:t xml:space="preserve">biocompatible </w:t>
      </w:r>
      <w:r w:rsidR="00220853" w:rsidRPr="009D5EFF">
        <w:t>polyhydroxyalkanoates)</w:t>
      </w:r>
      <w:r w:rsidR="004A3F6C" w:rsidRPr="009D5EFF">
        <w:t>, some of which</w:t>
      </w:r>
      <w:r w:rsidR="003E4F06" w:rsidRPr="009D5EFF">
        <w:t xml:space="preserve"> are not amenable to conventional sequencing methods.</w:t>
      </w:r>
      <w:r w:rsidR="004A3F6C" w:rsidRPr="009D5EFF">
        <w:t xml:space="preserve"> </w:t>
      </w:r>
    </w:p>
    <w:p w:rsidR="00784DCC" w:rsidRDefault="00784DCC" w:rsidP="002A436C">
      <w:pPr>
        <w:pStyle w:val="Head1"/>
        <w:jc w:val="both"/>
      </w:pPr>
    </w:p>
    <w:p w:rsidR="00784DCC" w:rsidRPr="009D5EFF" w:rsidRDefault="00784DCC" w:rsidP="002A436C">
      <w:pPr>
        <w:pStyle w:val="Head1"/>
        <w:jc w:val="both"/>
      </w:pPr>
      <w:r w:rsidRPr="009D5EFF">
        <w:t>Towards single molecule polymer sequencing</w:t>
      </w:r>
    </w:p>
    <w:p w:rsidR="003522F0" w:rsidRDefault="003E4F06" w:rsidP="002A436C">
      <w:pPr>
        <w:pStyle w:val="Head1"/>
        <w:jc w:val="both"/>
      </w:pPr>
      <w:r>
        <w:t>The</w:t>
      </w:r>
      <w:r w:rsidR="00D356EF">
        <w:t xml:space="preserve"> very clear predictive </w:t>
      </w:r>
      <w:r w:rsidR="00563C19">
        <w:t xml:space="preserve">equation described above </w:t>
      </w:r>
      <w:r w:rsidR="00563C19" w:rsidRPr="00C02CD5">
        <w:t>ΔG</w:t>
      </w:r>
      <w:r w:rsidR="00563C19" w:rsidRPr="00C02CD5">
        <w:rPr>
          <w:vertAlign w:val="subscript"/>
        </w:rPr>
        <w:t>s</w:t>
      </w:r>
      <w:r w:rsidR="00563C19">
        <w:rPr>
          <w:vertAlign w:val="subscript"/>
        </w:rPr>
        <w:t>l</w:t>
      </w:r>
      <w:r w:rsidR="00563C19">
        <w:t xml:space="preserve"> =  k</w:t>
      </w:r>
      <w:r w:rsidR="00563C19" w:rsidRPr="004154FD">
        <w:rPr>
          <w:vertAlign w:val="subscript"/>
        </w:rPr>
        <w:t>Φ</w:t>
      </w:r>
      <w:r w:rsidR="00563C19">
        <w:t>.</w:t>
      </w:r>
      <w:r w:rsidR="00563C19" w:rsidRPr="00C02CD5">
        <w:t>Φ</w:t>
      </w:r>
      <w:r w:rsidR="00563C19">
        <w:t xml:space="preserve"> + </w:t>
      </w:r>
      <w:r w:rsidR="00563C19" w:rsidRPr="004154FD">
        <w:t>k</w:t>
      </w:r>
      <w:r w:rsidR="00563C19" w:rsidRPr="004154FD">
        <w:rPr>
          <w:vertAlign w:val="subscript"/>
        </w:rPr>
        <w:t>P</w:t>
      </w:r>
      <w:r w:rsidR="00563C19">
        <w:t>.</w:t>
      </w:r>
      <w:r w:rsidR="00563C19" w:rsidRPr="004154FD">
        <w:t>P</w:t>
      </w:r>
      <w:r w:rsidR="005202A3">
        <w:t xml:space="preserve"> </w:t>
      </w:r>
      <w:r w:rsidR="00D356EF">
        <w:t xml:space="preserve">allows us to </w:t>
      </w:r>
      <w:r w:rsidR="000D6097">
        <w:t xml:space="preserve">consider </w:t>
      </w:r>
      <w:r>
        <w:t xml:space="preserve">whether this approach may serve as an alternative, or </w:t>
      </w:r>
      <w:r w:rsidR="00286DCA">
        <w:t>a first</w:t>
      </w:r>
      <w:r>
        <w:t>, mapping or sequencing tool for epigenetic modifications of nucleic acids, post-translational modifications of proteins and sidechain patterns in linear glycans.</w:t>
      </w:r>
      <w:r w:rsidR="00286DCA">
        <w:t xml:space="preserve"> </w:t>
      </w:r>
      <w:r w:rsidR="005202A3" w:rsidRPr="0098304F">
        <w:t xml:space="preserve">Table </w:t>
      </w:r>
      <w:r w:rsidR="000A4F42">
        <w:t>S4</w:t>
      </w:r>
      <w:r w:rsidR="003522F0">
        <w:t xml:space="preserve"> </w:t>
      </w:r>
      <w:r w:rsidR="003522F0" w:rsidRPr="003522F0">
        <w:t>in</w:t>
      </w:r>
      <w:r w:rsidR="003522F0">
        <w:t xml:space="preserve"> supporting information</w:t>
      </w:r>
      <w:r w:rsidR="005202A3">
        <w:t xml:space="preserve"> lists the values of </w:t>
      </w:r>
      <w:r w:rsidR="00771B31">
        <w:t xml:space="preserve">P, </w:t>
      </w:r>
      <w:r w:rsidR="005202A3" w:rsidRPr="0080328E">
        <w:t>Φ</w:t>
      </w:r>
      <w:r w:rsidR="00771B31">
        <w:t>,</w:t>
      </w:r>
      <w:r w:rsidR="002A7B83">
        <w:t xml:space="preserve"> </w:t>
      </w:r>
      <w:r w:rsidR="005202A3" w:rsidRPr="0080328E">
        <w:t>ΔG</w:t>
      </w:r>
      <w:r w:rsidR="005202A3" w:rsidRPr="0080328E">
        <w:rPr>
          <w:vertAlign w:val="subscript"/>
        </w:rPr>
        <w:t>s</w:t>
      </w:r>
      <w:r w:rsidR="0043197A">
        <w:rPr>
          <w:vertAlign w:val="subscript"/>
        </w:rPr>
        <w:t>l</w:t>
      </w:r>
      <w:r w:rsidR="005202A3">
        <w:t xml:space="preserve"> </w:t>
      </w:r>
      <w:r w:rsidR="002A7B83">
        <w:t>and f</w:t>
      </w:r>
      <w:r w:rsidR="002A7B83" w:rsidRPr="002A7B83">
        <w:rPr>
          <w:vertAlign w:val="subscript"/>
        </w:rPr>
        <w:t>eq</w:t>
      </w:r>
      <w:r w:rsidR="002A7B83">
        <w:t xml:space="preserve"> </w:t>
      </w:r>
      <w:r w:rsidR="005202A3">
        <w:t xml:space="preserve">for the four DNA nucleotides, </w:t>
      </w:r>
      <w:r w:rsidR="00EF700E">
        <w:t xml:space="preserve">several biocompatible polyhydroxyalkanoates, </w:t>
      </w:r>
      <w:r w:rsidR="005202A3">
        <w:t xml:space="preserve">the 24 standard amino acids and some common post-translational modifications, including phosphorylation of serine, threonine and tyrosine, </w:t>
      </w:r>
      <w:r w:rsidR="00A74041">
        <w:t>N-glycosylation of asparagine, O-</w:t>
      </w:r>
      <w:r w:rsidR="005202A3">
        <w:t>glycosylation of serine</w:t>
      </w:r>
      <w:r w:rsidR="00A74041">
        <w:t xml:space="preserve"> and threonine</w:t>
      </w:r>
      <w:r w:rsidR="005202A3">
        <w:t xml:space="preserve"> and methylation of DNA. </w:t>
      </w:r>
      <w:r w:rsidR="008A6A4B">
        <w:t xml:space="preserve">A check on the applicability of the method may be made by comparing the value of </w:t>
      </w:r>
      <w:r w:rsidR="008A6A4B" w:rsidRPr="0080328E">
        <w:t>ΔG</w:t>
      </w:r>
      <w:r w:rsidR="008A6A4B" w:rsidRPr="0080328E">
        <w:rPr>
          <w:vertAlign w:val="subscript"/>
        </w:rPr>
        <w:t>s</w:t>
      </w:r>
      <w:r w:rsidR="0043197A">
        <w:rPr>
          <w:vertAlign w:val="subscript"/>
        </w:rPr>
        <w:t>l</w:t>
      </w:r>
      <w:r w:rsidR="008A6A4B">
        <w:t xml:space="preserve"> it predicts for ssDNA with the simulated and measured values found by Lindsay and Williams.</w:t>
      </w:r>
      <w:r w:rsidR="008A6A4B">
        <w:fldChar w:fldCharType="begin"/>
      </w:r>
      <w:r w:rsidR="00126622">
        <w:instrText xml:space="preserve"> ADDIN PAPERS2_CITATIONS &lt;citation&gt;&lt;uuid&gt;4BF802FC-8049-4451-801E-A241E8C58D5F&lt;/uuid&gt;&lt;priority&gt;0&lt;/priority&gt;&lt;publications&gt;&lt;publication&gt;&lt;uuid&gt;07BDF8A5-30F6-4C57-B800-ACF035BAF9D9&lt;/uuid&gt;&lt;volume&gt;4&lt;/volume&gt;&lt;doi&gt;10.1002/smll.200800233&lt;/doi&gt;&lt;startpage&gt;1468&lt;/startpage&gt;&lt;publication_date&gt;99200809001200000000220000&lt;/publication_date&gt;&lt;url&gt;http://onlinelibrary.wiley.com/doi/10.1002/smll.200800233/abstract&lt;/url&gt;&lt;type&gt;400&lt;/type&gt;&lt;title&gt;An AFM/rotaxane molecular reading head for sequence-dependent DNA structures.&lt;/title&gt;&lt;location&gt;200,9,33.4192276,-111.9283891&lt;/location&gt;&lt;institution&gt;Biodesign Institute, Arizona State University, PO Box 875601 Tempe, AZ 85287, USA.&lt;/institution&gt;&lt;number&gt;9&lt;/number&gt;&lt;subtype&gt;400&lt;/subtype&gt;&lt;endpage&gt;1475&lt;/endpage&gt;&lt;bundle&gt;&lt;publication&gt;&lt;title&gt;Small&lt;/title&gt;&lt;type&gt;-100&lt;/type&gt;&lt;subtype&gt;-100&lt;/subtype&gt;&lt;uuid&gt;BF540E91-0BEA-4885-9EA1-1CA20286A25C&lt;/uuid&gt;&lt;/publication&gt;&lt;/bundle&gt;&lt;authors&gt;&lt;author&gt;&lt;firstName&gt;Brian&lt;/firstName&gt;&lt;middleNames&gt;A&lt;/middleNames&gt;&lt;lastName&gt;Ashcroft&lt;/lastName&gt;&lt;/author&gt;&lt;author&gt;&lt;firstName&gt;Quinn&lt;/firstName&gt;&lt;lastName&gt;Spadola&lt;/lastName&gt;&lt;/author&gt;&lt;author&gt;&lt;firstName&gt;Shahid&lt;/firstName&gt;&lt;lastName&gt;Qamar&lt;/lastName&gt;&lt;/author&gt;&lt;author&gt;&lt;firstName&gt;Peiming&lt;/firstName&gt;&lt;lastName&gt;Zhang&lt;/lastName&gt;&lt;/author&gt;&lt;author&gt;&lt;firstName&gt;Gerald&lt;/firstName&gt;&lt;lastName&gt;Kada&lt;/lastName&gt;&lt;/author&gt;&lt;author&gt;&lt;firstName&gt;Rouvain&lt;/firstName&gt;&lt;lastName&gt;Bension&lt;/lastName&gt;&lt;/author&gt;&lt;author&gt;&lt;firstName&gt;Stuart&lt;/firstName&gt;&lt;middleNames&gt;M&lt;/middleNames&gt;&lt;lastName&gt;Lindsay&lt;/lastName&gt;&lt;/author&gt;&lt;/authors&gt;&lt;/publication&gt;&lt;publication&gt;&lt;uuid&gt;7F6A913B-4222-46CD-8B49-B6CBE6B80E84&lt;/uuid&gt;&lt;volume&gt;94&lt;/volume&gt;&lt;doi&gt;10.1529/biophysj.107.108670&lt;/doi&gt;&lt;startpage&gt;1233&lt;/startpage&gt;&lt;publication_date&gt;99200802151200000000222000&lt;/publication_date&gt;&lt;url&gt;http://eutils.ncbi.nlm.nih.gov/entrez/eutils/elink.fcgi?dbfrom=pubmed&amp;amp;id=17965134&amp;amp;retmode=ref&amp;amp;cmd=prlinks&lt;/url&gt;&lt;type&gt;400&lt;/type&gt;&lt;title&gt;Can an atomic force microscope sequence DNA using a nanopore?&lt;/title&gt;&lt;location&gt;200,9,33.4192276,-111.9283891&lt;/location&gt;&lt;institution&gt;Center for Single Molecule Biophysics, The Biodesign Institute, Arizona State University, Tempe, Arizona 85287, USA. shahid.qamar@asu.edu&lt;/institution&gt;&lt;number&gt;4&lt;/number&gt;&lt;subtype&gt;400&lt;/subtype&gt;&lt;endpage&gt;1240&lt;/endpage&gt;&lt;bundle&gt;&lt;publication&gt;&lt;publisher&gt;Elsevier&lt;/publisher&gt;&lt;title&gt;Biophysical Journal&lt;/title&gt;&lt;type&gt;-100&lt;/type&gt;&lt;subtype&gt;-100&lt;/subtype&gt;&lt;uuid&gt;07D612CF-3795-4F1B-8209-A7314A62BAED&lt;/uuid&gt;&lt;/publication&gt;&lt;/bundle&gt;&lt;authors&gt;&lt;author&gt;&lt;firstName&gt;Shahid&lt;/firstName&gt;&lt;lastName&gt;Qamar&lt;/lastName&gt;&lt;/author&gt;&lt;author&gt;&lt;firstName&gt;Phil&lt;/firstName&gt;&lt;middleNames&gt;M&lt;/middleNames&gt;&lt;lastName&gt;Williams&lt;/lastName&gt;&lt;/author&gt;&lt;author&gt;&lt;firstName&gt;Stuart&lt;/firstName&gt;&lt;middleNames&gt;M&lt;/middleNames&gt;&lt;lastName&gt;Lindsay&lt;/lastName&gt;&lt;/author&gt;&lt;/authors&gt;&lt;/publication&gt;&lt;/publications&gt;&lt;cites&gt;&lt;/cites&gt;&lt;/citation&gt;</w:instrText>
      </w:r>
      <w:r w:rsidR="008A6A4B">
        <w:fldChar w:fldCharType="separate"/>
      </w:r>
      <w:r w:rsidR="00126622">
        <w:rPr>
          <w:rFonts w:eastAsiaTheme="minorEastAsia"/>
          <w:vertAlign w:val="superscript"/>
        </w:rPr>
        <w:t>10,23</w:t>
      </w:r>
      <w:r w:rsidR="008A6A4B">
        <w:fldChar w:fldCharType="end"/>
      </w:r>
      <w:r w:rsidR="008A6A4B">
        <w:t xml:space="preserve"> </w:t>
      </w:r>
      <w:r w:rsidR="0098304F">
        <w:t>Using</w:t>
      </w:r>
      <w:r w:rsidR="0058594E">
        <w:t xml:space="preserve"> calculated values of </w:t>
      </w:r>
      <w:r w:rsidR="0058594E" w:rsidRPr="0080328E">
        <w:t>Φ</w:t>
      </w:r>
      <w:r w:rsidR="0058594E">
        <w:t xml:space="preserve"> and </w:t>
      </w:r>
      <w:r w:rsidR="0058594E" w:rsidRPr="0080328E">
        <w:t>P</w:t>
      </w:r>
      <w:r w:rsidR="0058594E">
        <w:t xml:space="preserve"> we find predicted values of </w:t>
      </w:r>
      <w:r w:rsidR="0058594E" w:rsidRPr="0080328E">
        <w:t>ΔG</w:t>
      </w:r>
      <w:r w:rsidR="0058594E" w:rsidRPr="0080328E">
        <w:rPr>
          <w:vertAlign w:val="subscript"/>
        </w:rPr>
        <w:t>s</w:t>
      </w:r>
      <w:r w:rsidR="0043197A">
        <w:rPr>
          <w:vertAlign w:val="subscript"/>
        </w:rPr>
        <w:t>l</w:t>
      </w:r>
      <w:r w:rsidR="0058594E">
        <w:t xml:space="preserve"> </w:t>
      </w:r>
      <w:r w:rsidR="00FF1E32">
        <w:t>for the four nucleotides</w:t>
      </w:r>
      <w:r w:rsidR="00D3076D">
        <w:t xml:space="preserve"> and </w:t>
      </w:r>
      <w:r w:rsidR="00CD6C52">
        <w:t>β</w:t>
      </w:r>
      <w:r w:rsidR="00CD6C52" w:rsidRPr="0080328E">
        <w:t>-CD</w:t>
      </w:r>
      <w:r w:rsidR="00FF1E32">
        <w:t xml:space="preserve"> to fall between </w:t>
      </w:r>
      <w:r w:rsidR="002A5F51">
        <w:t xml:space="preserve">67 </w:t>
      </w:r>
      <w:r w:rsidR="000A4F42">
        <w:t xml:space="preserve">and </w:t>
      </w:r>
      <w:r w:rsidR="002A5F51">
        <w:t xml:space="preserve">76 </w:t>
      </w:r>
      <w:r w:rsidR="0098304F">
        <w:t>kJ</w:t>
      </w:r>
      <w:r w:rsidR="00206CF5">
        <w:t>/</w:t>
      </w:r>
      <w:r w:rsidR="00EB72DC">
        <w:t>mol</w:t>
      </w:r>
      <w:r w:rsidR="0047347B">
        <w:t xml:space="preserve">. This </w:t>
      </w:r>
      <w:r w:rsidR="00CE090C">
        <w:t xml:space="preserve">is </w:t>
      </w:r>
      <w:r w:rsidR="0084665C">
        <w:t>rather larger than</w:t>
      </w:r>
      <w:r w:rsidR="0098304F">
        <w:t xml:space="preserve"> the values of </w:t>
      </w:r>
      <w:r w:rsidR="0098304F" w:rsidRPr="0080328E">
        <w:t>ΔG</w:t>
      </w:r>
      <w:r w:rsidR="0098304F" w:rsidRPr="0080328E">
        <w:rPr>
          <w:vertAlign w:val="subscript"/>
        </w:rPr>
        <w:t>s</w:t>
      </w:r>
      <w:r w:rsidR="0043197A">
        <w:rPr>
          <w:vertAlign w:val="subscript"/>
        </w:rPr>
        <w:t>l</w:t>
      </w:r>
      <w:r w:rsidR="0098304F">
        <w:t xml:space="preserve"> calculated using the simulated forces and spring constants reported by Lindsay and Williams</w:t>
      </w:r>
      <w:r w:rsidR="0098304F">
        <w:fldChar w:fldCharType="begin"/>
      </w:r>
      <w:r w:rsidR="00126622">
        <w:instrText xml:space="preserve"> ADDIN PAPERS2_CITATIONS &lt;citation&gt;&lt;uuid&gt;1B8CE069-D198-40DB-B732-174A1270ED93&lt;/uuid&gt;&lt;priority&gt;0&lt;/priority&gt;&lt;publications&gt;&lt;publication&gt;&lt;uuid&gt;07BDF8A5-30F6-4C57-B800-ACF035BAF9D9&lt;/uuid&gt;&lt;volume&gt;4&lt;/volume&gt;&lt;doi&gt;10.1002/smll.200800233&lt;/doi&gt;&lt;startpage&gt;1468&lt;/startpage&gt;&lt;publication_date&gt;99200809001200000000220000&lt;/publication_date&gt;&lt;url&gt;http://onlinelibrary.wiley.com/doi/10.1002/smll.200800233/abstract&lt;/url&gt;&lt;type&gt;400&lt;/type&gt;&lt;title&gt;An AFM/rotaxane molecular reading head for sequence-dependent DNA structures.&lt;/title&gt;&lt;location&gt;200,9,33.4192276,-111.9283891&lt;/location&gt;&lt;institution&gt;Biodesign Institute, Arizona State University, PO Box 875601 Tempe, AZ 85287, USA.&lt;/institution&gt;&lt;number&gt;9&lt;/number&gt;&lt;subtype&gt;400&lt;/subtype&gt;&lt;endpage&gt;1475&lt;/endpage&gt;&lt;bundle&gt;&lt;publication&gt;&lt;title&gt;Small&lt;/title&gt;&lt;type&gt;-100&lt;/type&gt;&lt;subtype&gt;-100&lt;/subtype&gt;&lt;uuid&gt;BF540E91-0BEA-4885-9EA1-1CA20286A25C&lt;/uuid&gt;&lt;/publication&gt;&lt;/bundle&gt;&lt;authors&gt;&lt;author&gt;&lt;firstName&gt;Brian&lt;/firstName&gt;&lt;middleNames&gt;A&lt;/middleNames&gt;&lt;lastName&gt;Ashcroft&lt;/lastName&gt;&lt;/author&gt;&lt;author&gt;&lt;firstName&gt;Quinn&lt;/firstName&gt;&lt;lastName&gt;Spadola&lt;/lastName&gt;&lt;/author&gt;&lt;author&gt;&lt;firstName&gt;Shahid&lt;/firstName&gt;&lt;lastName&gt;Qamar&lt;/lastName&gt;&lt;/author&gt;&lt;author&gt;&lt;firstName&gt;Peiming&lt;/firstName&gt;&lt;lastName&gt;Zhang&lt;/lastName&gt;&lt;/author&gt;&lt;author&gt;&lt;firstName&gt;Gerald&lt;/firstName&gt;&lt;lastName&gt;Kada&lt;/lastName&gt;&lt;/author&gt;&lt;author&gt;&lt;firstName&gt;Rouvain&lt;/firstName&gt;&lt;lastName&gt;Bension&lt;/lastName&gt;&lt;/author&gt;&lt;author&gt;&lt;firstName&gt;Stuart&lt;/firstName&gt;&lt;middleNames&gt;M&lt;/middleNames&gt;&lt;lastName&gt;Lindsay&lt;/lastName&gt;&lt;/author&gt;&lt;/authors&gt;&lt;/publication&gt;&lt;publication&gt;&lt;uuid&gt;7F6A913B-4222-46CD-8B49-B6CBE6B80E84&lt;/uuid&gt;&lt;volume&gt;94&lt;/volume&gt;&lt;doi&gt;10.1529/biophysj.107.108670&lt;/doi&gt;&lt;startpage&gt;1233&lt;/startpage&gt;&lt;publication_date&gt;99200802151200000000222000&lt;/publication_date&gt;&lt;url&gt;http://eutils.ncbi.nlm.nih.gov/entrez/eutils/elink.fcgi?dbfrom=pubmed&amp;amp;id=17965134&amp;amp;retmode=ref&amp;amp;cmd=prlinks&lt;/url&gt;&lt;type&gt;400&lt;/type&gt;&lt;title&gt;Can an atomic force microscope sequence DNA using a nanopore?&lt;/title&gt;&lt;location&gt;200,9,33.4192276,-111.9283891&lt;/location&gt;&lt;institution&gt;Center for Single Molecule Biophysics, The Biodesign Institute, Arizona State University, Tempe, Arizona 85287, USA. shahid.qamar@asu.edu&lt;/institution&gt;&lt;number&gt;4&lt;/number&gt;&lt;subtype&gt;400&lt;/subtype&gt;&lt;endpage&gt;1240&lt;/endpage&gt;&lt;bundle&gt;&lt;publication&gt;&lt;publisher&gt;Elsevier&lt;/publisher&gt;&lt;title&gt;Biophysical Journal&lt;/title&gt;&lt;type&gt;-100&lt;/type&gt;&lt;subtype&gt;-100&lt;/subtype&gt;&lt;uuid&gt;07D612CF-3795-4F1B-8209-A7314A62BAED&lt;/uuid&gt;&lt;/publication&gt;&lt;/bundle&gt;&lt;authors&gt;&lt;author&gt;&lt;firstName&gt;Shahid&lt;/firstName&gt;&lt;lastName&gt;Qamar&lt;/lastName&gt;&lt;/author&gt;&lt;author&gt;&lt;firstName&gt;Phil&lt;/firstName&gt;&lt;middleNames&gt;M&lt;/middleNames&gt;&lt;lastName&gt;Williams&lt;/lastName&gt;&lt;/author&gt;&lt;author&gt;&lt;firstName&gt;Stuart&lt;/firstName&gt;&lt;middleNames&gt;M&lt;/middleNames&gt;&lt;lastName&gt;Lindsay&lt;/lastName&gt;&lt;/author&gt;&lt;/authors&gt;&lt;/publication&gt;&lt;/publications&gt;&lt;cites&gt;&lt;/cites&gt;&lt;/citation&gt;</w:instrText>
      </w:r>
      <w:r w:rsidR="0098304F">
        <w:fldChar w:fldCharType="separate"/>
      </w:r>
      <w:r w:rsidR="00126622">
        <w:rPr>
          <w:rFonts w:eastAsiaTheme="minorEastAsia"/>
          <w:vertAlign w:val="superscript"/>
        </w:rPr>
        <w:t>10,23</w:t>
      </w:r>
      <w:r w:rsidR="0098304F">
        <w:fldChar w:fldCharType="end"/>
      </w:r>
      <w:r w:rsidR="0098304F">
        <w:t xml:space="preserve"> </w:t>
      </w:r>
      <w:r w:rsidR="00A82D2B">
        <w:t xml:space="preserve">(31-33 kJ/mol), </w:t>
      </w:r>
      <w:r w:rsidR="0084665C">
        <w:t>but</w:t>
      </w:r>
      <w:r w:rsidR="00AB2775">
        <w:t xml:space="preserve"> </w:t>
      </w:r>
      <w:r w:rsidR="00206CF5">
        <w:t>as noted above</w:t>
      </w:r>
      <w:r w:rsidR="00A82D2B">
        <w:t xml:space="preserve">, </w:t>
      </w:r>
      <w:r w:rsidR="00CE090C">
        <w:t>the experimental data for the sliding of β-CD along ssDNA published subsequently</w:t>
      </w:r>
      <w:r w:rsidR="00CE090C">
        <w:fldChar w:fldCharType="begin"/>
      </w:r>
      <w:r w:rsidR="00126622">
        <w:instrText xml:space="preserve"> ADDIN PAPERS2_CITATIONS &lt;citation&gt;&lt;uuid&gt;1683D799-8B6F-479B-8169-EB3CA6E53E86&lt;/uuid&gt;&lt;priority&gt;0&lt;/priority&gt;&lt;publications&gt;&lt;publication&gt;&lt;uuid&gt;07BDF8A5-30F6-4C57-B800-ACF035BAF9D9&lt;/uuid&gt;&lt;volume&gt;4&lt;/volume&gt;&lt;doi&gt;10.1002/smll.200800233&lt;/doi&gt;&lt;startpage&gt;1468&lt;/startpage&gt;&lt;publication_date&gt;99200809001200000000220000&lt;/publication_date&gt;&lt;url&gt;http://onlinelibrary.wiley.com/doi/10.1002/smll.200800233/abstract&lt;/url&gt;&lt;type&gt;400&lt;/type&gt;&lt;title&gt;An AFM/rotaxane molecular reading head for sequence-dependent DNA structures.&lt;/title&gt;&lt;location&gt;200,9,33.4192276,-111.9283891&lt;/location&gt;&lt;institution&gt;Biodesign Institute, Arizona State University, PO Box 875601 Tempe, AZ 85287, USA.&lt;/institution&gt;&lt;number&gt;9&lt;/number&gt;&lt;subtype&gt;400&lt;/subtype&gt;&lt;endpage&gt;1475&lt;/endpage&gt;&lt;bundle&gt;&lt;publication&gt;&lt;title&gt;Small&lt;/title&gt;&lt;type&gt;-100&lt;/type&gt;&lt;subtype&gt;-100&lt;/subtype&gt;&lt;uuid&gt;BF540E91-0BEA-4885-9EA1-1CA20286A25C&lt;/uuid&gt;&lt;/publication&gt;&lt;/bundle&gt;&lt;authors&gt;&lt;author&gt;&lt;firstName&gt;Brian&lt;/firstName&gt;&lt;middleNames&gt;A&lt;/middleNames&gt;&lt;lastName&gt;Ashcroft&lt;/lastName&gt;&lt;/author&gt;&lt;author&gt;&lt;firstName&gt;Quinn&lt;/firstName&gt;&lt;lastName&gt;Spadola&lt;/lastName&gt;&lt;/author&gt;&lt;author&gt;&lt;firstName&gt;Shahid&lt;/firstName&gt;&lt;lastName&gt;Qamar&lt;/lastName&gt;&lt;/author&gt;&lt;author&gt;&lt;firstName&gt;Peiming&lt;/firstName&gt;&lt;lastName&gt;Zhang&lt;/lastName&gt;&lt;/author&gt;&lt;author&gt;&lt;firstName&gt;Gerald&lt;/firstName&gt;&lt;lastName&gt;Kada&lt;/lastName&gt;&lt;/author&gt;&lt;author&gt;&lt;firstName&gt;Rouvain&lt;/firstName&gt;&lt;lastName&gt;Bension&lt;/lastName&gt;&lt;/author&gt;&lt;author&gt;&lt;firstName&gt;Stuart&lt;/firstName&gt;&lt;middleNames&gt;M&lt;/middleNames&gt;&lt;lastName&gt;Lindsay&lt;/lastName&gt;&lt;/author&gt;&lt;/authors&gt;&lt;/publication&gt;&lt;/publications&gt;&lt;cites&gt;&lt;/cites&gt;&lt;/citation&gt;</w:instrText>
      </w:r>
      <w:r w:rsidR="00CE090C">
        <w:fldChar w:fldCharType="separate"/>
      </w:r>
      <w:r w:rsidR="00460042">
        <w:rPr>
          <w:rFonts w:eastAsiaTheme="minorEastAsia"/>
          <w:vertAlign w:val="superscript"/>
        </w:rPr>
        <w:t>10</w:t>
      </w:r>
      <w:r w:rsidR="00CE090C">
        <w:fldChar w:fldCharType="end"/>
      </w:r>
      <w:r w:rsidR="00CE090C">
        <w:t xml:space="preserve"> shows force plateaus of approximately 1</w:t>
      </w:r>
      <w:r w:rsidR="00AD2F57">
        <w:t>10</w:t>
      </w:r>
      <w:r w:rsidR="00CE090C">
        <w:t>pN</w:t>
      </w:r>
      <w:r w:rsidR="00073D4D">
        <w:t xml:space="preserve">, </w:t>
      </w:r>
      <w:r w:rsidR="00CE090C">
        <w:t>correspond</w:t>
      </w:r>
      <w:r w:rsidR="000A4F42">
        <w:t>ing</w:t>
      </w:r>
      <w:r w:rsidR="00CE090C">
        <w:t xml:space="preserve"> to a </w:t>
      </w:r>
      <w:r w:rsidR="00CE090C" w:rsidRPr="0080328E">
        <w:t>ΔG</w:t>
      </w:r>
      <w:r w:rsidR="00CE090C" w:rsidRPr="0080328E">
        <w:rPr>
          <w:vertAlign w:val="subscript"/>
        </w:rPr>
        <w:t>s</w:t>
      </w:r>
      <w:r w:rsidR="0043197A">
        <w:rPr>
          <w:vertAlign w:val="subscript"/>
        </w:rPr>
        <w:t>l</w:t>
      </w:r>
      <w:r w:rsidR="00CE090C">
        <w:t xml:space="preserve"> of </w:t>
      </w:r>
      <w:r w:rsidR="00AD2F57">
        <w:t>67</w:t>
      </w:r>
      <w:r w:rsidR="00CE090C">
        <w:t xml:space="preserve"> </w:t>
      </w:r>
      <w:r w:rsidR="00206CF5">
        <w:t>kJ/</w:t>
      </w:r>
      <w:r w:rsidR="00CE090C">
        <w:t>mol</w:t>
      </w:r>
      <w:r w:rsidR="00A82D2B">
        <w:t xml:space="preserve"> which </w:t>
      </w:r>
      <w:r w:rsidR="00073D4D">
        <w:t>agrees with</w:t>
      </w:r>
      <w:r w:rsidR="00A82D2B">
        <w:t xml:space="preserve"> our prediction</w:t>
      </w:r>
      <w:r w:rsidR="00CE090C">
        <w:t xml:space="preserve">. </w:t>
      </w:r>
      <w:r w:rsidR="00A92875" w:rsidRPr="00610F79">
        <w:t xml:space="preserve">Nelson et al </w:t>
      </w:r>
      <w:r w:rsidR="00A92875" w:rsidRPr="005946AD">
        <w:fldChar w:fldCharType="begin"/>
      </w:r>
      <w:r w:rsidR="00126622">
        <w:instrText xml:space="preserve"> ADDIN PAPERS2_CITATIONS &lt;citation&gt;&lt;uuid&gt;CAC0F2BE-3977-434D-8AD9-32AFD3C4C2EC&lt;/uuid&gt;&lt;priority&gt;0&lt;/priority&gt;&lt;publications&gt;&lt;publication&gt;&lt;uuid&gt;37E20AAF-18F0-4EF2-A919-23BE68C23E2C&lt;/uuid&gt;&lt;volume&gt;8&lt;/volume&gt;&lt;doi&gt;10.1021/nn405331t&lt;/doi&gt;&lt;startpage&gt;5484&lt;/startpage&gt;&lt;publication_date&gt;99201406241200000000222000&lt;/publication_date&gt;&lt;url&gt;http://pubs.acs.org/doi/abs/10.1021/nn405331t&lt;/url&gt;&lt;type&gt;400&lt;/type&gt;&lt;title&gt;Direct, concurrent measurements of the forces and currents affecting DNA in a nanopore with comparable topography.&lt;/title&gt;&lt;institution&gt;University of Notre Dame , Stinson-Remick Hall, Notre Dame Avenue, Notre Dame, Indiana 46556, United States.&lt;/institution&gt;&lt;number&gt;6&lt;/number&gt;&lt;subtype&gt;400&lt;/subtype&gt;&lt;endpage&gt;5493&lt;/endpage&gt;&lt;bundle&gt;&lt;publication&gt;&lt;publisher&gt;American Chemical Society&lt;/publisher&gt;&lt;title&gt;Acs Nano&lt;/title&gt;&lt;type&gt;-100&lt;/type&gt;&lt;subtype&gt;-100&lt;/subtype&gt;&lt;uuid&gt;5E9CA553-02C7-485C-94F5-97FDA0032E37&lt;/uuid&gt;&lt;/publication&gt;&lt;/bundle&gt;&lt;authors&gt;&lt;author&gt;&lt;firstName&gt;Edward&lt;/firstName&gt;&lt;middleNames&gt;M&lt;/middleNames&gt;&lt;lastName&gt;Nelson&lt;/lastName&gt;&lt;/author&gt;&lt;author&gt;&lt;firstName&gt;Hui&lt;/firstName&gt;&lt;lastName&gt;Li&lt;/lastName&gt;&lt;/author&gt;&lt;author&gt;&lt;firstName&gt;Gregory&lt;/firstName&gt;&lt;lastName&gt;Timp&lt;/lastName&gt;&lt;/author&gt;&lt;/authors&gt;&lt;/publication&gt;&lt;/publications&gt;&lt;cites&gt;&lt;/cites&gt;&lt;/citation&gt;</w:instrText>
      </w:r>
      <w:r w:rsidR="00A92875" w:rsidRPr="005946AD">
        <w:fldChar w:fldCharType="separate"/>
      </w:r>
      <w:r w:rsidR="00126622">
        <w:rPr>
          <w:rFonts w:eastAsiaTheme="minorEastAsia"/>
          <w:vertAlign w:val="superscript"/>
        </w:rPr>
        <w:t>18</w:t>
      </w:r>
      <w:r w:rsidR="00A92875" w:rsidRPr="005946AD">
        <w:fldChar w:fldCharType="end"/>
      </w:r>
      <w:r w:rsidR="00967E7F" w:rsidRPr="005946AD">
        <w:t xml:space="preserve"> </w:t>
      </w:r>
      <w:r w:rsidR="00A92875" w:rsidRPr="00610F79">
        <w:t>observed two classes of behaviour for ssDNA sliding in nanopores with dimensions from 1-2 nm: so-called “frictionless” and “stick-slip”. These behaviours were associated with forces of either 12-13 pN or 40-80 pN respectively. Comparison to our predicted ΔG</w:t>
      </w:r>
      <w:r w:rsidR="00A92875" w:rsidRPr="00610F79">
        <w:rPr>
          <w:vertAlign w:val="subscript"/>
        </w:rPr>
        <w:t>s</w:t>
      </w:r>
      <w:r w:rsidR="0043197A">
        <w:rPr>
          <w:vertAlign w:val="subscript"/>
        </w:rPr>
        <w:t>l</w:t>
      </w:r>
      <w:r w:rsidR="00A92875" w:rsidRPr="00610F79">
        <w:t xml:space="preserve"> values is complicated bec</w:t>
      </w:r>
      <w:r w:rsidR="007929D2">
        <w:t>ause calibrated</w:t>
      </w:r>
      <w:r w:rsidR="00A92875" w:rsidRPr="00610F79">
        <w:t xml:space="preserve"> </w:t>
      </w:r>
      <w:r w:rsidR="007929D2">
        <w:t xml:space="preserve">cantilever </w:t>
      </w:r>
      <w:r w:rsidR="00A92875" w:rsidRPr="00610F79">
        <w:t xml:space="preserve">spring constants </w:t>
      </w:r>
      <w:r w:rsidR="007929D2">
        <w:t xml:space="preserve">for particular measurements </w:t>
      </w:r>
      <w:r w:rsidR="00A92875" w:rsidRPr="00610F79">
        <w:t xml:space="preserve">are </w:t>
      </w:r>
      <w:r w:rsidR="007929D2">
        <w:t xml:space="preserve">not </w:t>
      </w:r>
      <w:r w:rsidR="00A92875" w:rsidRPr="00610F79">
        <w:t>r</w:t>
      </w:r>
      <w:r w:rsidR="007929D2">
        <w:t>eported</w:t>
      </w:r>
      <w:r w:rsidR="00D7161B" w:rsidRPr="005946AD">
        <w:t xml:space="preserve">, but </w:t>
      </w:r>
      <w:r w:rsidR="00B03881">
        <w:t xml:space="preserve">for ssDNA </w:t>
      </w:r>
      <w:r w:rsidR="00D7161B" w:rsidRPr="005946AD">
        <w:t xml:space="preserve">the </w:t>
      </w:r>
      <w:r w:rsidR="00B03881">
        <w:t xml:space="preserve">value of </w:t>
      </w:r>
      <w:r w:rsidR="00B03881" w:rsidRPr="0080328E">
        <w:t>Φ</w:t>
      </w:r>
      <w:r w:rsidR="00B03881" w:rsidRPr="00B03881">
        <w:t xml:space="preserve"> </w:t>
      </w:r>
      <w:r w:rsidR="00B03881">
        <w:t>falls from 3.5</w:t>
      </w:r>
      <w:r w:rsidR="004F22D9">
        <w:t>1</w:t>
      </w:r>
      <w:r w:rsidR="00B03881">
        <w:t xml:space="preserve"> to 0.38 as the pore diameter increases from 0.6</w:t>
      </w:r>
      <w:r w:rsidR="00FE746B">
        <w:t xml:space="preserve"> (β</w:t>
      </w:r>
      <w:r w:rsidR="00FE746B" w:rsidRPr="0080328E">
        <w:t>-CD</w:t>
      </w:r>
      <w:r w:rsidR="00FE746B">
        <w:t>)</w:t>
      </w:r>
      <w:r w:rsidR="00B03881">
        <w:t xml:space="preserve"> to 2 nm. Accordingly, the </w:t>
      </w:r>
      <w:r w:rsidR="00276EDD">
        <w:t xml:space="preserve">predicted </w:t>
      </w:r>
      <w:r w:rsidR="00D7161B" w:rsidRPr="005946AD">
        <w:t>force value we obtain for sliding ssDNA through a 2 nm pore using a probe with a spring constant of 5 pN/nm (within the range quoted by Nelson et al</w:t>
      </w:r>
      <w:r w:rsidR="00D7161B" w:rsidRPr="005946AD">
        <w:fldChar w:fldCharType="begin"/>
      </w:r>
      <w:r w:rsidR="00126622">
        <w:instrText xml:space="preserve"> ADDIN PAPERS2_CITATIONS &lt;citation&gt;&lt;uuid&gt;FD159C96-7B3C-41C8-A138-71998F719909&lt;/uuid&gt;&lt;priority&gt;0&lt;/priority&gt;&lt;publications&gt;&lt;publication&gt;&lt;uuid&gt;37E20AAF-18F0-4EF2-A919-23BE68C23E2C&lt;/uuid&gt;&lt;volume&gt;8&lt;/volume&gt;&lt;doi&gt;10.1021/nn405331t&lt;/doi&gt;&lt;startpage&gt;5484&lt;/startpage&gt;&lt;publication_date&gt;99201406241200000000222000&lt;/publication_date&gt;&lt;url&gt;http://pubs.acs.org/doi/abs/10.1021/nn405331t&lt;/url&gt;&lt;type&gt;400&lt;/type&gt;&lt;title&gt;Direct, concurrent measurements of the forces and currents affecting DNA in a nanopore with comparable topography.&lt;/title&gt;&lt;institution&gt;University of Notre Dame , Stinson-Remick Hall, Notre Dame Avenue, Notre Dame, Indiana 46556, United States.&lt;/institution&gt;&lt;number&gt;6&lt;/number&gt;&lt;subtype&gt;400&lt;/subtype&gt;&lt;endpage&gt;5493&lt;/endpage&gt;&lt;bundle&gt;&lt;publication&gt;&lt;publisher&gt;American Chemical Society&lt;/publisher&gt;&lt;title&gt;Acs Nano&lt;/title&gt;&lt;type&gt;-100&lt;/type&gt;&lt;subtype&gt;-100&lt;/subtype&gt;&lt;uuid&gt;5E9CA553-02C7-485C-94F5-97FDA0032E37&lt;/uuid&gt;&lt;/publication&gt;&lt;/bundle&gt;&lt;authors&gt;&lt;author&gt;&lt;firstName&gt;Edward&lt;/firstName&gt;&lt;middleNames&gt;M&lt;/middleNames&gt;&lt;lastName&gt;Nelson&lt;/lastName&gt;&lt;/author&gt;&lt;author&gt;&lt;firstName&gt;Hui&lt;/firstName&gt;&lt;lastName&gt;Li&lt;/lastName&gt;&lt;/author&gt;&lt;author&gt;&lt;firstName&gt;Gregory&lt;/firstName&gt;&lt;lastName&gt;Timp&lt;/lastName&gt;&lt;/author&gt;&lt;/authors&gt;&lt;/publication&gt;&lt;/publications&gt;&lt;cites&gt;&lt;/cites&gt;&lt;/citation&gt;</w:instrText>
      </w:r>
      <w:r w:rsidR="00D7161B" w:rsidRPr="005946AD">
        <w:fldChar w:fldCharType="separate"/>
      </w:r>
      <w:r w:rsidR="00126622">
        <w:rPr>
          <w:rFonts w:eastAsiaTheme="minorEastAsia"/>
          <w:vertAlign w:val="superscript"/>
        </w:rPr>
        <w:t>18</w:t>
      </w:r>
      <w:r w:rsidR="00D7161B" w:rsidRPr="005946AD">
        <w:fldChar w:fldCharType="end"/>
      </w:r>
      <w:r w:rsidR="00D7161B" w:rsidRPr="005946AD">
        <w:t xml:space="preserve">) </w:t>
      </w:r>
      <w:r w:rsidR="002A5F51" w:rsidRPr="005946AD">
        <w:t xml:space="preserve"> is 11</w:t>
      </w:r>
      <w:r w:rsidR="00D7161B" w:rsidRPr="005946AD">
        <w:t xml:space="preserve"> pN</w:t>
      </w:r>
      <w:r w:rsidR="00A92875" w:rsidRPr="00610F79">
        <w:t>.</w:t>
      </w:r>
      <w:r w:rsidR="00A92875">
        <w:t xml:space="preserve"> </w:t>
      </w:r>
      <w:r w:rsidR="00CE090C">
        <w:t>Notwithstanding the difference in magnitude of the forces, the similarity of the values for the four nucleotides reflects</w:t>
      </w:r>
      <w:r w:rsidR="00A82D2B">
        <w:t xml:space="preserve"> the failure of the</w:t>
      </w:r>
      <w:r w:rsidR="00AB2775">
        <w:t xml:space="preserve"> method to de</w:t>
      </w:r>
      <w:r w:rsidR="0029405B">
        <w:t xml:space="preserve">tect </w:t>
      </w:r>
      <w:r w:rsidR="00AB2775">
        <w:t xml:space="preserve">differences </w:t>
      </w:r>
      <w:r w:rsidR="0029405B">
        <w:t>between</w:t>
      </w:r>
      <w:r w:rsidR="00AB2775">
        <w:t xml:space="preserve"> nucleotide</w:t>
      </w:r>
      <w:r w:rsidR="0029405B">
        <w:t xml:space="preserve">s on the basis of their </w:t>
      </w:r>
      <w:r w:rsidR="0043197A">
        <w:t>slid</w:t>
      </w:r>
      <w:r w:rsidR="002A5F51">
        <w:t>i</w:t>
      </w:r>
      <w:r w:rsidR="0043197A">
        <w:t xml:space="preserve">ng </w:t>
      </w:r>
      <w:r w:rsidR="0029405B">
        <w:t>forces</w:t>
      </w:r>
      <w:r w:rsidR="00AB2775">
        <w:t xml:space="preserve">. </w:t>
      </w:r>
      <w:r w:rsidR="0084665C">
        <w:t>Both the smaller energy barrier in the simulation and the lack of differentiation b</w:t>
      </w:r>
      <w:r w:rsidR="001D0384">
        <w:t xml:space="preserve">etween bases reflect the </w:t>
      </w:r>
      <w:r w:rsidR="0084665C">
        <w:t xml:space="preserve">mobility of the base in the nucleotide, allowing it to fold close to the </w:t>
      </w:r>
      <w:r w:rsidR="00D22F06">
        <w:t>deoxy</w:t>
      </w:r>
      <w:r w:rsidR="0084665C">
        <w:t xml:space="preserve">ribophosphate backbone to pass through the CD pore presenting a much smaller cross-sectional area. </w:t>
      </w:r>
      <w:r w:rsidR="0027406B" w:rsidRPr="00074AE3">
        <w:t>Similarly</w:t>
      </w:r>
      <w:r w:rsidR="0027406B">
        <w:t>, although the difference in</w:t>
      </w:r>
      <w:r w:rsidR="00666826">
        <w:t xml:space="preserve"> predicted</w:t>
      </w:r>
      <w:r w:rsidR="0027406B">
        <w:t xml:space="preserve"> </w:t>
      </w:r>
      <w:r w:rsidR="002A7B83" w:rsidRPr="0080328E">
        <w:t>ΔG</w:t>
      </w:r>
      <w:r w:rsidR="002A7B83" w:rsidRPr="0080328E">
        <w:rPr>
          <w:vertAlign w:val="subscript"/>
        </w:rPr>
        <w:t>s</w:t>
      </w:r>
      <w:r w:rsidR="0043197A">
        <w:rPr>
          <w:vertAlign w:val="subscript"/>
        </w:rPr>
        <w:t>l</w:t>
      </w:r>
      <w:r w:rsidR="002A7B83">
        <w:t xml:space="preserve"> </w:t>
      </w:r>
      <w:r w:rsidR="0027406B">
        <w:t>between glycine and tryptopha</w:t>
      </w:r>
      <w:r w:rsidR="005C737D">
        <w:t xml:space="preserve">n, for example, is </w:t>
      </w:r>
      <w:r w:rsidR="00CE090C">
        <w:t>larg</w:t>
      </w:r>
      <w:r w:rsidR="005C737D">
        <w:t>e (</w:t>
      </w:r>
      <w:r w:rsidR="002A5F51">
        <w:t xml:space="preserve">35 </w:t>
      </w:r>
      <w:r w:rsidR="005C737D">
        <w:t>vs. 1</w:t>
      </w:r>
      <w:r w:rsidR="002A5F51">
        <w:t>3</w:t>
      </w:r>
      <w:r w:rsidR="005C737D">
        <w:t>9</w:t>
      </w:r>
      <w:r w:rsidR="0027406B">
        <w:t xml:space="preserve"> kJ.mol</w:t>
      </w:r>
      <w:r w:rsidR="0027406B" w:rsidRPr="00EB72DC">
        <w:rPr>
          <w:vertAlign w:val="superscript"/>
        </w:rPr>
        <w:t>-1</w:t>
      </w:r>
      <w:r w:rsidR="0027406B">
        <w:t xml:space="preserve">), the differences between many amino acids are too small to resolve above thermal noise, and the same is true for methylation of nucleic acids. </w:t>
      </w:r>
      <w:r w:rsidR="00AB2775">
        <w:t xml:space="preserve">On the other hand, </w:t>
      </w:r>
      <w:r w:rsidR="00A82D2B">
        <w:t xml:space="preserve">we have recently shown that </w:t>
      </w:r>
      <w:r w:rsidR="004A7F35">
        <w:t xml:space="preserve">the difference in force between sliding </w:t>
      </w:r>
      <w:r w:rsidR="00383947">
        <w:t>α</w:t>
      </w:r>
      <w:r w:rsidR="004A7F35">
        <w:t>-CD along a single alginate chain and using it to unzip a cross-linked junction zone between two such chains is between 68 and 87 pN, corresponding to 125 kJ/mol</w:t>
      </w:r>
      <w:r w:rsidR="00212311">
        <w:t>.</w:t>
      </w:r>
      <w:r w:rsidR="004A7F35">
        <w:fldChar w:fldCharType="begin"/>
      </w:r>
      <w:r w:rsidR="00126622">
        <w:instrText xml:space="preserve"> ADDIN PAPERS2_CITATIONS &lt;citation&gt;&lt;uuid&gt;7D08B86A-496D-40D9-8F00-847EA36F8A4F&lt;/uuid&gt;&lt;priority&gt;0&lt;/priority&gt;&lt;publications&gt;&lt;publication&gt;&lt;publication_date&gt;99201611041200000000222000&lt;/publication_date&gt;&lt;startpage&gt;acs.langmuir.6b03414&lt;/startpage&gt;&lt;doi&gt;10.1021/acs.langmuir.6b03414&lt;/doi&gt;&lt;title&gt;A ‘sliding contact’ dynamic force spectroscopy method for interrogating slowly forming polymer crosslinks.&lt;/title&gt;&lt;uuid&gt;AF568C4F-A446-4C77-AD90-72264D4F14DC&lt;/uuid&gt;&lt;subtype&gt;400&lt;/subtype&gt;&lt;publisher&gt; American Chemical Society&lt;/publisher&gt;&lt;type&gt;400&lt;/type&gt;&lt;url&gt;http://pubs.acs.org/doi/abs/10.1021/acs.langmuir.6b03414&lt;/url&gt;&lt;bundle&gt;&lt;publication&gt;&lt;publisher&gt; American Chemical Society &lt;/publisher&gt;&lt;title&gt;Langmuir : the ACS journal of surfaces and colloids&lt;/title&gt;&lt;type&gt;-100&lt;/type&gt;&lt;subtype&gt;-100&lt;/subtype&gt;&lt;uuid&gt;A26006E3-3C54-4F9C-B947-AC668218184C&lt;/uuid&gt;&lt;/publication&gt;&lt;/bundle&gt;&lt;authors&gt;&lt;author&gt;&lt;firstName&gt;Kate&lt;/firstName&gt;&lt;middleNames&gt;Alexandra&lt;/middleNames&gt;&lt;lastName&gt;Bowman&lt;/lastName&gt;&lt;/author&gt;&lt;author&gt;&lt;firstName&gt;Olav&lt;/firstName&gt;&lt;middleNames&gt;Andreas&lt;/middleNames&gt;&lt;lastName&gt;Aarstad&lt;/lastName&gt;&lt;/author&gt;&lt;author&gt;&lt;firstName&gt;Bjørn&lt;/firstName&gt;&lt;middleNames&gt;Torger&lt;/middleNames&gt;&lt;lastName&gt;Stokke&lt;/lastName&gt;&lt;/author&gt;&lt;author&gt;&lt;firstName&gt;Gudmund&lt;/firstName&gt;&lt;lastName&gt;Skjåk-Braek&lt;/lastName&gt;&lt;/author&gt;&lt;author&gt;&lt;firstName&gt;Andrew&lt;/firstName&gt;&lt;middleNames&gt;N&lt;/middleNames&gt;&lt;lastName&gt;Round&lt;/lastName&gt;&lt;/author&gt;&lt;/authors&gt;&lt;/publication&gt;&lt;/publications&gt;&lt;cites&gt;&lt;/cites&gt;&lt;/citation&gt;</w:instrText>
      </w:r>
      <w:r w:rsidR="004A7F35">
        <w:fldChar w:fldCharType="separate"/>
      </w:r>
      <w:r w:rsidR="00460042">
        <w:rPr>
          <w:rFonts w:eastAsiaTheme="minorEastAsia"/>
          <w:vertAlign w:val="superscript"/>
        </w:rPr>
        <w:t>9</w:t>
      </w:r>
      <w:r w:rsidR="004A7F35">
        <w:fldChar w:fldCharType="end"/>
      </w:r>
      <w:r w:rsidR="004A7F35">
        <w:t xml:space="preserve"> Thus, </w:t>
      </w:r>
      <w:r w:rsidR="005202A3">
        <w:t>a</w:t>
      </w:r>
      <w:r w:rsidR="00AB2775">
        <w:t>ssuming reasonable</w:t>
      </w:r>
      <w:r w:rsidR="008E0D46">
        <w:t xml:space="preserve"> cantilever spring con</w:t>
      </w:r>
      <w:r w:rsidR="00666500">
        <w:t>stants</w:t>
      </w:r>
      <w:r w:rsidR="00CE090C">
        <w:t xml:space="preserve"> (20-100 pN/nm)</w:t>
      </w:r>
      <w:r w:rsidR="00666500">
        <w:t xml:space="preserve"> and</w:t>
      </w:r>
      <w:r w:rsidR="00AB2775">
        <w:t xml:space="preserve"> allowing for variation around the value of </w:t>
      </w:r>
      <w:r w:rsidR="00AB2775" w:rsidRPr="00AB2775">
        <w:rPr>
          <w:i/>
        </w:rPr>
        <w:t>f</w:t>
      </w:r>
      <w:r w:rsidR="00AB2775" w:rsidRPr="00AB2775">
        <w:rPr>
          <w:vertAlign w:val="subscript"/>
        </w:rPr>
        <w:t>eq</w:t>
      </w:r>
      <w:r w:rsidR="00CE090C">
        <w:t xml:space="preserve"> due to thermal noise of </w:t>
      </w:r>
      <w:r w:rsidR="00AB2775">
        <w:t>15 pN</w:t>
      </w:r>
      <w:r w:rsidR="00FD532D">
        <w:t xml:space="preserve"> (this value also reflects </w:t>
      </w:r>
      <w:r w:rsidR="00FD532D">
        <w:rPr>
          <w:rFonts w:ascii="MS Mincho" w:hAnsi="MS Mincho" w:cs="MS Mincho"/>
        </w:rPr>
        <w:t>⋝</w:t>
      </w:r>
      <w:r w:rsidR="00FD532D">
        <w:t xml:space="preserve">2×SD for all the interactions studied here except for </w:t>
      </w:r>
      <w:r w:rsidR="00FD532D" w:rsidRPr="00FD532D">
        <w:t>1</w:t>
      </w:r>
      <w:r w:rsidR="00FD532D">
        <w:t>:β</w:t>
      </w:r>
      <w:r w:rsidR="00FD532D" w:rsidRPr="0080328E">
        <w:t>-CD</w:t>
      </w:r>
      <w:r w:rsidR="00FD532D">
        <w:t xml:space="preserve"> (see Table 1), so assuming a normal distribution of the force values this range will encompass </w:t>
      </w:r>
      <w:r w:rsidR="003025DE">
        <w:rPr>
          <w:rFonts w:ascii="MS Mincho" w:hAnsi="MS Mincho" w:cs="MS Mincho"/>
        </w:rPr>
        <w:t>⋝</w:t>
      </w:r>
      <w:r w:rsidR="00FD532D">
        <w:t>95% of events)</w:t>
      </w:r>
      <w:r w:rsidR="0084665C">
        <w:t>,</w:t>
      </w:r>
      <w:r w:rsidR="00AB2775">
        <w:t xml:space="preserve"> w</w:t>
      </w:r>
      <w:r w:rsidR="00CE090C">
        <w:t>e predict on the basis of T</w:t>
      </w:r>
      <w:r w:rsidR="00AB2775">
        <w:t xml:space="preserve">able </w:t>
      </w:r>
      <w:r w:rsidR="000A4F42">
        <w:t>S4</w:t>
      </w:r>
      <w:r w:rsidR="00CE090C">
        <w:t xml:space="preserve"> </w:t>
      </w:r>
      <w:r w:rsidR="00AB2775">
        <w:t>that SCFS will detect</w:t>
      </w:r>
      <w:r w:rsidR="007E1E0D">
        <w:t xml:space="preserve"> </w:t>
      </w:r>
      <w:r w:rsidR="00143374">
        <w:t>N- and O-</w:t>
      </w:r>
      <w:r w:rsidR="007E1E0D">
        <w:t>glycosylation</w:t>
      </w:r>
      <w:r w:rsidR="00AB2775">
        <w:t xml:space="preserve"> of amino acids and glycans. </w:t>
      </w:r>
      <w:r w:rsidR="003522F0" w:rsidRPr="003522F0">
        <w:t>Figure 6</w:t>
      </w:r>
      <w:r w:rsidR="003522F0">
        <w:t xml:space="preserve"> summarises the </w:t>
      </w:r>
      <w:r w:rsidR="00873B99">
        <w:t>key results of Table S4</w:t>
      </w:r>
      <w:r w:rsidR="003522F0">
        <w:t xml:space="preserve"> and shows predicted force values for short amino acid and glycan sequences highlighting the difference</w:t>
      </w:r>
      <w:r w:rsidR="000A4F42">
        <w:t>s</w:t>
      </w:r>
      <w:r w:rsidR="003522F0">
        <w:t xml:space="preserve"> in predicted force signals for </w:t>
      </w:r>
      <w:r w:rsidR="00700717">
        <w:t>native and modified (</w:t>
      </w:r>
      <w:r w:rsidR="003522F0">
        <w:t>phosp</w:t>
      </w:r>
      <w:r w:rsidR="00700717">
        <w:t>horylated and N- and O-glycosylated)</w:t>
      </w:r>
      <w:r w:rsidR="003522F0">
        <w:t xml:space="preserve"> </w:t>
      </w:r>
      <w:r w:rsidR="00700717">
        <w:t>amino acid sequences in</w:t>
      </w:r>
      <w:r w:rsidR="003522F0">
        <w:t xml:space="preserve"> </w:t>
      </w:r>
      <w:r w:rsidR="00F04504">
        <w:t xml:space="preserve">sections of the </w:t>
      </w:r>
      <w:r w:rsidR="00700717">
        <w:t>M</w:t>
      </w:r>
      <w:r w:rsidR="00F04504">
        <w:t>UC</w:t>
      </w:r>
      <w:r w:rsidR="00E72E36">
        <w:t>-</w:t>
      </w:r>
      <w:r w:rsidR="00F04504">
        <w:t xml:space="preserve">1 </w:t>
      </w:r>
      <w:r w:rsidR="00700717">
        <w:t>p</w:t>
      </w:r>
      <w:r w:rsidR="00E72E36">
        <w:t>rotein</w:t>
      </w:r>
      <w:r w:rsidR="003522F0">
        <w:t xml:space="preserve"> and the monosaccharide decoration of a plant cell wall hemicellulose. </w:t>
      </w:r>
    </w:p>
    <w:p w:rsidR="00AD7254" w:rsidRDefault="00AD7254" w:rsidP="002A436C">
      <w:pPr>
        <w:pStyle w:val="Head1"/>
        <w:jc w:val="both"/>
      </w:pPr>
    </w:p>
    <w:p w:rsidR="003522F0" w:rsidRDefault="00AD7254" w:rsidP="002A436C">
      <w:pPr>
        <w:pStyle w:val="Head1"/>
        <w:jc w:val="both"/>
      </w:pPr>
      <w:r>
        <w:t>Examples where this new approach may yield new information include the study of micro</w:t>
      </w:r>
      <w:r w:rsidR="00CD6E88">
        <w:t>- and macro</w:t>
      </w:r>
      <w:r>
        <w:t>heterogeneity in protein glycosylation</w:t>
      </w:r>
      <w:r w:rsidR="00BB4FBB">
        <w:fldChar w:fldCharType="begin"/>
      </w:r>
      <w:r w:rsidR="00126622">
        <w:instrText xml:space="preserve"> ADDIN PAPERS2_CITATIONS &lt;citation&gt;&lt;uuid&gt;B176802F-88A0-450A-A30C-EC9B28C43339&lt;/uuid&gt;&lt;priority&gt;0&lt;/priority&gt;&lt;publications&gt;&lt;publication&gt;&lt;uuid&gt;02CDE113-3ADF-4CC8-BEEA-B0D3CF082D28&lt;/uuid&gt;&lt;volume&gt;6&lt;/volume&gt;&lt;doi&gt;10.1038/nchembio.437&lt;/doi&gt;&lt;startpage&gt;713&lt;/startpage&gt;&lt;publication_date&gt;99201010011200000000222000&lt;/publication_date&gt;&lt;url&gt;http://www.nature.com/doifinder/10.1038/nchembio.437&lt;/url&gt;&lt;type&gt;400&lt;/type&gt;&lt;title&gt;A systematic approach to protein glycosylation analysis: a path through the maze&lt;/title&gt;&lt;publisher&gt;Nature Research&lt;/publisher&gt;&lt;number&gt;10&lt;/number&gt;&lt;subtype&gt;400&lt;/subtype&gt;&lt;endpage&gt;723&lt;/endpage&gt;&lt;bundle&gt;&lt;publication&gt;&lt;publisher&gt;Nature Research&lt;/publisher&gt;&lt;title&gt;Nature Chemical Biology&lt;/title&gt;&lt;type&gt;-100&lt;/type&gt;&lt;subtype&gt;-100&lt;/subtype&gt;&lt;uuid&gt;137F7F68-42EF-4FA1-A710-B08AC4D70CBC&lt;/uuid&gt;&lt;/publication&gt;&lt;/bundle&gt;&lt;authors&gt;&lt;author&gt;&lt;firstName&gt;Karina&lt;/firstName&gt;&lt;lastName&gt;Mariño&lt;/lastName&gt;&lt;/author&gt;&lt;author&gt;&lt;firstName&gt;Jonathan&lt;/firstName&gt;&lt;lastName&gt;Bones&lt;/lastName&gt;&lt;/author&gt;&lt;author&gt;&lt;firstName&gt;Jayesh&lt;/firstName&gt;&lt;middleNames&gt;J&lt;/middleNames&gt;&lt;lastName&gt;Kattla&lt;/lastName&gt;&lt;/author&gt;&lt;author&gt;&lt;firstName&gt;Pauline&lt;/firstName&gt;&lt;middleNames&gt;M&lt;/middleNames&gt;&lt;lastName&gt;Rudd&lt;/lastName&gt;&lt;/author&gt;&lt;/authors&gt;&lt;/publication&gt;&lt;/publications&gt;&lt;cites&gt;&lt;/cites&gt;&lt;/citation&gt;</w:instrText>
      </w:r>
      <w:r w:rsidR="00BB4FBB">
        <w:fldChar w:fldCharType="separate"/>
      </w:r>
      <w:r w:rsidR="00126622">
        <w:rPr>
          <w:rFonts w:eastAsiaTheme="minorEastAsia"/>
          <w:vertAlign w:val="superscript"/>
        </w:rPr>
        <w:t>40</w:t>
      </w:r>
      <w:r w:rsidR="00BB4FBB">
        <w:fldChar w:fldCharType="end"/>
      </w:r>
      <w:r>
        <w:t xml:space="preserve"> and the pattern of monosaccharide decoration in polysaccharides, including hemicelluloses whose structure helps determine plant cell wall recalcitrance in bioenergy applications</w:t>
      </w:r>
      <w:r w:rsidR="00887D39">
        <w:fldChar w:fldCharType="begin"/>
      </w:r>
      <w:r w:rsidR="00126622">
        <w:instrText xml:space="preserve"> ADDIN PAPERS2_CITATIONS &lt;citation&gt;&lt;uuid&gt;61C353B0-E83D-49E3-9AA1-DC5EBD7C36E9&lt;/uuid&gt;&lt;priority&gt;0&lt;/priority&gt;&lt;publications&gt;&lt;publication&gt;&lt;uuid&gt;51B17BD5-437D-4235-8C61-6C0D0CD8FABE&lt;/uuid&gt;&lt;volume&gt;44&lt;/volume&gt;&lt;doi&gt;10.1042/BST20150183&lt;/doi&gt;&lt;startpage&gt;74&lt;/startpage&gt;&lt;publication_date&gt;99201602151200000000222000&lt;/publication_date&gt;&lt;url&gt;http://eutils.ncbi.nlm.nih.gov/entrez/eutils/elink.fcgi?dbfrom=pubmed&amp;amp;id=26862191&amp;amp;retmode=ref&amp;amp;cmd=prlinks&lt;/url&gt;&lt;citekey&gt;BusseWicher:2016bi&lt;/citekey&gt;&lt;type&gt;400&lt;/type&gt;&lt;title&gt;Xylan decoration patterns and the plant secondary cell wall molecular architecture.&lt;/title&gt;&lt;institution&gt;Department of Biochemistry and Leverhulme Centre for Natural Material Innovation, University of Cambridge, Cambridge CB2 1QW, U.K.&lt;/institution&gt;&lt;number&gt;1&lt;/number&gt;&lt;subtype&gt;400&lt;/subtype&gt;&lt;endpage&gt;78&lt;/endpage&gt;&lt;bundle&gt;&lt;publication&gt;&lt;title&gt;Biochemical Society Transactions&lt;/title&gt;&lt;type&gt;-100&lt;/type&gt;&lt;subtype&gt;-100&lt;/subtype&gt;&lt;uuid&gt;2A22009E-1C1A-4239-9E3E-D7A084648855&lt;/uuid&gt;&lt;/publication&gt;&lt;/bundle&gt;&lt;authors&gt;&lt;author&gt;&lt;firstName&gt;Marta&lt;/firstName&gt;&lt;lastName&gt;Busse-Wicher&lt;/lastName&gt;&lt;/author&gt;&lt;author&gt;&lt;firstName&gt;Nicholas&lt;/firstName&gt;&lt;middleNames&gt;J&lt;/middleNames&gt;&lt;lastName&gt;Grantham&lt;/lastName&gt;&lt;/author&gt;&lt;author&gt;&lt;firstName&gt;Jan&lt;/firstName&gt;&lt;middleNames&gt;J&lt;/middleNames&gt;&lt;lastName&gt;Lyczakowski&lt;/lastName&gt;&lt;/author&gt;&lt;author&gt;&lt;firstName&gt;Nino&lt;/firstName&gt;&lt;lastName&gt;Nikolovski&lt;/lastName&gt;&lt;/author&gt;&lt;author&gt;&lt;firstName&gt;Paul&lt;/firstName&gt;&lt;lastName&gt;Dupree&lt;/lastName&gt;&lt;/author&gt;&lt;/authors&gt;&lt;/publication&gt;&lt;publication&gt;&lt;uuid&gt;034819A6-8207-4C61-893E-765318756148&lt;/uuid&gt;&lt;volume&gt;29&lt;/volume&gt;&lt;accepted_date&gt;99201510141200000000222000&lt;/accepted_date&gt;&lt;doi&gt;10.1016/j.cbpa.2015.10.018&lt;/doi&gt;&lt;startpage&gt;108&lt;/startpage&gt;&lt;revision_date&gt;99201510111200000000222000&lt;/revision_date&gt;&lt;publication_date&gt;99201512001200000000220000&lt;/publication_date&gt;&lt;url&gt;http://eutils.ncbi.nlm.nih.gov/entrez/eutils/elink.fcgi?dbfrom=pubmed&amp;amp;id=26583519&amp;amp;retmode=ref&amp;amp;cmd=prlinks&lt;/url&gt;&lt;type&gt;400&lt;/type&gt;&lt;title&gt;Lignocellulose degradation mechanisms across the Tree of Life.&lt;/title&gt;&lt;submission_date&gt;99201509011200000000222000&lt;/submission_date&gt;&lt;institution&gt;School of Biological Sciences, University of Portsmouth, King Henry Building, King Henry 1st St., Portsmouth PO1 2DY, UK. Electronic address: simon.cragg@port.ac.uk.&lt;/institution&gt;&lt;subtype&gt;400&lt;/subtype&gt;&lt;endpage&gt;119&lt;/endpage&gt;&lt;bundle&gt;&lt;publication&gt;&lt;title&gt;Current opinion in chemical biology&lt;/title&gt;&lt;type&gt;-100&lt;/type&gt;&lt;subtype&gt;-100&lt;/subtype&gt;&lt;uuid&gt;1F4C6CF8-9655-4D18-AE12-FF58F3734C52&lt;/uuid&gt;&lt;/publication&gt;&lt;/bundle&gt;&lt;authors&gt;&lt;author&gt;&lt;firstName&gt;Simon&lt;/firstName&gt;&lt;middleNames&gt;M&lt;/middleNames&gt;&lt;lastName&gt;Cragg&lt;/lastName&gt;&lt;/author&gt;&lt;author&gt;&lt;firstName&gt;Gregg&lt;/firstName&gt;&lt;middleNames&gt;T&lt;/middleNames&gt;&lt;lastName&gt;Beckham&lt;/lastName&gt;&lt;/author&gt;&lt;author&gt;&lt;firstName&gt;Neil&lt;/firstName&gt;&lt;middleNames&gt;C&lt;/middleNames&gt;&lt;lastName&gt;Bruce&lt;/lastName&gt;&lt;/author&gt;&lt;author&gt;&lt;firstName&gt;Timothy&lt;/firstName&gt;&lt;middleNames&gt;Dh&lt;/middleNames&gt;&lt;lastName&gt;Bugg&lt;/lastName&gt;&lt;/author&gt;&lt;author&gt;&lt;firstName&gt;Daniel&lt;/firstName&gt;&lt;middleNames&gt;L&lt;/middleNames&gt;&lt;lastName&gt;Distel&lt;/lastName&gt;&lt;/author&gt;&lt;author&gt;&lt;firstName&gt;Paul&lt;/firstName&gt;&lt;lastName&gt;Dupree&lt;/lastName&gt;&lt;/author&gt;&lt;author&gt;&lt;firstName&gt;Amaia&lt;/firstName&gt;&lt;middleNames&gt;Green&lt;/middleNames&gt;&lt;lastName&gt;Etxabe&lt;/lastName&gt;&lt;/author&gt;&lt;author&gt;&lt;firstName&gt;Barry&lt;/firstName&gt;&lt;middleNames&gt;S&lt;/middleNames&gt;&lt;lastName&gt;Goodell&lt;/lastName&gt;&lt;/author&gt;&lt;author&gt;&lt;firstName&gt;Jody&lt;/firstName&gt;&lt;lastName&gt;Jellison&lt;/lastName&gt;&lt;/author&gt;&lt;author&gt;&lt;firstName&gt;John&lt;/firstName&gt;&lt;middleNames&gt;E&lt;/middleNames&gt;&lt;lastName&gt;McGeehan&lt;/lastName&gt;&lt;/author&gt;&lt;author&gt;&lt;firstName&gt;Simon&lt;/firstName&gt;&lt;middleNames&gt;J&lt;/middleNames&gt;&lt;lastName&gt;McQueen-Mason&lt;/lastName&gt;&lt;/author&gt;&lt;author&gt;&lt;firstName&gt;Kirk&lt;/firstName&gt;&lt;lastName&gt;Schnorr&lt;/lastName&gt;&lt;/author&gt;&lt;author&gt;&lt;firstName&gt;Paul&lt;/firstName&gt;&lt;middleNames&gt;H&lt;/middleNames&gt;&lt;lastName&gt;Walton&lt;/lastName&gt;&lt;/author&gt;&lt;author&gt;&lt;firstName&gt;Joy&lt;/firstName&gt;&lt;middleNames&gt;Em&lt;/middleNames&gt;&lt;lastName&gt;Watts&lt;/lastName&gt;&lt;/author&gt;&lt;author&gt;&lt;firstName&gt;Martin&lt;/firstName&gt;&lt;lastName&gt;Zimmer&lt;/lastName&gt;&lt;/author&gt;&lt;/authors&gt;&lt;/publication&gt;&lt;/publications&gt;&lt;cites&gt;&lt;/cites&gt;&lt;/citation&gt;</w:instrText>
      </w:r>
      <w:r w:rsidR="00887D39">
        <w:fldChar w:fldCharType="separate"/>
      </w:r>
      <w:r w:rsidR="00126622">
        <w:rPr>
          <w:rFonts w:eastAsiaTheme="minorEastAsia"/>
          <w:vertAlign w:val="superscript"/>
        </w:rPr>
        <w:t>41,42</w:t>
      </w:r>
      <w:r w:rsidR="00887D39">
        <w:fldChar w:fldCharType="end"/>
      </w:r>
      <w:r>
        <w:t xml:space="preserve">. </w:t>
      </w:r>
      <w:r w:rsidRPr="005946AD">
        <w:t>In both cases, the current state of the art method of analysis is mass spectrometry</w:t>
      </w:r>
      <w:r w:rsidR="00CD2C9D" w:rsidRPr="005946AD">
        <w:t xml:space="preserve"> (MS)</w:t>
      </w:r>
      <w:r w:rsidRPr="005946AD">
        <w:t>. SCFS offers advantages over MS methods</w:t>
      </w:r>
      <w:r w:rsidR="00EC063D">
        <w:t xml:space="preserve"> where the elucidation of sequence patterns over large distances are required</w:t>
      </w:r>
      <w:r w:rsidR="00BA2D4A">
        <w:t>.</w:t>
      </w:r>
      <w:r>
        <w:t xml:space="preserve">  Therefore, SCFS offers the prospect of an alternative route to mapping critical post-translational modifications of proteins and a first method for mapping the pattern of sidechains in linear glycans that can be easily implemented in any standard AFM.</w:t>
      </w:r>
    </w:p>
    <w:p w:rsidR="00430780" w:rsidRDefault="008352F0" w:rsidP="002A436C">
      <w:pPr>
        <w:pStyle w:val="Head1"/>
        <w:jc w:val="both"/>
      </w:pPr>
      <w:r>
        <w:rPr>
          <w:noProof/>
          <w:lang w:val="nb-NO" w:eastAsia="nb-NO"/>
        </w:rPr>
        <w:drawing>
          <wp:inline distT="0" distB="0" distL="0" distR="0" wp14:anchorId="19E51429" wp14:editId="401B2125">
            <wp:extent cx="5274310" cy="4469765"/>
            <wp:effectExtent l="0" t="0" r="889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6.png"/>
                    <pic:cNvPicPr/>
                  </pic:nvPicPr>
                  <pic:blipFill>
                    <a:blip r:embed="rId9">
                      <a:extLst>
                        <a:ext uri="{28A0092B-C50C-407E-A947-70E740481C1C}">
                          <a14:useLocalDpi xmlns:a14="http://schemas.microsoft.com/office/drawing/2010/main" val="0"/>
                        </a:ext>
                      </a:extLst>
                    </a:blip>
                    <a:stretch>
                      <a:fillRect/>
                    </a:stretch>
                  </pic:blipFill>
                  <pic:spPr>
                    <a:xfrm>
                      <a:off x="0" y="0"/>
                      <a:ext cx="5274310" cy="4469765"/>
                    </a:xfrm>
                    <a:prstGeom prst="rect">
                      <a:avLst/>
                    </a:prstGeom>
                  </pic:spPr>
                </pic:pic>
              </a:graphicData>
            </a:graphic>
          </wp:inline>
        </w:drawing>
      </w:r>
    </w:p>
    <w:p w:rsidR="007738D3" w:rsidRPr="00C02CD5" w:rsidRDefault="00430780" w:rsidP="002A436C">
      <w:pPr>
        <w:pStyle w:val="Head1"/>
        <w:jc w:val="both"/>
      </w:pPr>
      <w:r w:rsidRPr="00C02CD5">
        <w:t>Figure 6.</w:t>
      </w:r>
      <w:r w:rsidR="00AD7254" w:rsidRPr="00C02CD5">
        <w:t xml:space="preserve"> Plots of predicted force vs. sequence for (a) O-glycosylation of the 20 a.a. tandem repeat in the human protein MUC-1(glycosylated sequence in green, unmodified sequence blue);  (b) N-glycosylation of the region 951-980 in MUC-1 (glycosylated sequence in orange, unmodified sequence blue); (c) phosphorylation of the region 1201-1230 in MUC-1(phosphorylated sequence in red, unmodified sequence blue);  (d) glucuronic acid decoration of the xylan backbone in a hypothetical glucuronoxylan sequence. In all cases solid lines show mean predicted force for a cantilever with k</w:t>
      </w:r>
      <w:r w:rsidR="00AD7254" w:rsidRPr="00C02CD5">
        <w:rPr>
          <w:vertAlign w:val="subscript"/>
        </w:rPr>
        <w:t>c</w:t>
      </w:r>
      <w:r w:rsidR="00AD7254" w:rsidRPr="00C02CD5">
        <w:t xml:space="preserve"> = 25 pN/nm, error bars represent ±15 pN.</w:t>
      </w:r>
    </w:p>
    <w:p w:rsidR="0011561A" w:rsidRDefault="0011561A" w:rsidP="002A436C">
      <w:pPr>
        <w:pStyle w:val="Head1"/>
        <w:jc w:val="both"/>
      </w:pPr>
    </w:p>
    <w:p w:rsidR="00AD7254" w:rsidRPr="00A77CBA" w:rsidRDefault="00AD7254" w:rsidP="002A436C">
      <w:pPr>
        <w:pStyle w:val="Head1"/>
        <w:jc w:val="both"/>
      </w:pPr>
    </w:p>
    <w:p w:rsidR="00491A9A" w:rsidRPr="00A77CBA" w:rsidRDefault="00491A9A" w:rsidP="002A436C">
      <w:pPr>
        <w:pStyle w:val="MainText"/>
        <w:jc w:val="both"/>
        <w:outlineLvl w:val="0"/>
        <w:rPr>
          <w:b/>
          <w:lang w:val="en-GB"/>
        </w:rPr>
      </w:pPr>
      <w:r w:rsidRPr="00A77CBA">
        <w:rPr>
          <w:b/>
          <w:lang w:val="en-GB"/>
        </w:rPr>
        <w:t>Experimental methods</w:t>
      </w:r>
    </w:p>
    <w:p w:rsidR="00491A9A" w:rsidRPr="00A77CBA" w:rsidRDefault="00491A9A" w:rsidP="002A436C">
      <w:pPr>
        <w:pStyle w:val="MainText"/>
        <w:jc w:val="both"/>
        <w:outlineLvl w:val="0"/>
        <w:rPr>
          <w:b/>
          <w:lang w:val="en-GB"/>
        </w:rPr>
      </w:pPr>
      <w:r w:rsidRPr="00A77CBA">
        <w:rPr>
          <w:b/>
          <w:lang w:val="en-GB"/>
        </w:rPr>
        <w:t>Cyclodextrin functionalisation</w:t>
      </w:r>
    </w:p>
    <w:p w:rsidR="00491A9A" w:rsidRPr="00A77CBA" w:rsidRDefault="00491A9A" w:rsidP="002A436C">
      <w:pPr>
        <w:pStyle w:val="MainText"/>
        <w:jc w:val="both"/>
        <w:rPr>
          <w:lang w:val="en-GB"/>
        </w:rPr>
      </w:pPr>
      <w:r w:rsidRPr="00A77CBA">
        <w:rPr>
          <w:lang w:val="en-GB"/>
        </w:rPr>
        <w:t>α- and β-cyclodextrins were modified with a bisamine-terminated PPG-PEG-PPG tether as described previously.</w:t>
      </w:r>
      <w:r w:rsidRPr="00A77CBA">
        <w:rPr>
          <w:vertAlign w:val="superscript"/>
          <w:lang w:val="en-GB"/>
        </w:rPr>
        <w:t>1</w:t>
      </w:r>
      <w:r w:rsidRPr="00A77CBA">
        <w:rPr>
          <w:lang w:val="en-GB"/>
        </w:rPr>
        <w:t xml:space="preserve"> Briefly, aldehyde groups were created on the cyclodextrins by treatment with Dess-martin periodinane and bis(2-aminopropyl) polypropylene oxide-polyethylene oxide block copolymer was coupled to the aldehyde in a Schiff base reaction.</w:t>
      </w:r>
    </w:p>
    <w:p w:rsidR="00491A9A" w:rsidRPr="00A77CBA" w:rsidRDefault="00491A9A" w:rsidP="002A436C">
      <w:pPr>
        <w:pStyle w:val="MainText"/>
        <w:jc w:val="both"/>
        <w:rPr>
          <w:lang w:val="en-GB"/>
        </w:rPr>
      </w:pPr>
    </w:p>
    <w:p w:rsidR="00491A9A" w:rsidRPr="00A77CBA" w:rsidRDefault="00491A9A" w:rsidP="002A436C">
      <w:pPr>
        <w:pStyle w:val="MainText"/>
        <w:jc w:val="both"/>
        <w:rPr>
          <w:b/>
          <w:lang w:val="en-GB"/>
        </w:rPr>
      </w:pPr>
      <w:r w:rsidRPr="00A77CBA">
        <w:rPr>
          <w:b/>
          <w:lang w:val="en-GB"/>
        </w:rPr>
        <w:t>Polymer conjugation, pseudorotaxane formation and surface functionalisation of stations 1-3</w:t>
      </w:r>
    </w:p>
    <w:p w:rsidR="00491A9A" w:rsidRPr="00A77CBA" w:rsidRDefault="00491A9A" w:rsidP="002A436C">
      <w:pPr>
        <w:pStyle w:val="MainText"/>
        <w:jc w:val="both"/>
        <w:rPr>
          <w:lang w:val="en-GB"/>
        </w:rPr>
      </w:pPr>
      <w:r w:rsidRPr="00A77CBA">
        <w:rPr>
          <w:lang w:val="en-GB"/>
        </w:rPr>
        <w:t>The polymers including stations 1, 2 and 3 that were investigated experimentally in this work were prepared as described elsewhere.</w:t>
      </w:r>
      <w:r w:rsidRPr="00A77CBA">
        <w:rPr>
          <w:vertAlign w:val="superscript"/>
          <w:lang w:val="en-GB"/>
        </w:rPr>
        <w:t>1</w:t>
      </w:r>
      <w:r w:rsidRPr="00A77CBA">
        <w:rPr>
          <w:lang w:val="en-GB"/>
        </w:rPr>
        <w:t xml:space="preserve"> Briefly, aminoaniline was coupled to a formyl-terminated PEG</w:t>
      </w:r>
      <w:r w:rsidRPr="00A77CBA">
        <w:rPr>
          <w:vertAlign w:val="subscript"/>
          <w:lang w:val="en-GB"/>
        </w:rPr>
        <w:t>400</w:t>
      </w:r>
      <w:r w:rsidRPr="00A77CBA">
        <w:rPr>
          <w:lang w:val="en-GB"/>
        </w:rPr>
        <w:t xml:space="preserve"> polymer by reductive amination, and a thiol group introduced at the distal, hydroxyl-terminated end of the PEG for coupling to a gold substrate. </w:t>
      </w:r>
    </w:p>
    <w:p w:rsidR="00491A9A" w:rsidRPr="00A77CBA" w:rsidRDefault="00491A9A" w:rsidP="002A436C">
      <w:pPr>
        <w:pStyle w:val="MainText"/>
        <w:jc w:val="both"/>
        <w:rPr>
          <w:lang w:val="en-GB"/>
        </w:rPr>
      </w:pPr>
      <w:r w:rsidRPr="00A77CBA">
        <w:rPr>
          <w:lang w:val="en-GB"/>
        </w:rPr>
        <w:tab/>
        <w:t xml:space="preserve">Samples for AFM were prepared by depositing aqueous solutions of the polymers and rotaxanes on template-stripped gold as follows: 0.4% w/w of each polymer was mixed with a 1:1 mole equivalent of amino-functionalized α- or β-CD for 24 hours, and deposited onto template-stripped gold from water for 24 hours. </w:t>
      </w:r>
    </w:p>
    <w:p w:rsidR="00491A9A" w:rsidRPr="00A77CBA" w:rsidRDefault="00491A9A" w:rsidP="002A436C">
      <w:pPr>
        <w:pStyle w:val="MainText"/>
        <w:jc w:val="both"/>
        <w:rPr>
          <w:lang w:val="en-GB"/>
        </w:rPr>
      </w:pPr>
      <w:r w:rsidRPr="00A77CBA">
        <w:rPr>
          <w:lang w:val="en-GB"/>
        </w:rPr>
        <w:tab/>
        <w:t>AFM probes (MLCT silicon nitride from Veeco Instruments, Santa Barbara, CA, USA) with nominal spring constants of 10 and 20 pN/nm were prepared by coating under vacuum with 1nm Cr and 10nm Au (both from Goodfellow Corp., Berwyn, PA, USA) before incubation with 1mM 11-11’-dithio-bis(succinimidyl</w:t>
      </w:r>
      <w:r w:rsidR="00EB72DC">
        <w:rPr>
          <w:lang w:val="en-GB"/>
        </w:rPr>
        <w:t xml:space="preserve"> </w:t>
      </w:r>
      <w:r w:rsidRPr="00A77CBA">
        <w:rPr>
          <w:lang w:val="en-GB"/>
        </w:rPr>
        <w:t xml:space="preserve">undecanoate) in 1,4-dioxane for 10 minutes. Functionalised probes were used immediately or stored in an inert atmosphere. </w:t>
      </w:r>
    </w:p>
    <w:p w:rsidR="00491A9A" w:rsidRPr="00A77CBA" w:rsidRDefault="00491A9A" w:rsidP="002A436C">
      <w:pPr>
        <w:pStyle w:val="MainText"/>
        <w:jc w:val="both"/>
        <w:rPr>
          <w:lang w:val="en-GB"/>
        </w:rPr>
      </w:pPr>
    </w:p>
    <w:p w:rsidR="00491A9A" w:rsidRPr="00A77CBA" w:rsidRDefault="00491A9A" w:rsidP="002A436C">
      <w:pPr>
        <w:pStyle w:val="MainText"/>
        <w:jc w:val="both"/>
        <w:rPr>
          <w:b/>
          <w:lang w:val="en-GB"/>
        </w:rPr>
      </w:pPr>
      <w:r w:rsidRPr="00A77CBA">
        <w:rPr>
          <w:b/>
          <w:lang w:val="en-GB"/>
        </w:rPr>
        <w:t>Polymer conjugation, pseudorotaxane formation and surface functionalisation of stations 4 and 5</w:t>
      </w:r>
    </w:p>
    <w:p w:rsidR="00491A9A" w:rsidRPr="00A77CBA" w:rsidRDefault="00491A9A" w:rsidP="002A436C">
      <w:pPr>
        <w:pStyle w:val="MainText"/>
        <w:jc w:val="both"/>
        <w:rPr>
          <w:lang w:val="en-GB"/>
        </w:rPr>
      </w:pPr>
      <w:r w:rsidRPr="00A77CBA">
        <w:rPr>
          <w:lang w:val="en-GB"/>
        </w:rPr>
        <w:t xml:space="preserve">Alginate oligomers (stations 4 and 5) </w:t>
      </w:r>
      <w:r w:rsidR="00C874A1" w:rsidRPr="00552EE4">
        <w:rPr>
          <w:lang w:val="en-GB"/>
        </w:rPr>
        <w:t>were fractionated from partially hydrolysed polyG by size exclusion chromatography and freeze drie</w:t>
      </w:r>
      <w:r w:rsidR="00025CC2">
        <w:rPr>
          <w:lang w:val="en-GB"/>
        </w:rPr>
        <w:t xml:space="preserve">d as previously </w:t>
      </w:r>
      <w:r w:rsidR="00C874A1" w:rsidRPr="0009404A">
        <w:rPr>
          <w:lang w:val="en-GB"/>
        </w:rPr>
        <w:t>described</w:t>
      </w:r>
      <w:r w:rsidR="00025CC2">
        <w:rPr>
          <w:lang w:val="en-GB"/>
        </w:rPr>
        <w:t>.</w:t>
      </w:r>
      <w:r w:rsidR="00025CC2">
        <w:rPr>
          <w:lang w:val="en-GB"/>
        </w:rPr>
        <w:fldChar w:fldCharType="begin"/>
      </w:r>
      <w:r w:rsidR="00126622">
        <w:rPr>
          <w:lang w:val="en-GB"/>
        </w:rPr>
        <w:instrText xml:space="preserve"> ADDIN PAPERS2_CITATIONS &lt;citation&gt;&lt;uuid&gt;5ACA25F4-18FE-43AF-AA44-D7B56F9CC8C5&lt;/uuid&gt;&lt;priority&gt;0&lt;/priority&gt;&lt;publications&gt;&lt;publication&gt;&lt;uuid&gt;848219CA-6A28-4421-BDD6-53292AF6472C&lt;/uuid&gt;&lt;volume&gt;1093&lt;/volume&gt;&lt;accepted_date&gt;99200507141200000000222000&lt;/accepted_date&gt;&lt;doi&gt;10.1016/j.chroma.2005.07.051&lt;/doi&gt;&lt;startpage&gt;59&lt;/startpage&gt;&lt;revision_date&gt;99200507131200000000222000&lt;/revision_date&gt;&lt;publication_date&gt;99200511041200000000222000&lt;/publication_date&gt;&lt;url&gt;http://eutils.ncbi.nlm.nih.gov/entrez/eutils/elink.fcgi?dbfrom=pubmed&amp;amp;id=16233871&amp;amp;retmode=ref&amp;amp;cmd=prlinks&lt;/url&gt;&lt;type&gt;400&lt;/type&gt;&lt;title&gt;Application of high-performance anion-exchange chromatography with pulsed amperometric detection and statistical analysis to study oligosaccharide distributions--a complementary method to investigate the structure and some properties of alginates.&lt;/title&gt;&lt;location&gt;200,4,63.4305149,10.3950528&lt;/location&gt;&lt;submission_date&gt;99200505031200000000222000&lt;/submission_date&gt;&lt;number&gt;1-2&lt;/number&gt;&lt;institution&gt;Norwegian Biopolymer Laboratory (NOBIPOL), Department of Biotechnology, Norwegian University of Science and Technology (NTNU), Sem Saelands vei 6/8, N-7491 Trondheim, Norway. simon.ballance@biotech.ntnu.no&lt;/institution&gt;&lt;subtype&gt;400&lt;/subtype&gt;&lt;endpage&gt;68&lt;/endpage&gt;&lt;bundle&gt;&lt;publication&gt;&lt;title&gt;Journal of Chromatography A&lt;/title&gt;&lt;type&gt;-100&lt;/type&gt;&lt;subtype&gt;-100&lt;/subtype&gt;&lt;uuid&gt;A7BEEB89-DD2B-42AC-AC8B-D831939E5E97&lt;/uuid&gt;&lt;/publication&gt;&lt;/bundle&gt;&lt;authors&gt;&lt;author&gt;&lt;firstName&gt;Simon&lt;/firstName&gt;&lt;lastName&gt;Ballance&lt;/lastName&gt;&lt;/author&gt;&lt;author&gt;&lt;firstName&gt;Synnøve&lt;/firstName&gt;&lt;lastName&gt;Holtan&lt;/lastName&gt;&lt;/author&gt;&lt;author&gt;&lt;firstName&gt;Olav&lt;/firstName&gt;&lt;middleNames&gt;Andreas&lt;/middleNames&gt;&lt;lastName&gt;Aarstad&lt;/lastName&gt;&lt;/author&gt;&lt;author&gt;&lt;firstName&gt;Pawel&lt;/firstName&gt;&lt;lastName&gt;Sikorski&lt;/lastName&gt;&lt;/author&gt;&lt;author&gt;&lt;firstName&gt;Gudmund&lt;/firstName&gt;&lt;lastName&gt;Skjåk-Braek&lt;/lastName&gt;&lt;/author&gt;&lt;author&gt;&lt;firstName&gt;Bjorn&lt;/firstName&gt;&lt;middleNames&gt;E&lt;/middleNames&gt;&lt;lastName&gt;Christensen&lt;/lastName&gt;&lt;/author&gt;&lt;/authors&gt;&lt;/publication&gt;&lt;/publications&gt;&lt;cites&gt;&lt;/cites&gt;&lt;/citation&gt;</w:instrText>
      </w:r>
      <w:r w:rsidR="00025CC2">
        <w:rPr>
          <w:lang w:val="en-GB"/>
        </w:rPr>
        <w:fldChar w:fldCharType="separate"/>
      </w:r>
      <w:r w:rsidR="00126622">
        <w:rPr>
          <w:rFonts w:eastAsiaTheme="minorEastAsia"/>
          <w:vertAlign w:val="superscript"/>
          <w:lang w:val="en-GB"/>
        </w:rPr>
        <w:t>43</w:t>
      </w:r>
      <w:r w:rsidR="00025CC2">
        <w:rPr>
          <w:lang w:val="en-GB"/>
        </w:rPr>
        <w:fldChar w:fldCharType="end"/>
      </w:r>
      <w:r w:rsidR="003806A6">
        <w:rPr>
          <w:lang w:val="en-GB"/>
        </w:rPr>
        <w:t xml:space="preserve"> Size was assessed with HPAEC-</w:t>
      </w:r>
      <w:r w:rsidR="00C874A1" w:rsidRPr="0009404A">
        <w:rPr>
          <w:lang w:val="en-GB"/>
        </w:rPr>
        <w:t>PAD and compositional purity F(G) and degree of polymerisation (DP(n)) were calculated according to both of the methods described in a previous work</w:t>
      </w:r>
      <w:r w:rsidR="00025CC2">
        <w:rPr>
          <w:lang w:val="en-GB"/>
        </w:rPr>
        <w:fldChar w:fldCharType="begin"/>
      </w:r>
      <w:r w:rsidR="00126622">
        <w:rPr>
          <w:lang w:val="en-GB"/>
        </w:rPr>
        <w:instrText xml:space="preserve"> ADDIN PAPERS2_CITATIONS &lt;citation&gt;&lt;uuid&gt;E34AC3F3-C1CD-4801-9ED0-6C4582959860&lt;/uuid&gt;&lt;priority&gt;0&lt;/priority&gt;&lt;publications&gt;&lt;publication&gt;&lt;volume&gt;68&lt;/volume&gt;&lt;publication_date&gt;99197901001200000000220000&lt;/publication_date&gt;&lt;number&gt;1&lt;/number&gt;&lt;doi&gt;10.1016/S0008-6215(00)84051-3&lt;/doi&gt;&lt;startpage&gt;23&lt;/startpage&gt;&lt;title&gt;A p.m.r. study of the composition and sequence of uronate residues in alginates&lt;/title&gt;&lt;uuid&gt;4A85B34B-DC6B-4CC9-A536-C21F10858440&lt;/uuid&gt;&lt;subtype&gt;400&lt;/subtype&gt;&lt;endpage&gt;31&lt;/endpage&gt;&lt;type&gt;400&lt;/type&gt;&lt;url&gt;http://linkinghub.elsevier.com/retrieve/pii/S0008621500840513&lt;/url&gt;&lt;bundle&gt;&lt;publication&gt;&lt;publisher&gt;Elsevier Ltd&lt;/publisher&gt;&lt;title&gt;Carbohydrate Research&lt;/title&gt;&lt;type&gt;-100&lt;/type&gt;&lt;subtype&gt;-100&lt;/subtype&gt;&lt;uuid&gt;3D8B7555-6B4D-4CAA-9F85-97AD56178EEC&lt;/uuid&gt;&lt;/publication&gt;&lt;/bundle&gt;&lt;authors&gt;&lt;author&gt;&lt;firstName&gt;Hans&lt;/firstName&gt;&lt;lastName&gt;Grasdalen&lt;/lastName&gt;&lt;/author&gt;&lt;author&gt;&lt;firstName&gt;Bjørn&lt;/firstName&gt;&lt;lastName&gt;Larsen&lt;/lastName&gt;&lt;/author&gt;&lt;author&gt;&lt;firstName&gt;Olav&lt;/firstName&gt;&lt;lastName&gt;Smidsrød&lt;/lastName&gt;&lt;/author&gt;&lt;/authors&gt;&lt;/publication&gt;&lt;/publications&gt;&lt;cites&gt;&lt;/cites&gt;&lt;/citation&gt;</w:instrText>
      </w:r>
      <w:r w:rsidR="00025CC2">
        <w:rPr>
          <w:lang w:val="en-GB"/>
        </w:rPr>
        <w:fldChar w:fldCharType="separate"/>
      </w:r>
      <w:r w:rsidR="00126622">
        <w:rPr>
          <w:rFonts w:eastAsiaTheme="minorEastAsia"/>
          <w:vertAlign w:val="superscript"/>
          <w:lang w:val="en-GB"/>
        </w:rPr>
        <w:t>44</w:t>
      </w:r>
      <w:r w:rsidR="00025CC2">
        <w:rPr>
          <w:lang w:val="en-GB"/>
        </w:rPr>
        <w:fldChar w:fldCharType="end"/>
      </w:r>
      <w:r w:rsidR="00025CC2">
        <w:rPr>
          <w:lang w:val="en-GB"/>
        </w:rPr>
        <w:t xml:space="preserve"> </w:t>
      </w:r>
      <w:r w:rsidR="00C874A1" w:rsidRPr="0009404A">
        <w:rPr>
          <w:lang w:val="en-GB"/>
        </w:rPr>
        <w:t xml:space="preserve">from </w:t>
      </w:r>
      <w:r w:rsidR="00C874A1" w:rsidRPr="005946AD">
        <w:rPr>
          <w:vertAlign w:val="superscript"/>
          <w:lang w:val="en-GB"/>
        </w:rPr>
        <w:t>1</w:t>
      </w:r>
      <w:r w:rsidR="00C874A1" w:rsidRPr="0009404A">
        <w:rPr>
          <w:lang w:val="en-GB"/>
        </w:rPr>
        <w:t>H NMR spectra recorded on a Bruker Avance 400 MHz spectrometer</w:t>
      </w:r>
      <w:r w:rsidR="00C874A1">
        <w:rPr>
          <w:lang w:val="en-GB"/>
        </w:rPr>
        <w:t>.</w:t>
      </w:r>
      <w:r w:rsidR="00025CC2">
        <w:rPr>
          <w:lang w:val="en-GB"/>
        </w:rPr>
        <w:fldChar w:fldCharType="begin"/>
      </w:r>
      <w:r w:rsidR="00126622">
        <w:rPr>
          <w:lang w:val="en-GB"/>
        </w:rPr>
        <w:instrText xml:space="preserve"> ADDIN PAPERS2_CITATIONS &lt;citation&gt;&lt;uuid&gt;9BCEA02D-B3BB-4A1A-A59E-44B787BB113D&lt;/uuid&gt;&lt;priority&gt;0&lt;/priority&gt;&lt;publications&gt;&lt;publication&gt;&lt;uuid&gt;6DD3DC75-CD2A-421C-84D1-4C8A6B5F3EA8&lt;/uuid&gt;&lt;volume&gt;381&lt;/volume&gt;&lt;accepted_date&gt;99200403191200000000222000&lt;/accepted_date&gt;&lt;doi&gt;10.1042/BJ20031265&lt;/doi&gt;&lt;startpage&gt;155&lt;/startpage&gt;&lt;revision_date&gt;99200403051200000000222000&lt;/revision_date&gt;&lt;publication_date&gt;99200407011200000000222000&lt;/publication_date&gt;&lt;url&gt;http://www.biochemj.org/bj/381/bj3810155.htm&lt;/url&gt;&lt;type&gt;400&lt;/type&gt;&lt;title&gt;Biochemical analysis of the processive mechanism for epimerization of alginate by mannuronan C-5 epimerase AlgE4.&lt;/title&gt;&lt;submission_date&gt;99200308191200000000222000&lt;/submission_date&gt;&lt;number&gt;Pt 1&lt;/number&gt;&lt;institution&gt;Department of Biochemistry, Biophysics and Macromolecular Chemistry, University of Trieste, Italy.&lt;/institution&gt;&lt;subtype&gt;400&lt;/subtype&gt;&lt;endpage&gt;164&lt;/endpage&gt;&lt;bundle&gt;&lt;publication&gt;&lt;publisher&gt;Portland Press Ltd.&lt;/publisher&gt;&lt;title&gt;The Biochemical journal&lt;/title&gt;&lt;type&gt;-100&lt;/type&gt;&lt;subtype&gt;-100&lt;/subtype&gt;&lt;uuid&gt;E7AC845A-5C0F-47C6-B034-A64756B55D75&lt;/uuid&gt;&lt;/publication&gt;&lt;/bundle&gt;&lt;authors&gt;&lt;author&gt;&lt;firstName&gt;Cristiana&lt;/firstName&gt;&lt;lastName&gt;Campa&lt;/lastName&gt;&lt;/author&gt;&lt;author&gt;&lt;firstName&gt;Synnøve&lt;/firstName&gt;&lt;lastName&gt;Holtan&lt;/lastName&gt;&lt;/author&gt;&lt;author&gt;&lt;firstName&gt;Nadra&lt;/firstName&gt;&lt;lastName&gt;Nilsen&lt;/lastName&gt;&lt;/author&gt;&lt;author&gt;&lt;firstName&gt;Tonje&lt;/firstName&gt;&lt;middleNames&gt;M&lt;/middleNames&gt;&lt;lastName&gt;Bjerkan&lt;/lastName&gt;&lt;/author&gt;&lt;author&gt;&lt;firstName&gt;Bjørn&lt;/firstName&gt;&lt;middleNames&gt;Torger&lt;/middleNames&gt;&lt;lastName&gt;Stokke&lt;/lastName&gt;&lt;/author&gt;&lt;author&gt;&lt;firstName&gt;Gudmund&lt;/firstName&gt;&lt;lastName&gt;Skjåk-Braek&lt;/lastName&gt;&lt;/author&gt;&lt;/authors&gt;&lt;/publication&gt;&lt;publication&gt;&lt;volume&gt;1026&lt;/volume&gt;&lt;publication_date&gt;99200402131200000000222000&lt;/publication_date&gt;&lt;number&gt;1-2&lt;/number&gt;&lt;institution&gt;Department of Biochemistry, Biophysics and Macromolecular Chemistry University of Trieste, 1-34127 Trieste, Italy.&lt;/institution&gt;&lt;startpage&gt;271&lt;/startpage&gt;&lt;title&gt;Determination of average degree of polymerisation and distribution of oligosaccharides in a partially acid-hydrolysed homopolysaccharide: a comparison of four experimental methods applied to mannuronan.&lt;/title&gt;&lt;uuid&gt;548A116D-CBB3-40E2-8CB7-9E5434B144F7&lt;/uuid&gt;&lt;subtype&gt;400&lt;/subtype&gt;&lt;endpage&gt;281&lt;/endpage&gt;&lt;type&gt;400&lt;/type&gt;&lt;url&gt;http://www.sciencedirect.com/science/article/pii/S0021967303021253&lt;/url&gt;&lt;bundle&gt;&lt;publication&gt;&lt;title&gt;Journal of Chromatography A&lt;/title&gt;&lt;type&gt;-100&lt;/type&gt;&lt;subtype&gt;-100&lt;/subtype&gt;&lt;uuid&gt;A7BEEB89-DD2B-42AC-AC8B-D831939E5E97&lt;/uuid&gt;&lt;/publication&gt;&lt;/bundle&gt;&lt;authors&gt;&lt;author&gt;&lt;firstName&gt;Cristiana&lt;/firstName&gt;&lt;lastName&gt;Campa&lt;/lastName&gt;&lt;/author&gt;&lt;author&gt;&lt;firstName&gt;Astrid&lt;/firstName&gt;&lt;lastName&gt;Oust&lt;/lastName&gt;&lt;/author&gt;&lt;author&gt;&lt;firstName&gt;Gudmund&lt;/firstName&gt;&lt;lastName&gt;Skjåk-Braek&lt;/lastName&gt;&lt;/author&gt;&lt;author&gt;&lt;firstName&gt;Berit&lt;/firstName&gt;&lt;middleNames&gt;Smestad&lt;/middleNames&gt;&lt;lastName&gt;Paulsen&lt;/lastName&gt;&lt;/author&gt;&lt;author&gt;&lt;firstName&gt;Sergio&lt;/firstName&gt;&lt;lastName&gt;Paoletti&lt;/lastName&gt;&lt;/author&gt;&lt;author&gt;&lt;firstName&gt;Bjorn&lt;/firstName&gt;&lt;middleNames&gt;E&lt;/middleNames&gt;&lt;lastName&gt;Christensen&lt;/lastName&gt;&lt;/author&gt;&lt;author&gt;&lt;firstName&gt;Simon&lt;/firstName&gt;&lt;lastName&gt;Ballance&lt;/lastName&gt;&lt;/author&gt;&lt;/authors&gt;&lt;/publication&gt;&lt;/publications&gt;&lt;cites&gt;&lt;/cites&gt;&lt;/citation&gt;</w:instrText>
      </w:r>
      <w:r w:rsidR="00025CC2">
        <w:rPr>
          <w:lang w:val="en-GB"/>
        </w:rPr>
        <w:fldChar w:fldCharType="separate"/>
      </w:r>
      <w:r w:rsidR="00126622">
        <w:rPr>
          <w:rFonts w:eastAsiaTheme="minorEastAsia"/>
          <w:vertAlign w:val="superscript"/>
          <w:lang w:val="en-GB"/>
        </w:rPr>
        <w:t>45,46</w:t>
      </w:r>
      <w:r w:rsidR="00025CC2">
        <w:rPr>
          <w:lang w:val="en-GB"/>
        </w:rPr>
        <w:fldChar w:fldCharType="end"/>
      </w:r>
      <w:r w:rsidR="00C874A1">
        <w:rPr>
          <w:lang w:val="en-GB"/>
        </w:rPr>
        <w:t xml:space="preserve"> </w:t>
      </w:r>
      <w:r w:rsidR="003806A6">
        <w:rPr>
          <w:lang w:val="en-GB"/>
        </w:rPr>
        <w:t>HPAEC</w:t>
      </w:r>
      <w:r w:rsidR="00C874A1" w:rsidRPr="0009404A">
        <w:rPr>
          <w:lang w:val="en-GB"/>
        </w:rPr>
        <w:t xml:space="preserve"> PAD chromatograms </w:t>
      </w:r>
      <w:r w:rsidR="00C874A1">
        <w:rPr>
          <w:lang w:val="en-GB"/>
        </w:rPr>
        <w:t>and NMR spectra of the oligoGs were presented previously</w:t>
      </w:r>
      <w:r w:rsidR="00025CC2">
        <w:rPr>
          <w:lang w:val="en-GB"/>
        </w:rPr>
        <w:fldChar w:fldCharType="begin"/>
      </w:r>
      <w:r w:rsidR="00126622">
        <w:rPr>
          <w:lang w:val="en-GB"/>
        </w:rPr>
        <w:instrText xml:space="preserve"> ADDIN PAPERS2_CITATIONS &lt;citation&gt;&lt;uuid&gt;52A542D8-96B5-42E1-8818-48872E23BF2A&lt;/uuid&gt;&lt;priority&gt;0&lt;/priority&gt;&lt;publications&gt;&lt;publication&gt;&lt;uuid&gt;54C0B11C-9C30-491B-824E-A6C26EC0DEE5&lt;/uuid&gt;&lt;volume&gt;148&lt;/volume&gt;&lt;accepted_date&gt;99201604091200000000222000&lt;/accepted_date&gt;&lt;doi&gt;10.1016/j.carbpol.2016.04.043&lt;/doi&gt;&lt;startpage&gt;52&lt;/startpage&gt;&lt;revision_date&gt;99201604081200000000222000&lt;/revision_date&gt;&lt;publication_date&gt;99201609051200000000222000&lt;/publication_date&gt;&lt;url&gt;http://linkinghub.elsevier.com/retrieve/pii/S0144861716304040&lt;/url&gt;&lt;citekey&gt;Bowman:2016jq&lt;/citekey&gt;&lt;type&gt;400&lt;/type&gt;&lt;title&gt;Single molecule investigation of the onset and minimum size of the calcium-mediated junction zone in alginate.&lt;/title&gt;&lt;submission_date&gt;99201602251200000000222000&lt;/submission_date&gt;&lt;institution&gt;University of East Anglia, School of Pharmacy, United Kingdom.&lt;/institution&gt;&lt;subtype&gt;400&lt;/subtype&gt;&lt;endpage&gt;60&lt;/endpage&gt;&lt;bundle&gt;&lt;publication&gt;&lt;publisher&gt;Elsevier Ltd&lt;/publisher&gt;&lt;title&gt;Carbohydrate Polymers&lt;/title&gt;&lt;type&gt;-100&lt;/type&gt;&lt;subtype&gt;-100&lt;/subtype&gt;&lt;uuid&gt;A8992683-1DFB-4DDD-858A-B5E0DA17503C&lt;/uuid&gt;&lt;/publication&gt;&lt;/bundle&gt;&lt;authors&gt;&lt;author&gt;&lt;firstName&gt;Kate&lt;/firstName&gt;&lt;middleNames&gt;A&lt;/middleNames&gt;&lt;lastName&gt;Bowman&lt;/lastName&gt;&lt;/author&gt;&lt;author&gt;&lt;firstName&gt;Olav&lt;/firstName&gt;&lt;middleNames&gt;Andreas&lt;/middleNames&gt;&lt;lastName&gt;Aarstad&lt;/lastName&gt;&lt;/author&gt;&lt;author&gt;&lt;firstName&gt;Marcela&lt;/firstName&gt;&lt;lastName&gt;Nakamura&lt;/lastName&gt;&lt;/author&gt;&lt;author&gt;&lt;firstName&gt;Bjørn&lt;/firstName&gt;&lt;middleNames&gt;Torger&lt;/middleNames&gt;&lt;lastName&gt;Stokke&lt;/lastName&gt;&lt;/author&gt;&lt;author&gt;&lt;firstName&gt;Gudmund&lt;/firstName&gt;&lt;lastName&gt;Skjåk-Braek&lt;/lastName&gt;&lt;/author&gt;&lt;author&gt;&lt;firstName&gt;Andrew&lt;/firstName&gt;&lt;middleNames&gt;N&lt;/middleNames&gt;&lt;lastName&gt;Round&lt;/lastName&gt;&lt;/author&gt;&lt;/authors&gt;&lt;/publication&gt;&lt;/publications&gt;&lt;cites&gt;&lt;/cites&gt;&lt;/citation&gt;</w:instrText>
      </w:r>
      <w:r w:rsidR="00025CC2">
        <w:rPr>
          <w:lang w:val="en-GB"/>
        </w:rPr>
        <w:fldChar w:fldCharType="separate"/>
      </w:r>
      <w:r w:rsidR="00126622">
        <w:rPr>
          <w:rFonts w:eastAsiaTheme="minorEastAsia"/>
          <w:vertAlign w:val="superscript"/>
          <w:lang w:val="en-GB"/>
        </w:rPr>
        <w:t>47</w:t>
      </w:r>
      <w:r w:rsidR="00025CC2">
        <w:rPr>
          <w:lang w:val="en-GB"/>
        </w:rPr>
        <w:fldChar w:fldCharType="end"/>
      </w:r>
      <w:r w:rsidR="00025CC2">
        <w:rPr>
          <w:lang w:val="en-GB"/>
        </w:rPr>
        <w:t xml:space="preserve">. </w:t>
      </w:r>
      <w:r w:rsidRPr="00A77CBA">
        <w:rPr>
          <w:lang w:val="en-GB"/>
        </w:rPr>
        <w:t>Guluronic acid fractions with n = 6 and n = 16-18, and a mannuronic acid fraction with n = 10 were selected for</w:t>
      </w:r>
      <w:r w:rsidRPr="00A77CBA">
        <w:rPr>
          <w:rFonts w:asciiTheme="minorHAnsi" w:eastAsiaTheme="minorHAnsi" w:hAnsiTheme="minorHAnsi"/>
          <w:w w:val="108"/>
          <w:sz w:val="18"/>
          <w:szCs w:val="18"/>
          <w:lang w:val="en-GB" w:eastAsia="en-US" w:bidi="en-US"/>
        </w:rPr>
        <w:t xml:space="preserve"> </w:t>
      </w:r>
      <w:r w:rsidRPr="00A77CBA">
        <w:rPr>
          <w:lang w:val="en-GB" w:bidi="en-US"/>
        </w:rPr>
        <w:t>conjugation</w:t>
      </w:r>
      <w:r w:rsidR="00EF466E" w:rsidRPr="00EF466E">
        <w:rPr>
          <w:lang w:val="en-GB"/>
        </w:rPr>
        <w:t xml:space="preserve"> </w:t>
      </w:r>
      <w:r w:rsidR="00025CC2">
        <w:rPr>
          <w:lang w:val="en-GB"/>
        </w:rPr>
        <w:t xml:space="preserve">to short PEG polymers </w:t>
      </w:r>
      <w:r w:rsidR="00EF466E" w:rsidRPr="00A77CBA">
        <w:rPr>
          <w:lang w:val="en-GB"/>
        </w:rPr>
        <w:t>using a reducing-end-selective method</w:t>
      </w:r>
      <w:r w:rsidR="00025CC2">
        <w:rPr>
          <w:lang w:val="en-GB"/>
        </w:rPr>
        <w:fldChar w:fldCharType="begin"/>
      </w:r>
      <w:r w:rsidR="00126622">
        <w:rPr>
          <w:lang w:val="en-GB"/>
        </w:rPr>
        <w:instrText xml:space="preserve"> ADDIN PAPERS2_CITATIONS &lt;citation&gt;&lt;uuid&gt;AEFA6BE1-1BC0-4295-BDBD-20EBA77DEFFF&lt;/uuid&gt;&lt;priority&gt;0&lt;/priority&gt;&lt;publications&gt;&lt;publication&gt;&lt;volume&gt;50&lt;/volume&gt;&lt;publication_date&gt;99197800001200000000200000&lt;/publication_date&gt;&lt;startpage&gt;155&lt;/startpage&gt;&lt;title&gt;Antibodies to carbohydrates: preparation of antigens by coupling carbohydrates to proteins by reductive amination with cyanoborohydride.&lt;/title&gt;&lt;uuid&gt;6A1651F3-6573-418A-8F7D-6A339E534557&lt;/uuid&gt;&lt;subtype&gt;400&lt;/subtype&gt;&lt;endpage&gt;160&lt;/endpage&gt;&lt;type&gt;400&lt;/type&gt;&lt;url&gt;http://ukpmc.ac.uk/abstract/MED/78431&lt;/url&gt;&lt;bundle&gt;&lt;publication&gt;&lt;title&gt;Methods in enzymology&lt;/title&gt;&lt;type&gt;-100&lt;/type&gt;&lt;subtype&gt;-100&lt;/subtype&gt;&lt;uuid&gt;AC2ABA87-D6CD-41EB-A0E3-545BF4375159&lt;/uuid&gt;&lt;/publication&gt;&lt;/bundle&gt;&lt;authors&gt;&lt;author&gt;&lt;firstName&gt;G&lt;/firstName&gt;&lt;lastName&gt;Gray&lt;/lastName&gt;&lt;/author&gt;&lt;/authors&gt;&lt;/publication&gt;&lt;/publications&gt;&lt;cites&gt;&lt;/cites&gt;&lt;/citation&gt;</w:instrText>
      </w:r>
      <w:r w:rsidR="00025CC2">
        <w:rPr>
          <w:lang w:val="en-GB"/>
        </w:rPr>
        <w:fldChar w:fldCharType="separate"/>
      </w:r>
      <w:r w:rsidR="00126622">
        <w:rPr>
          <w:rFonts w:eastAsiaTheme="minorEastAsia"/>
          <w:vertAlign w:val="superscript"/>
          <w:lang w:val="en-GB"/>
        </w:rPr>
        <w:t>48</w:t>
      </w:r>
      <w:r w:rsidR="00025CC2">
        <w:rPr>
          <w:lang w:val="en-GB"/>
        </w:rPr>
        <w:fldChar w:fldCharType="end"/>
      </w:r>
      <w:r w:rsidR="00025CC2">
        <w:rPr>
          <w:lang w:val="en-GB"/>
        </w:rPr>
        <w:t xml:space="preserve"> previously shown to link polysaccharides to AFM probes and substrates</w:t>
      </w:r>
      <w:r w:rsidRPr="00A77CBA">
        <w:rPr>
          <w:lang w:val="en-GB" w:bidi="en-US"/>
        </w:rPr>
        <w:t>.</w:t>
      </w:r>
      <w:r w:rsidR="00025CC2">
        <w:rPr>
          <w:lang w:val="en-GB" w:bidi="en-US"/>
        </w:rPr>
        <w:fldChar w:fldCharType="begin"/>
      </w:r>
      <w:r w:rsidR="00126622">
        <w:rPr>
          <w:lang w:val="en-GB" w:bidi="en-US"/>
        </w:rPr>
        <w:instrText xml:space="preserve"> ADDIN PAPERS2_CITATIONS &lt;citation&gt;&lt;uuid&gt;CBCAEC44-0E2A-4902-8A3F-8F72CCB5EDB6&lt;/uuid&gt;&lt;priority&gt;0&lt;/priority&gt;&lt;publications&gt;&lt;publication&gt;&lt;uuid&gt;012A4341-0562-45F7-BB00-3E769E0638E6&lt;/uuid&gt;&lt;volume&gt;25&lt;/volume&gt;&lt;doi&gt;10.1021/la9009515&lt;/doi&gt;&lt;startpage&gt;10174&lt;/startpage&gt;&lt;publication_date&gt;99200909011200000000222000&lt;/publication_date&gt;&lt;url&gt;http://pubs.acs.org/doi/abs/10.1021/la9009515&lt;/url&gt;&lt;type&gt;400&lt;/type&gt;&lt;title&gt;Single molecular pair interactions between hydrophobically modified hydroxyethyl cellulose and amylose determined by dynamic force spectroscopy.&lt;/title&gt;&lt;location&gt;200,4,63.4305149,10.3950528&lt;/location&gt;&lt;institution&gt;Biophysics and Medical Technology, Department of Physics, The Norwegian University of Science and Technology, NTNU, NO-7491 Trondheim, Norway.&lt;/institution&gt;&lt;number&gt;17&lt;/number&gt;&lt;subtype&gt;400&lt;/subtype&gt;&lt;endpage&gt;10182&lt;/endpage&gt;&lt;bundle&gt;&lt;publication&gt;&lt;publisher&gt; American Chemical Society &lt;/publisher&gt;&lt;title&gt;Langmuir : the ACS journal of surfaces and colloids&lt;/title&gt;&lt;type&gt;-100&lt;/type&gt;&lt;subtype&gt;-100&lt;/subtype&gt;&lt;uuid&gt;A26006E3-3C54-4F9C-B947-AC668218184C&lt;/uuid&gt;&lt;/publication&gt;&lt;/bundle&gt;&lt;authors&gt;&lt;author&gt;&lt;firstName&gt;Makoto&lt;/firstName&gt;&lt;lastName&gt;Takemasa&lt;/lastName&gt;&lt;/author&gt;&lt;author&gt;&lt;firstName&gt;Marit&lt;/firstName&gt;&lt;lastName&gt;Sletmoen&lt;/lastName&gt;&lt;/author&gt;&lt;author&gt;&lt;firstName&gt;Bjørn&lt;/firstName&gt;&lt;middleNames&gt;T&lt;/middleNames&gt;&lt;lastName&gt;Stokke&lt;/lastName&gt;&lt;/author&gt;&lt;/authors&gt;&lt;/publication&gt;&lt;/publications&gt;&lt;cites&gt;&lt;/cites&gt;&lt;/citation&gt;</w:instrText>
      </w:r>
      <w:r w:rsidR="00025CC2">
        <w:rPr>
          <w:lang w:val="en-GB" w:bidi="en-US"/>
        </w:rPr>
        <w:fldChar w:fldCharType="separate"/>
      </w:r>
      <w:r w:rsidR="00126622">
        <w:rPr>
          <w:rFonts w:eastAsiaTheme="minorEastAsia"/>
          <w:vertAlign w:val="superscript"/>
          <w:lang w:val="en-GB"/>
        </w:rPr>
        <w:t>49</w:t>
      </w:r>
      <w:r w:rsidR="00025CC2">
        <w:rPr>
          <w:lang w:val="en-GB" w:bidi="en-US"/>
        </w:rPr>
        <w:fldChar w:fldCharType="end"/>
      </w:r>
      <w:r w:rsidRPr="00A77CBA">
        <w:rPr>
          <w:lang w:val="en-GB" w:bidi="en-US"/>
        </w:rPr>
        <w:t xml:space="preserve"> For this conjugation, 0.5 mL of 5 M NaBH</w:t>
      </w:r>
      <w:r w:rsidRPr="00A77CBA">
        <w:rPr>
          <w:vertAlign w:val="subscript"/>
          <w:lang w:val="en-GB" w:bidi="en-US"/>
        </w:rPr>
        <w:t>3</w:t>
      </w:r>
      <w:r w:rsidRPr="00A77CBA">
        <w:rPr>
          <w:lang w:val="en-GB" w:bidi="en-US"/>
        </w:rPr>
        <w:t xml:space="preserve">CN (5.0 M solution of sodium cyanoborohydride in aqueous 1 M sodium hydroxide, Sigma-Aldrich), 0.1 mL of 0.5 mM oligosaccharide, 0.25 mL of 0.5 mM amino-PEG-Boc (3000 Da; polydispersity index 1.03) and 1.5 mL of MQ-water were mixed and incubated for 48-144 h. Gel Permeation Chromatography shows that the conjugate has a mass of ~3600 Da, close to the expected mass of ~4200 Da (for details of this analysis see </w:t>
      </w:r>
      <w:r w:rsidR="00F51BB3" w:rsidRPr="00F51BB3">
        <w:rPr>
          <w:b/>
          <w:lang w:val="en-GB" w:bidi="en-US"/>
        </w:rPr>
        <w:t>supporting information</w:t>
      </w:r>
      <w:r w:rsidRPr="00A77CBA">
        <w:rPr>
          <w:lang w:val="en-GB" w:bidi="en-US"/>
        </w:rPr>
        <w:t xml:space="preserve">). Prior to conjugation to the substrate surface </w:t>
      </w:r>
      <w:r w:rsidR="00025CC2" w:rsidRPr="005946AD">
        <w:rPr>
          <w:i/>
          <w:lang w:val="en-GB" w:bidi="en-US"/>
        </w:rPr>
        <w:t>tert</w:t>
      </w:r>
      <w:r w:rsidR="00025CC2">
        <w:rPr>
          <w:lang w:val="en-GB" w:bidi="en-US"/>
        </w:rPr>
        <w:t>-butoxycarbonyl (</w:t>
      </w:r>
      <w:r w:rsidRPr="00A77CBA">
        <w:rPr>
          <w:lang w:val="en-GB" w:bidi="en-US"/>
        </w:rPr>
        <w:t>B</w:t>
      </w:r>
      <w:r w:rsidR="00025CC2">
        <w:rPr>
          <w:lang w:val="en-GB" w:bidi="en-US"/>
        </w:rPr>
        <w:t>oc)</w:t>
      </w:r>
      <w:r w:rsidRPr="00A77CBA">
        <w:rPr>
          <w:lang w:val="en-GB" w:bidi="en-US"/>
        </w:rPr>
        <w:t xml:space="preserve"> deprotection </w:t>
      </w:r>
      <w:r w:rsidRPr="00A77CBA">
        <w:rPr>
          <w:lang w:val="en-GB"/>
        </w:rPr>
        <w:t>was carried out in a 50% TFA solution for 2 hrs on ice to limit acid hydrolysis.</w:t>
      </w:r>
    </w:p>
    <w:p w:rsidR="00491A9A" w:rsidRPr="00A77CBA" w:rsidRDefault="00491A9A" w:rsidP="002A436C">
      <w:pPr>
        <w:pStyle w:val="MainText"/>
        <w:jc w:val="both"/>
        <w:rPr>
          <w:lang w:val="en-GB"/>
        </w:rPr>
      </w:pPr>
      <w:r w:rsidRPr="00A77CBA">
        <w:rPr>
          <w:lang w:val="en-GB"/>
        </w:rPr>
        <w:tab/>
        <w:t>Samples for AFM were prepared by an alternative method to that used for stations 1-3: freshly-cleaved mica was functionalised with 3-mercaptopropyl</w:t>
      </w:r>
      <w:r w:rsidR="00EB72DC">
        <w:rPr>
          <w:lang w:val="en-GB"/>
        </w:rPr>
        <w:t xml:space="preserve"> </w:t>
      </w:r>
      <w:r w:rsidRPr="00A77CBA">
        <w:rPr>
          <w:lang w:val="en-GB"/>
        </w:rPr>
        <w:t xml:space="preserve">triethoxysilane (MTS) (Sigma-Aldrich) from a 2% solution in acetone (200 μL, 20 mins, washed 5x water). To crosslink the amine-terminated PEG-alginate polymer to the thiol-terminated substrate, a short PEG spacer with maleimide and succinimide end groups (SM(PEG)12, Thermo Fisher Scientific) was used (100 μL of 1:300 dilution in water deposited on to thiol-functionalised mica for 2h at RT or overnight at 4°C). </w:t>
      </w:r>
    </w:p>
    <w:p w:rsidR="00491A9A" w:rsidRPr="00A77CBA" w:rsidRDefault="00491A9A" w:rsidP="002A436C">
      <w:pPr>
        <w:pStyle w:val="MainText"/>
        <w:jc w:val="both"/>
        <w:rPr>
          <w:lang w:val="en-GB"/>
        </w:rPr>
      </w:pPr>
      <w:r w:rsidRPr="00A77CBA">
        <w:rPr>
          <w:lang w:val="en-GB"/>
        </w:rPr>
        <w:tab/>
        <w:t>AFM probes for the alginate-pseudorotaxane experiments (MLCT silicon nitride from Veeco Instruments, Santa Barbara, CA, USA) with nominal spring constants of 10 and 20 pN/nm were silanised with thiol-terminated alkylsilane and then further functionalised with (α-maleimido-ω-N-hydroxysuccinimide)-propylene glycol as described above. Both probe treatments resulted in probes functionalized with succinimidyl groups for in-situ reaction with the amine groups on the cyclodextrins and gave comparable success rates.</w:t>
      </w:r>
    </w:p>
    <w:p w:rsidR="00491A9A" w:rsidRPr="00A77CBA" w:rsidRDefault="00491A9A" w:rsidP="002A436C">
      <w:pPr>
        <w:pStyle w:val="MainText"/>
        <w:jc w:val="both"/>
        <w:rPr>
          <w:lang w:val="en-GB"/>
        </w:rPr>
      </w:pPr>
    </w:p>
    <w:p w:rsidR="00491A9A" w:rsidRPr="00A77CBA" w:rsidRDefault="00491A9A" w:rsidP="002A436C">
      <w:pPr>
        <w:pStyle w:val="MainText"/>
        <w:jc w:val="both"/>
        <w:outlineLvl w:val="0"/>
        <w:rPr>
          <w:b/>
          <w:lang w:val="en-GB"/>
        </w:rPr>
      </w:pPr>
      <w:r w:rsidRPr="00A77CBA">
        <w:rPr>
          <w:b/>
          <w:lang w:val="en-GB"/>
        </w:rPr>
        <w:t>AFM force spectroscopy experiments</w:t>
      </w:r>
    </w:p>
    <w:p w:rsidR="00491A9A" w:rsidRDefault="00491A9A" w:rsidP="002A436C">
      <w:pPr>
        <w:pStyle w:val="MainText"/>
        <w:jc w:val="both"/>
        <w:rPr>
          <w:lang w:val="en-GB" w:bidi="en-US"/>
        </w:rPr>
      </w:pPr>
      <w:r w:rsidRPr="00A77CBA">
        <w:rPr>
          <w:lang w:val="en-GB"/>
        </w:rPr>
        <w:t xml:space="preserve">Force spectroscopy experiments were carried out using a Multimode AFM with Nanoscope IIIa or V controllers (Veeco Instruments, Santa Barbara, CA, USA) and a JPK Nanowizard III (JPK, Berlin, Germany) in water.  </w:t>
      </w:r>
      <w:r w:rsidR="00025CC2">
        <w:rPr>
          <w:lang w:val="en-GB"/>
        </w:rPr>
        <w:t xml:space="preserve">The </w:t>
      </w:r>
      <w:r w:rsidR="00992ECC" w:rsidRPr="00A77CBA">
        <w:rPr>
          <w:lang w:val="en-GB"/>
        </w:rPr>
        <w:t>spring constants</w:t>
      </w:r>
      <w:r w:rsidR="00025CC2">
        <w:rPr>
          <w:lang w:val="en-GB"/>
        </w:rPr>
        <w:t>, calibrated using the thermal tune principle</w:t>
      </w:r>
      <w:r w:rsidR="00025CC2">
        <w:rPr>
          <w:lang w:val="en-GB"/>
        </w:rPr>
        <w:fldChar w:fldCharType="begin"/>
      </w:r>
      <w:r w:rsidR="00126622">
        <w:rPr>
          <w:lang w:val="en-GB"/>
        </w:rPr>
        <w:instrText xml:space="preserve"> ADDIN PAPERS2_CITATIONS &lt;citation&gt;&lt;uuid&gt;AA98DE8E-AC24-4BD1-BDFE-0E2A5319D88E&lt;/uuid&gt;&lt;priority&gt;0&lt;/priority&gt;&lt;publications&gt;&lt;publication&gt;&lt;uuid&gt;E5C0CAE8-FE5D-45B2-8F51-066EF2DE212E&lt;/uuid&gt;&lt;volume&gt;64&lt;/volume&gt;&lt;doi&gt;10.1063/1.1143970&lt;/doi&gt;&lt;startpage&gt;1868&lt;/startpage&gt;&lt;publication_date&gt;99199300001200000000200000&lt;/publication_date&gt;&lt;url&gt;http://scitation.aip.org/content/aip/journal/rsi/64/7/10.1063/1.1143970&lt;/url&gt;&lt;citekey&gt;Hutter:1993ed&lt;/citekey&gt;&lt;type&gt;400&lt;/type&gt;&lt;title&gt;Calibration of atomic-force microscope tips&lt;/title&gt;&lt;publisher&gt;AIP Publishing&lt;/publisher&gt;&lt;number&gt;7&lt;/number&gt;&lt;subtype&gt;400&lt;/subtype&gt;&lt;endpage&gt;1873&lt;/endpage&gt;&lt;bundle&gt;&lt;publication&gt;&lt;publisher&gt;AIP Publishing&lt;/publisher&gt;&lt;title&gt;Review Of Scientific Instruments&lt;/title&gt;&lt;type&gt;-100&lt;/type&gt;&lt;subtype&gt;-100&lt;/subtype&gt;&lt;uuid&gt;75A08F93-7131-44C9-8B10-CAFBFBE57797&lt;/uuid&gt;&lt;/publication&gt;&lt;/bundle&gt;&lt;authors&gt;&lt;author&gt;&lt;firstName&gt;Jeffrey&lt;/firstName&gt;&lt;middleNames&gt;L&lt;/middleNames&gt;&lt;lastName&gt;Hutter&lt;/lastName&gt;&lt;/author&gt;&lt;author&gt;&lt;firstName&gt;John&lt;/firstName&gt;&lt;lastName&gt;Bechhoefer&lt;/lastName&gt;&lt;/author&gt;&lt;/authors&gt;&lt;/publication&gt;&lt;/publications&gt;&lt;cites&gt;&lt;/cites&gt;&lt;/citation&gt;</w:instrText>
      </w:r>
      <w:r w:rsidR="00025CC2">
        <w:rPr>
          <w:lang w:val="en-GB"/>
        </w:rPr>
        <w:fldChar w:fldCharType="separate"/>
      </w:r>
      <w:r w:rsidR="00126622">
        <w:rPr>
          <w:rFonts w:eastAsiaTheme="minorEastAsia"/>
          <w:vertAlign w:val="superscript"/>
          <w:lang w:val="en-GB"/>
        </w:rPr>
        <w:t>50</w:t>
      </w:r>
      <w:r w:rsidR="00025CC2">
        <w:rPr>
          <w:lang w:val="en-GB"/>
        </w:rPr>
        <w:fldChar w:fldCharType="end"/>
      </w:r>
      <w:r w:rsidR="00025CC2">
        <w:rPr>
          <w:lang w:val="en-GB"/>
        </w:rPr>
        <w:t>,</w:t>
      </w:r>
      <w:r w:rsidR="00992ECC" w:rsidRPr="00A77CBA">
        <w:rPr>
          <w:lang w:val="en-GB"/>
        </w:rPr>
        <w:t xml:space="preserve"> ranged from 13</w:t>
      </w:r>
      <w:r w:rsidRPr="00A77CBA">
        <w:rPr>
          <w:lang w:val="en-GB"/>
        </w:rPr>
        <w:t xml:space="preserve">.3 to 25.1 pN/nm. </w:t>
      </w:r>
      <w:r w:rsidR="00025CC2">
        <w:rPr>
          <w:lang w:val="en-GB" w:bidi="en-US"/>
        </w:rPr>
        <w:t>The force-distance data were recorded</w:t>
      </w:r>
      <w:r w:rsidRPr="00A77CBA">
        <w:rPr>
          <w:lang w:val="en-GB" w:bidi="en-US"/>
        </w:rPr>
        <w:t xml:space="preserve"> in contact mode, </w:t>
      </w:r>
      <w:r w:rsidR="00025CC2">
        <w:rPr>
          <w:lang w:val="en-GB" w:bidi="en-US"/>
        </w:rPr>
        <w:t>using</w:t>
      </w:r>
      <w:r w:rsidRPr="00A77CBA">
        <w:rPr>
          <w:lang w:val="en-GB" w:bidi="en-US"/>
        </w:rPr>
        <w:t xml:space="preserve"> a setpoint of 0.6 nN and a relative setpoint of 0.2 nN. The z-length varied between 150 nm and 1000nm and the approach speed was set at 0.5 microns per second. For the dynamic force spectroscopy study, retraction speeds were varied from 100 to 500 nm/s, and the resolution adjusted as required. Force spectra were collected in arrays of 100 × 100 data points over areas of 10 × 10 microns. Force spectra were exported and analysed using JPK’s data processing software (JPK instruments, DE, ver. 4.2.23). Observed events were fitted with an extended freely-jointed chain model and the compiled data was analysed using OriginProTM (OriginLab, ver. 8.0724). </w:t>
      </w:r>
    </w:p>
    <w:p w:rsidR="00A02F64" w:rsidRDefault="00A02F64" w:rsidP="002A436C">
      <w:pPr>
        <w:pStyle w:val="MainText"/>
        <w:jc w:val="both"/>
        <w:rPr>
          <w:lang w:val="en-GB" w:bidi="en-US"/>
        </w:rPr>
      </w:pPr>
    </w:p>
    <w:p w:rsidR="00A02F64" w:rsidRPr="002A436C" w:rsidRDefault="00A02F64" w:rsidP="002A436C">
      <w:pPr>
        <w:pStyle w:val="MainText"/>
        <w:jc w:val="both"/>
        <w:rPr>
          <w:b/>
          <w:lang w:val="en-GB" w:bidi="en-US"/>
        </w:rPr>
      </w:pPr>
      <w:r w:rsidRPr="002A436C">
        <w:rPr>
          <w:b/>
          <w:lang w:val="en-GB" w:bidi="en-US"/>
        </w:rPr>
        <w:t>Calculation of Log P</w:t>
      </w:r>
    </w:p>
    <w:p w:rsidR="00A02F64" w:rsidRPr="00A77CBA" w:rsidRDefault="00A02F64" w:rsidP="002A436C">
      <w:pPr>
        <w:pStyle w:val="MainText"/>
        <w:jc w:val="both"/>
        <w:rPr>
          <w:lang w:val="en-GB" w:bidi="en-US"/>
        </w:rPr>
      </w:pPr>
      <w:r w:rsidRPr="00717B26">
        <w:rPr>
          <w:lang w:val="en-GB"/>
        </w:rPr>
        <w:t xml:space="preserve">Chemicalize was used </w:t>
      </w:r>
      <w:r>
        <w:t>to calculate log P for each of the stations used in this work</w:t>
      </w:r>
      <w:r w:rsidRPr="00717B26">
        <w:rPr>
          <w:lang w:val="en-GB"/>
        </w:rPr>
        <w:t xml:space="preserve">, </w:t>
      </w:r>
      <w:r>
        <w:t xml:space="preserve">April, 2017, </w:t>
      </w:r>
      <w:hyperlink r:id="rId10" w:tgtFrame="_blank" w:history="1">
        <w:r w:rsidRPr="00717B26">
          <w:rPr>
            <w:rStyle w:val="Hyperkobling"/>
            <w:lang w:val="en-GB"/>
          </w:rPr>
          <w:t>https://chemicalize.com/</w:t>
        </w:r>
      </w:hyperlink>
      <w:r w:rsidRPr="00717B26">
        <w:rPr>
          <w:lang w:val="en-GB"/>
        </w:rPr>
        <w:t> developed by ChemAxon (http://www.chemaxon.com)</w:t>
      </w:r>
      <w:r>
        <w:t>.</w:t>
      </w:r>
    </w:p>
    <w:p w:rsidR="00491A9A" w:rsidRPr="00A77CBA" w:rsidRDefault="00491A9A" w:rsidP="002A436C">
      <w:pPr>
        <w:pStyle w:val="Head1"/>
        <w:jc w:val="both"/>
      </w:pPr>
    </w:p>
    <w:p w:rsidR="00491A9A" w:rsidRPr="009B194B" w:rsidRDefault="00491A9A" w:rsidP="002A436C">
      <w:pPr>
        <w:pStyle w:val="Head1"/>
        <w:jc w:val="both"/>
      </w:pPr>
      <w:r w:rsidRPr="009B194B">
        <w:t>Acknowledgements</w:t>
      </w:r>
    </w:p>
    <w:p w:rsidR="00491A9A" w:rsidRPr="00A77CBA" w:rsidRDefault="00491A9A" w:rsidP="002A436C">
      <w:pPr>
        <w:pStyle w:val="Acknowledgements"/>
        <w:spacing w:line="480" w:lineRule="auto"/>
        <w:jc w:val="both"/>
        <w:rPr>
          <w:lang w:val="en-GB"/>
        </w:rPr>
      </w:pPr>
      <w:r w:rsidRPr="00A77CBA">
        <w:rPr>
          <w:lang w:val="en-GB"/>
        </w:rPr>
        <w:t xml:space="preserve">The authors acknowledge support from BBSRC (KB, ANR) and EPSRC (AD, ANR). </w:t>
      </w:r>
      <w:r w:rsidR="00EB72DC" w:rsidRPr="00073B3E">
        <w:rPr>
          <w:lang w:val="en-GB"/>
        </w:rPr>
        <w:t>We are grateful to Andrew Mayes of the School of Chemistry, UEA for his assistance with the GPC experiments.</w:t>
      </w:r>
    </w:p>
    <w:p w:rsidR="00491A9A" w:rsidRPr="00A77CBA" w:rsidRDefault="00491A9A" w:rsidP="002A436C">
      <w:pPr>
        <w:pStyle w:val="Acknowledgements"/>
        <w:spacing w:line="480" w:lineRule="auto"/>
        <w:jc w:val="both"/>
        <w:rPr>
          <w:lang w:val="en-GB"/>
        </w:rPr>
      </w:pPr>
    </w:p>
    <w:p w:rsidR="00491A9A" w:rsidRPr="00A77CBA" w:rsidRDefault="00491A9A" w:rsidP="002A436C">
      <w:pPr>
        <w:pStyle w:val="Acknowledgements"/>
        <w:spacing w:line="480" w:lineRule="auto"/>
        <w:jc w:val="both"/>
        <w:outlineLvl w:val="0"/>
        <w:rPr>
          <w:lang w:val="en-GB"/>
        </w:rPr>
      </w:pPr>
      <w:r w:rsidRPr="00A77CBA">
        <w:rPr>
          <w:lang w:val="en-GB"/>
        </w:rPr>
        <w:t>The authors declare no competing interests.</w:t>
      </w:r>
    </w:p>
    <w:p w:rsidR="00491A9A" w:rsidRPr="00A77CBA" w:rsidRDefault="00491A9A" w:rsidP="002A436C">
      <w:pPr>
        <w:pStyle w:val="Acknowledgements"/>
        <w:spacing w:line="480" w:lineRule="auto"/>
        <w:jc w:val="both"/>
        <w:rPr>
          <w:b/>
          <w:lang w:val="en-GB"/>
        </w:rPr>
      </w:pPr>
    </w:p>
    <w:p w:rsidR="00491A9A" w:rsidRPr="00A77CBA" w:rsidRDefault="00491A9A" w:rsidP="002A436C">
      <w:pPr>
        <w:pStyle w:val="Acknowledgements"/>
        <w:spacing w:line="480" w:lineRule="auto"/>
        <w:jc w:val="both"/>
        <w:outlineLvl w:val="0"/>
        <w:rPr>
          <w:lang w:val="en-GB"/>
        </w:rPr>
      </w:pPr>
      <w:r w:rsidRPr="00A77CBA">
        <w:rPr>
          <w:b/>
          <w:lang w:val="en-GB"/>
        </w:rPr>
        <w:t>Supporting Information</w:t>
      </w:r>
    </w:p>
    <w:p w:rsidR="00491A9A" w:rsidRPr="009B194B" w:rsidRDefault="00491A9A" w:rsidP="002A436C">
      <w:pPr>
        <w:pStyle w:val="Head1"/>
        <w:jc w:val="both"/>
      </w:pPr>
      <w:r w:rsidRPr="009B194B">
        <w:t xml:space="preserve">Details and results of </w:t>
      </w:r>
      <w:r w:rsidR="00B90CB2" w:rsidRPr="009B194B">
        <w:t>SMFS data selection and analysis</w:t>
      </w:r>
      <w:r w:rsidR="00127E46" w:rsidRPr="009B194B">
        <w:t xml:space="preserve">; UV data and method; </w:t>
      </w:r>
      <w:r w:rsidR="0043302A" w:rsidRPr="009B194B">
        <w:t xml:space="preserve">calculation of Φ; </w:t>
      </w:r>
      <w:r w:rsidR="00764B43" w:rsidRPr="009B194B">
        <w:t>table of predicted values of ΔG</w:t>
      </w:r>
      <w:r w:rsidR="00764B43" w:rsidRPr="009B194B">
        <w:rPr>
          <w:vertAlign w:val="subscript"/>
        </w:rPr>
        <w:t>s</w:t>
      </w:r>
      <w:r w:rsidR="0043197A" w:rsidRPr="009B194B">
        <w:rPr>
          <w:vertAlign w:val="subscript"/>
        </w:rPr>
        <w:t>l</w:t>
      </w:r>
      <w:r w:rsidR="00764B43" w:rsidRPr="009B194B">
        <w:t xml:space="preserve">; </w:t>
      </w:r>
      <w:r w:rsidRPr="009B194B">
        <w:t>experimental method and results of gel permeation chromatography of the PEG-uronic</w:t>
      </w:r>
      <w:r w:rsidR="0043302A" w:rsidRPr="009B194B">
        <w:t xml:space="preserve"> acid conjugate</w:t>
      </w:r>
      <w:r w:rsidRPr="009B194B">
        <w:t>.</w:t>
      </w:r>
    </w:p>
    <w:p w:rsidR="009E7868" w:rsidRDefault="009E7868" w:rsidP="002A436C">
      <w:pPr>
        <w:spacing w:line="480" w:lineRule="auto"/>
        <w:jc w:val="both"/>
        <w:rPr>
          <w:lang w:val="en-GB"/>
        </w:rPr>
      </w:pPr>
    </w:p>
    <w:p w:rsidR="009E7868" w:rsidRPr="002A436C" w:rsidRDefault="00C202A7" w:rsidP="002A436C">
      <w:pPr>
        <w:spacing w:line="480" w:lineRule="auto"/>
        <w:jc w:val="both"/>
        <w:rPr>
          <w:b/>
          <w:lang w:val="en-GB"/>
        </w:rPr>
      </w:pPr>
      <w:r w:rsidRPr="002A436C">
        <w:rPr>
          <w:b/>
          <w:lang w:val="en-GB"/>
        </w:rPr>
        <w:t>References</w:t>
      </w:r>
    </w:p>
    <w:p w:rsidR="00126622" w:rsidRDefault="009E7868" w:rsidP="002A436C">
      <w:pPr>
        <w:widowControl w:val="0"/>
        <w:tabs>
          <w:tab w:val="left" w:pos="800"/>
        </w:tabs>
        <w:autoSpaceDE w:val="0"/>
        <w:autoSpaceDN w:val="0"/>
        <w:adjustRightInd w:val="0"/>
        <w:ind w:left="800" w:hanging="800"/>
        <w:jc w:val="both"/>
        <w:rPr>
          <w:rFonts w:eastAsiaTheme="minorEastAsia"/>
          <w:lang w:val="en-GB"/>
        </w:rPr>
      </w:pPr>
      <w:r>
        <w:rPr>
          <w:lang w:val="en-GB"/>
        </w:rPr>
        <w:fldChar w:fldCharType="begin"/>
      </w:r>
      <w:r>
        <w:rPr>
          <w:lang w:val="en-GB"/>
        </w:rPr>
        <w:instrText xml:space="preserve"> ADDIN PAPERS2_CITATIONS &lt;papers2_bibliography/&gt;</w:instrText>
      </w:r>
      <w:r>
        <w:rPr>
          <w:lang w:val="en-GB"/>
        </w:rPr>
        <w:fldChar w:fldCharType="separate"/>
      </w:r>
      <w:r w:rsidR="00126622">
        <w:rPr>
          <w:rFonts w:eastAsiaTheme="minorEastAsia"/>
          <w:lang w:val="en-GB"/>
        </w:rPr>
        <w:t>1</w:t>
      </w:r>
      <w:r w:rsidR="00126622">
        <w:rPr>
          <w:rFonts w:eastAsiaTheme="minorEastAsia"/>
          <w:lang w:val="en-GB"/>
        </w:rPr>
        <w:tab/>
        <w:t xml:space="preserve">A. Varki, </w:t>
      </w:r>
      <w:r w:rsidR="00126622">
        <w:rPr>
          <w:rFonts w:eastAsiaTheme="minorEastAsia"/>
          <w:i/>
          <w:iCs/>
          <w:lang w:val="en-GB"/>
        </w:rPr>
        <w:t>Glycobiology</w:t>
      </w:r>
      <w:r w:rsidR="00126622">
        <w:rPr>
          <w:rFonts w:eastAsiaTheme="minorEastAsia"/>
          <w:lang w:val="en-GB"/>
        </w:rPr>
        <w:t xml:space="preserve">, 2017, </w:t>
      </w:r>
      <w:r w:rsidR="00126622">
        <w:rPr>
          <w:rFonts w:eastAsiaTheme="minorEastAsia"/>
          <w:b/>
          <w:bCs/>
          <w:lang w:val="en-GB"/>
        </w:rPr>
        <w:t>27</w:t>
      </w:r>
      <w:r w:rsidR="00126622">
        <w:rPr>
          <w:rFonts w:eastAsiaTheme="minorEastAsia"/>
          <w:lang w:val="en-GB"/>
        </w:rPr>
        <w:t>, 3–49.</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2</w:t>
      </w:r>
      <w:r>
        <w:rPr>
          <w:rFonts w:eastAsiaTheme="minorEastAsia"/>
          <w:lang w:val="en-GB"/>
        </w:rPr>
        <w:tab/>
        <w:t xml:space="preserve">O. Nørregaard Jensen, </w:t>
      </w:r>
      <w:r>
        <w:rPr>
          <w:rFonts w:eastAsiaTheme="minorEastAsia"/>
          <w:i/>
          <w:iCs/>
          <w:lang w:val="en-GB"/>
        </w:rPr>
        <w:t>Curr Opin Chem Biol</w:t>
      </w:r>
      <w:r>
        <w:rPr>
          <w:rFonts w:eastAsiaTheme="minorEastAsia"/>
          <w:lang w:val="en-GB"/>
        </w:rPr>
        <w:t xml:space="preserve">, 2004, </w:t>
      </w:r>
      <w:r>
        <w:rPr>
          <w:rFonts w:eastAsiaTheme="minorEastAsia"/>
          <w:b/>
          <w:bCs/>
          <w:lang w:val="en-GB"/>
        </w:rPr>
        <w:t>8</w:t>
      </w:r>
      <w:r>
        <w:rPr>
          <w:rFonts w:eastAsiaTheme="minorEastAsia"/>
          <w:lang w:val="en-GB"/>
        </w:rPr>
        <w:t>, 33–41.</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sidRPr="002A436C">
        <w:rPr>
          <w:rFonts w:eastAsiaTheme="minorEastAsia"/>
        </w:rPr>
        <w:t>3</w:t>
      </w:r>
      <w:r w:rsidRPr="002A436C">
        <w:rPr>
          <w:rFonts w:eastAsiaTheme="minorEastAsia"/>
        </w:rPr>
        <w:tab/>
        <w:t xml:space="preserve">A. Hirano, Y.-H. Fu and L. J. Ptáček, </w:t>
      </w:r>
      <w:r w:rsidRPr="002A436C">
        <w:rPr>
          <w:rFonts w:eastAsiaTheme="minorEastAsia"/>
          <w:i/>
          <w:iCs/>
        </w:rPr>
        <w:t xml:space="preserve">Nat. </w:t>
      </w:r>
      <w:r>
        <w:rPr>
          <w:rFonts w:eastAsiaTheme="minorEastAsia"/>
          <w:i/>
          <w:iCs/>
          <w:lang w:val="en-GB"/>
        </w:rPr>
        <w:t>Struct. Mol. Biol.</w:t>
      </w:r>
      <w:r>
        <w:rPr>
          <w:rFonts w:eastAsiaTheme="minorEastAsia"/>
          <w:lang w:val="en-GB"/>
        </w:rPr>
        <w:t xml:space="preserve">, 2016, </w:t>
      </w:r>
      <w:r>
        <w:rPr>
          <w:rFonts w:eastAsiaTheme="minorEastAsia"/>
          <w:b/>
          <w:bCs/>
          <w:lang w:val="en-GB"/>
        </w:rPr>
        <w:t>23</w:t>
      </w:r>
      <w:r>
        <w:rPr>
          <w:rFonts w:eastAsiaTheme="minorEastAsia"/>
          <w:lang w:val="en-GB"/>
        </w:rPr>
        <w:t>, 1053–1060.</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4.</w:t>
      </w:r>
      <w:r w:rsidR="004C2FC6" w:rsidRPr="004C2FC6">
        <w:rPr>
          <w:rFonts w:ascii="Helvetica" w:eastAsiaTheme="minorEastAsia" w:hAnsi="Helvetica"/>
          <w:sz w:val="18"/>
          <w:szCs w:val="18"/>
          <w:lang w:val="en-GB" w:eastAsia="en-GB"/>
        </w:rPr>
        <w:t xml:space="preserve"> </w:t>
      </w:r>
      <w:r w:rsidR="004C2FC6">
        <w:rPr>
          <w:rFonts w:ascii="Helvetica" w:eastAsiaTheme="minorEastAsia" w:hAnsi="Helvetica"/>
          <w:sz w:val="18"/>
          <w:szCs w:val="18"/>
          <w:lang w:val="en-GB" w:eastAsia="en-GB"/>
        </w:rPr>
        <w:tab/>
      </w:r>
      <w:r w:rsidR="004C2FC6" w:rsidRPr="005946AD">
        <w:rPr>
          <w:rFonts w:eastAsiaTheme="minorEastAsia"/>
          <w:lang w:val="en-GB" w:eastAsia="en-GB"/>
        </w:rPr>
        <w:t>M. J.</w:t>
      </w:r>
      <w:r w:rsidR="00D06FA5">
        <w:rPr>
          <w:rFonts w:eastAsiaTheme="minorEastAsia"/>
          <w:lang w:val="en-GB" w:eastAsia="en-GB"/>
        </w:rPr>
        <w:t xml:space="preserve"> </w:t>
      </w:r>
      <w:r w:rsidR="004C2FC6">
        <w:rPr>
          <w:rFonts w:eastAsiaTheme="minorEastAsia"/>
          <w:lang w:val="en-GB"/>
        </w:rPr>
        <w:t>Booth, E.-A.</w:t>
      </w:r>
      <w:r w:rsidR="004C2FC6" w:rsidRPr="004C2FC6">
        <w:rPr>
          <w:rFonts w:eastAsiaTheme="minorEastAsia"/>
          <w:lang w:val="en-GB"/>
        </w:rPr>
        <w:t xml:space="preserve"> Raiber</w:t>
      </w:r>
      <w:r w:rsidR="004C2FC6">
        <w:rPr>
          <w:rFonts w:eastAsiaTheme="minorEastAsia"/>
          <w:lang w:val="en-GB"/>
        </w:rPr>
        <w:t xml:space="preserve"> and S. Balasubramanian,</w:t>
      </w:r>
      <w:r w:rsidR="004C2FC6" w:rsidRPr="004C2FC6">
        <w:rPr>
          <w:rFonts w:eastAsiaTheme="minorEastAsia"/>
          <w:lang w:val="en-GB"/>
        </w:rPr>
        <w:t xml:space="preserve"> </w:t>
      </w:r>
      <w:r w:rsidR="004C2FC6" w:rsidRPr="004C2FC6">
        <w:rPr>
          <w:rFonts w:eastAsiaTheme="minorEastAsia"/>
          <w:i/>
          <w:iCs/>
          <w:lang w:val="en-GB"/>
        </w:rPr>
        <w:t>Chemical Reviews</w:t>
      </w:r>
      <w:r w:rsidR="004C2FC6" w:rsidRPr="004C2FC6">
        <w:rPr>
          <w:rFonts w:eastAsiaTheme="minorEastAsia"/>
          <w:lang w:val="en-GB"/>
        </w:rPr>
        <w:t xml:space="preserve">, </w:t>
      </w:r>
      <w:r w:rsidR="004C2FC6">
        <w:rPr>
          <w:rFonts w:eastAsiaTheme="minorEastAsia"/>
          <w:lang w:val="en-GB"/>
        </w:rPr>
        <w:t>2015,</w:t>
      </w:r>
      <w:r w:rsidR="004C2FC6" w:rsidRPr="004C2FC6">
        <w:rPr>
          <w:rFonts w:eastAsiaTheme="minorEastAsia"/>
          <w:lang w:val="en-GB"/>
        </w:rPr>
        <w:t xml:space="preserve"> </w:t>
      </w:r>
      <w:r w:rsidR="004C2FC6" w:rsidRPr="005946AD">
        <w:rPr>
          <w:rFonts w:eastAsiaTheme="minorEastAsia"/>
          <w:b/>
          <w:iCs/>
          <w:lang w:val="en-GB"/>
        </w:rPr>
        <w:t>115</w:t>
      </w:r>
      <w:r w:rsidR="004C2FC6" w:rsidRPr="005946AD">
        <w:rPr>
          <w:rFonts w:eastAsiaTheme="minorEastAsia"/>
          <w:b/>
          <w:lang w:val="en-GB"/>
        </w:rPr>
        <w:t>(6)</w:t>
      </w:r>
      <w:r w:rsidR="004C2FC6" w:rsidRPr="004C2FC6">
        <w:rPr>
          <w:rFonts w:eastAsiaTheme="minorEastAsia"/>
          <w:lang w:val="en-GB"/>
        </w:rPr>
        <w:t xml:space="preserve">, 2240–2254. </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5</w:t>
      </w:r>
      <w:r>
        <w:rPr>
          <w:rFonts w:eastAsiaTheme="minorEastAsia"/>
          <w:lang w:val="en-GB"/>
        </w:rPr>
        <w:tab/>
        <w:t xml:space="preserve">F. A. Leibfarth, J. A. Johnson and T. F. Jamison, </w:t>
      </w:r>
      <w:r>
        <w:rPr>
          <w:rFonts w:eastAsiaTheme="minorEastAsia"/>
          <w:i/>
          <w:iCs/>
          <w:lang w:val="en-GB"/>
        </w:rPr>
        <w:t>Proceedings of the National Academy of Sciences</w:t>
      </w:r>
      <w:r>
        <w:rPr>
          <w:rFonts w:eastAsiaTheme="minorEastAsia"/>
          <w:lang w:val="en-GB"/>
        </w:rPr>
        <w:t xml:space="preserve">, 2015, </w:t>
      </w:r>
      <w:r>
        <w:rPr>
          <w:rFonts w:eastAsiaTheme="minorEastAsia"/>
          <w:b/>
          <w:bCs/>
          <w:lang w:val="en-GB"/>
        </w:rPr>
        <w:t>112</w:t>
      </w:r>
      <w:r>
        <w:rPr>
          <w:rFonts w:eastAsiaTheme="minorEastAsia"/>
          <w:lang w:val="en-GB"/>
        </w:rPr>
        <w:t>, 10617–10622.</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6</w:t>
      </w:r>
      <w:r>
        <w:rPr>
          <w:rFonts w:eastAsiaTheme="minorEastAsia"/>
          <w:lang w:val="en-GB"/>
        </w:rPr>
        <w:tab/>
        <w:t xml:space="preserve">J. C. Barnes, D. J. C. Ehrlich, A. X. Gao, F. A. Leibfarth, Y. Jiang, E. Zhou, T. F. Jamison and J. A. Johnson, </w:t>
      </w:r>
      <w:r>
        <w:rPr>
          <w:rFonts w:eastAsiaTheme="minorEastAsia"/>
          <w:i/>
          <w:iCs/>
          <w:lang w:val="en-GB"/>
        </w:rPr>
        <w:t>Nat Chem</w:t>
      </w:r>
      <w:r>
        <w:rPr>
          <w:rFonts w:eastAsiaTheme="minorEastAsia"/>
          <w:lang w:val="en-GB"/>
        </w:rPr>
        <w:t xml:space="preserve">, 2015, </w:t>
      </w:r>
      <w:r>
        <w:rPr>
          <w:rFonts w:eastAsiaTheme="minorEastAsia"/>
          <w:b/>
          <w:bCs/>
          <w:lang w:val="en-GB"/>
        </w:rPr>
        <w:t>7</w:t>
      </w:r>
      <w:r>
        <w:rPr>
          <w:rFonts w:eastAsiaTheme="minorEastAsia"/>
          <w:lang w:val="en-GB"/>
        </w:rPr>
        <w:t>, 810–815.</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7</w:t>
      </w:r>
      <w:r>
        <w:rPr>
          <w:rFonts w:eastAsiaTheme="minorEastAsia"/>
          <w:lang w:val="en-GB"/>
        </w:rPr>
        <w:tab/>
        <w:t xml:space="preserve">J.-F. Lutz, J.-M. Lehn, E. W. Meijer and K. Matyjaszewski, </w:t>
      </w:r>
      <w:r>
        <w:rPr>
          <w:rFonts w:eastAsiaTheme="minorEastAsia"/>
          <w:i/>
          <w:iCs/>
          <w:lang w:val="en-GB"/>
        </w:rPr>
        <w:t>Nature Reviews Materials</w:t>
      </w:r>
      <w:r>
        <w:rPr>
          <w:rFonts w:eastAsiaTheme="minorEastAsia"/>
          <w:lang w:val="en-GB"/>
        </w:rPr>
        <w:t xml:space="preserve">, 2016, </w:t>
      </w:r>
      <w:r>
        <w:rPr>
          <w:rFonts w:eastAsiaTheme="minorEastAsia"/>
          <w:b/>
          <w:bCs/>
          <w:lang w:val="en-GB"/>
        </w:rPr>
        <w:t>1</w:t>
      </w:r>
      <w:r>
        <w:rPr>
          <w:rFonts w:eastAsiaTheme="minorEastAsia"/>
          <w:lang w:val="en-GB"/>
        </w:rPr>
        <w:t>, 16024.</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8</w:t>
      </w:r>
      <w:r>
        <w:rPr>
          <w:rFonts w:eastAsiaTheme="minorEastAsia"/>
          <w:lang w:val="en-GB"/>
        </w:rPr>
        <w:tab/>
        <w:t xml:space="preserve">A. Dunlop, J. Wattoom, E. A. Hasan, T. Cosgrove and A. N. Round, </w:t>
      </w:r>
      <w:r>
        <w:rPr>
          <w:rFonts w:eastAsiaTheme="minorEastAsia"/>
          <w:i/>
          <w:iCs/>
          <w:lang w:val="en-GB"/>
        </w:rPr>
        <w:t>Nanotechnology</w:t>
      </w:r>
      <w:r>
        <w:rPr>
          <w:rFonts w:eastAsiaTheme="minorEastAsia"/>
          <w:lang w:val="en-GB"/>
        </w:rPr>
        <w:t xml:space="preserve">, 2008, </w:t>
      </w:r>
      <w:r>
        <w:rPr>
          <w:rFonts w:eastAsiaTheme="minorEastAsia"/>
          <w:b/>
          <w:bCs/>
          <w:lang w:val="en-GB"/>
        </w:rPr>
        <w:t>19</w:t>
      </w:r>
      <w:r>
        <w:rPr>
          <w:rFonts w:eastAsiaTheme="minorEastAsia"/>
          <w:lang w:val="en-GB"/>
        </w:rPr>
        <w:t>, 345706.</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9</w:t>
      </w:r>
      <w:r>
        <w:rPr>
          <w:rFonts w:eastAsiaTheme="minorEastAsia"/>
          <w:lang w:val="en-GB"/>
        </w:rPr>
        <w:tab/>
        <w:t xml:space="preserve">K. A. Bowman, O. A. Aarstad, B. T. Stokke, G. Skjåk-Braek and A. N. Round, </w:t>
      </w:r>
      <w:r>
        <w:rPr>
          <w:rFonts w:eastAsiaTheme="minorEastAsia"/>
          <w:i/>
          <w:iCs/>
          <w:lang w:val="en-GB"/>
        </w:rPr>
        <w:t>Langmuir</w:t>
      </w:r>
      <w:r w:rsidR="00FC1A2D">
        <w:rPr>
          <w:rFonts w:eastAsiaTheme="minorEastAsia"/>
          <w:lang w:val="en-GB"/>
        </w:rPr>
        <w:t xml:space="preserve">, 2016, </w:t>
      </w:r>
      <w:r w:rsidR="00FC1A2D" w:rsidRPr="005946AD">
        <w:rPr>
          <w:rFonts w:eastAsiaTheme="minorEastAsia"/>
          <w:b/>
          <w:lang w:val="en-GB"/>
        </w:rPr>
        <w:t>32</w:t>
      </w:r>
      <w:r w:rsidR="00FC1A2D">
        <w:rPr>
          <w:rFonts w:eastAsiaTheme="minorEastAsia"/>
          <w:lang w:val="en-GB"/>
        </w:rPr>
        <w:t>, 12814-12822.</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10</w:t>
      </w:r>
      <w:r>
        <w:rPr>
          <w:rFonts w:eastAsiaTheme="minorEastAsia"/>
          <w:lang w:val="en-GB"/>
        </w:rPr>
        <w:tab/>
        <w:t xml:space="preserve">B. A. Ashcroft, Q. Spadola, S. Qamar, P. Zhang, G. Kada, R. Bension and S. M. Lindsay, </w:t>
      </w:r>
      <w:r>
        <w:rPr>
          <w:rFonts w:eastAsiaTheme="minorEastAsia"/>
          <w:i/>
          <w:iCs/>
          <w:lang w:val="en-GB"/>
        </w:rPr>
        <w:t>Small</w:t>
      </w:r>
      <w:r>
        <w:rPr>
          <w:rFonts w:eastAsiaTheme="minorEastAsia"/>
          <w:lang w:val="en-GB"/>
        </w:rPr>
        <w:t xml:space="preserve">, 2008, </w:t>
      </w:r>
      <w:r>
        <w:rPr>
          <w:rFonts w:eastAsiaTheme="minorEastAsia"/>
          <w:b/>
          <w:bCs/>
          <w:lang w:val="en-GB"/>
        </w:rPr>
        <w:t>4</w:t>
      </w:r>
      <w:r>
        <w:rPr>
          <w:rFonts w:eastAsiaTheme="minorEastAsia"/>
          <w:lang w:val="en-GB"/>
        </w:rPr>
        <w:t>, 1468–1475.</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11</w:t>
      </w:r>
      <w:r>
        <w:rPr>
          <w:rFonts w:eastAsiaTheme="minorEastAsia"/>
          <w:lang w:val="en-GB"/>
        </w:rPr>
        <w:tab/>
        <w:t>A. Harada and M. K</w:t>
      </w:r>
      <w:r w:rsidR="00FC1A2D">
        <w:rPr>
          <w:rFonts w:eastAsiaTheme="minorEastAsia"/>
          <w:lang w:val="en-GB"/>
        </w:rPr>
        <w:t>amachi</w:t>
      </w:r>
      <w:r>
        <w:rPr>
          <w:rFonts w:eastAsiaTheme="minorEastAsia"/>
          <w:lang w:val="en-GB"/>
        </w:rPr>
        <w:t xml:space="preserve">, </w:t>
      </w:r>
      <w:r>
        <w:rPr>
          <w:rFonts w:eastAsiaTheme="minorEastAsia"/>
          <w:i/>
          <w:iCs/>
          <w:lang w:val="en-GB"/>
        </w:rPr>
        <w:t>Macromolecules</w:t>
      </w:r>
      <w:r>
        <w:rPr>
          <w:rFonts w:eastAsiaTheme="minorEastAsia"/>
          <w:lang w:val="en-GB"/>
        </w:rPr>
        <w:t xml:space="preserve">, 1990, </w:t>
      </w:r>
      <w:r>
        <w:rPr>
          <w:rFonts w:eastAsiaTheme="minorEastAsia"/>
          <w:b/>
          <w:bCs/>
          <w:lang w:val="en-GB"/>
        </w:rPr>
        <w:t>23</w:t>
      </w:r>
      <w:r>
        <w:rPr>
          <w:rFonts w:eastAsiaTheme="minorEastAsia"/>
          <w:lang w:val="en-GB"/>
        </w:rPr>
        <w:t>, 2821–2823.</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12</w:t>
      </w:r>
      <w:r>
        <w:rPr>
          <w:rFonts w:eastAsiaTheme="minorEastAsia"/>
          <w:lang w:val="en-GB"/>
        </w:rPr>
        <w:tab/>
        <w:t xml:space="preserve">C. Cheng and J. F. Stoddart, </w:t>
      </w:r>
      <w:r>
        <w:rPr>
          <w:rFonts w:eastAsiaTheme="minorEastAsia"/>
          <w:i/>
          <w:iCs/>
          <w:lang w:val="en-GB"/>
        </w:rPr>
        <w:t>Chemphyschem</w:t>
      </w:r>
      <w:r>
        <w:rPr>
          <w:rFonts w:eastAsiaTheme="minorEastAsia"/>
          <w:lang w:val="en-GB"/>
        </w:rPr>
        <w:t xml:space="preserve">, 2016, </w:t>
      </w:r>
      <w:r>
        <w:rPr>
          <w:rFonts w:eastAsiaTheme="minorEastAsia"/>
          <w:b/>
          <w:bCs/>
          <w:lang w:val="en-GB"/>
        </w:rPr>
        <w:t>17</w:t>
      </w:r>
      <w:r>
        <w:rPr>
          <w:rFonts w:eastAsiaTheme="minorEastAsia"/>
          <w:lang w:val="en-GB"/>
        </w:rPr>
        <w:t>, 1780–1793.</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13</w:t>
      </w:r>
      <w:r>
        <w:rPr>
          <w:rFonts w:eastAsiaTheme="minorEastAsia"/>
          <w:lang w:val="en-GB"/>
        </w:rPr>
        <w:tab/>
        <w:t xml:space="preserve">M. von Delius and D. A. Leigh, </w:t>
      </w:r>
      <w:r>
        <w:rPr>
          <w:rFonts w:eastAsiaTheme="minorEastAsia"/>
          <w:i/>
          <w:iCs/>
          <w:lang w:val="en-GB"/>
        </w:rPr>
        <w:t>Chem. Soc. Rev.</w:t>
      </w:r>
      <w:r>
        <w:rPr>
          <w:rFonts w:eastAsiaTheme="minorEastAsia"/>
          <w:lang w:val="en-GB"/>
        </w:rPr>
        <w:t xml:space="preserve">, 2011, </w:t>
      </w:r>
      <w:r>
        <w:rPr>
          <w:rFonts w:eastAsiaTheme="minorEastAsia"/>
          <w:b/>
          <w:bCs/>
          <w:lang w:val="en-GB"/>
        </w:rPr>
        <w:t>40</w:t>
      </w:r>
      <w:r>
        <w:rPr>
          <w:rFonts w:eastAsiaTheme="minorEastAsia"/>
          <w:lang w:val="en-GB"/>
        </w:rPr>
        <w:t>, 3656–3676.</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14</w:t>
      </w:r>
      <w:r>
        <w:rPr>
          <w:rFonts w:eastAsiaTheme="minorEastAsia"/>
          <w:lang w:val="en-GB"/>
        </w:rPr>
        <w:tab/>
        <w:t xml:space="preserve">P. Lussis, T. Svaldo-Lanero, A. Bertocco, C.-A. Fustin, D. A. Leigh and A.-S. Duwez, </w:t>
      </w:r>
      <w:r>
        <w:rPr>
          <w:rFonts w:eastAsiaTheme="minorEastAsia"/>
          <w:i/>
          <w:iCs/>
          <w:lang w:val="en-GB"/>
        </w:rPr>
        <w:t>Nature Nanotechnology</w:t>
      </w:r>
      <w:r>
        <w:rPr>
          <w:rFonts w:eastAsiaTheme="minorEastAsia"/>
          <w:lang w:val="en-GB"/>
        </w:rPr>
        <w:t xml:space="preserve">, 2011, </w:t>
      </w:r>
      <w:r>
        <w:rPr>
          <w:rFonts w:eastAsiaTheme="minorEastAsia"/>
          <w:b/>
          <w:bCs/>
          <w:lang w:val="en-GB"/>
        </w:rPr>
        <w:t>6</w:t>
      </w:r>
      <w:r>
        <w:rPr>
          <w:rFonts w:eastAsiaTheme="minorEastAsia"/>
          <w:lang w:val="en-GB"/>
        </w:rPr>
        <w:t>, 553–557.</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15</w:t>
      </w:r>
      <w:r>
        <w:rPr>
          <w:rFonts w:eastAsiaTheme="minorEastAsia"/>
          <w:lang w:val="en-GB"/>
        </w:rPr>
        <w:tab/>
        <w:t xml:space="preserve">M. Wanunu, </w:t>
      </w:r>
      <w:r>
        <w:rPr>
          <w:rFonts w:eastAsiaTheme="minorEastAsia"/>
          <w:i/>
          <w:iCs/>
          <w:lang w:val="en-GB"/>
        </w:rPr>
        <w:t>Physics of Life Reviews</w:t>
      </w:r>
      <w:r>
        <w:rPr>
          <w:rFonts w:eastAsiaTheme="minorEastAsia"/>
          <w:lang w:val="en-GB"/>
        </w:rPr>
        <w:t xml:space="preserve">, 2012, </w:t>
      </w:r>
      <w:r>
        <w:rPr>
          <w:rFonts w:eastAsiaTheme="minorEastAsia"/>
          <w:b/>
          <w:bCs/>
          <w:lang w:val="en-GB"/>
        </w:rPr>
        <w:t>9</w:t>
      </w:r>
      <w:r>
        <w:rPr>
          <w:rFonts w:eastAsiaTheme="minorEastAsia"/>
          <w:lang w:val="en-GB"/>
        </w:rPr>
        <w:t>, 125–158.</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16</w:t>
      </w:r>
      <w:r>
        <w:rPr>
          <w:rFonts w:eastAsiaTheme="minorEastAsia"/>
          <w:lang w:val="en-GB"/>
        </w:rPr>
        <w:tab/>
        <w:t xml:space="preserve">A. H. Laszlo, I. M. Derrington, B. C. Ross, H. Brinkerhoff, A. Adey, I. C. Nova, J. M. Craig, K. W. Langford, J. M. Samson, R. Daza, K. Doering, J. Shendure and J. H. Gundlach, </w:t>
      </w:r>
      <w:r>
        <w:rPr>
          <w:rFonts w:eastAsiaTheme="minorEastAsia"/>
          <w:i/>
          <w:iCs/>
          <w:lang w:val="en-GB"/>
        </w:rPr>
        <w:t>Nat Biotechnol</w:t>
      </w:r>
      <w:r>
        <w:rPr>
          <w:rFonts w:eastAsiaTheme="minorEastAsia"/>
          <w:lang w:val="en-GB"/>
        </w:rPr>
        <w:t xml:space="preserve">, 2014, </w:t>
      </w:r>
      <w:r>
        <w:rPr>
          <w:rFonts w:eastAsiaTheme="minorEastAsia"/>
          <w:b/>
          <w:bCs/>
          <w:lang w:val="en-GB"/>
        </w:rPr>
        <w:t>32</w:t>
      </w:r>
      <w:r>
        <w:rPr>
          <w:rFonts w:eastAsiaTheme="minorEastAsia"/>
          <w:lang w:val="en-GB"/>
        </w:rPr>
        <w:t>, 829–833.</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17</w:t>
      </w:r>
      <w:r>
        <w:rPr>
          <w:rFonts w:eastAsiaTheme="minorEastAsia"/>
          <w:lang w:val="en-GB"/>
        </w:rPr>
        <w:tab/>
        <w:t xml:space="preserve">G. Baaken, I. Halimeh, L. Bacri, J. Pelta, A. Oukhaled and J. C. Behrends, </w:t>
      </w:r>
      <w:r>
        <w:rPr>
          <w:rFonts w:eastAsiaTheme="minorEastAsia"/>
          <w:i/>
          <w:iCs/>
          <w:lang w:val="en-GB"/>
        </w:rPr>
        <w:t>Acs Nano</w:t>
      </w:r>
      <w:r>
        <w:rPr>
          <w:rFonts w:eastAsiaTheme="minorEastAsia"/>
          <w:lang w:val="en-GB"/>
        </w:rPr>
        <w:t xml:space="preserve">, 2015, </w:t>
      </w:r>
      <w:r>
        <w:rPr>
          <w:rFonts w:eastAsiaTheme="minorEastAsia"/>
          <w:b/>
          <w:bCs/>
          <w:lang w:val="en-GB"/>
        </w:rPr>
        <w:t>9</w:t>
      </w:r>
      <w:r>
        <w:rPr>
          <w:rFonts w:eastAsiaTheme="minorEastAsia"/>
          <w:lang w:val="en-GB"/>
        </w:rPr>
        <w:t>, 6443–6449.</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18</w:t>
      </w:r>
      <w:r>
        <w:rPr>
          <w:rFonts w:eastAsiaTheme="minorEastAsia"/>
          <w:lang w:val="en-GB"/>
        </w:rPr>
        <w:tab/>
        <w:t xml:space="preserve">E. M. Nelson, H. Li and G. Timp, </w:t>
      </w:r>
      <w:r>
        <w:rPr>
          <w:rFonts w:eastAsiaTheme="minorEastAsia"/>
          <w:i/>
          <w:iCs/>
          <w:lang w:val="en-GB"/>
        </w:rPr>
        <w:t>Acs Nano</w:t>
      </w:r>
      <w:r>
        <w:rPr>
          <w:rFonts w:eastAsiaTheme="minorEastAsia"/>
          <w:lang w:val="en-GB"/>
        </w:rPr>
        <w:t xml:space="preserve">, 2014, </w:t>
      </w:r>
      <w:r>
        <w:rPr>
          <w:rFonts w:eastAsiaTheme="minorEastAsia"/>
          <w:b/>
          <w:bCs/>
          <w:lang w:val="en-GB"/>
        </w:rPr>
        <w:t>8</w:t>
      </w:r>
      <w:r>
        <w:rPr>
          <w:rFonts w:eastAsiaTheme="minorEastAsia"/>
          <w:lang w:val="en-GB"/>
        </w:rPr>
        <w:t>, 5484–5493.</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19</w:t>
      </w:r>
      <w:r>
        <w:rPr>
          <w:rFonts w:eastAsiaTheme="minorEastAsia"/>
          <w:lang w:val="en-GB"/>
        </w:rPr>
        <w:tab/>
        <w:t xml:space="preserve">G. Wenz, B. Han and A. Muller, </w:t>
      </w:r>
      <w:r>
        <w:rPr>
          <w:rFonts w:eastAsiaTheme="minorEastAsia"/>
          <w:i/>
          <w:iCs/>
          <w:lang w:val="en-GB"/>
        </w:rPr>
        <w:t>Chem Rev</w:t>
      </w:r>
      <w:r>
        <w:rPr>
          <w:rFonts w:eastAsiaTheme="minorEastAsia"/>
          <w:lang w:val="en-GB"/>
        </w:rPr>
        <w:t xml:space="preserve">, 2006, </w:t>
      </w:r>
      <w:r>
        <w:rPr>
          <w:rFonts w:eastAsiaTheme="minorEastAsia"/>
          <w:b/>
          <w:bCs/>
          <w:lang w:val="en-GB"/>
        </w:rPr>
        <w:t>106</w:t>
      </w:r>
      <w:r>
        <w:rPr>
          <w:rFonts w:eastAsiaTheme="minorEastAsia"/>
          <w:lang w:val="en-GB"/>
        </w:rPr>
        <w:t>, 782–817.</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20</w:t>
      </w:r>
      <w:r>
        <w:rPr>
          <w:rFonts w:eastAsiaTheme="minorEastAsia"/>
          <w:lang w:val="en-GB"/>
        </w:rPr>
        <w:tab/>
        <w:t xml:space="preserve">H. Shigekawa, K. Miyake, J. Sumaoka, A. Harada and M. Komiyama, </w:t>
      </w:r>
      <w:r>
        <w:rPr>
          <w:rFonts w:eastAsiaTheme="minorEastAsia"/>
          <w:i/>
          <w:iCs/>
          <w:lang w:val="en-GB"/>
        </w:rPr>
        <w:t>J Am Chem Soc</w:t>
      </w:r>
      <w:r>
        <w:rPr>
          <w:rFonts w:eastAsiaTheme="minorEastAsia"/>
          <w:lang w:val="en-GB"/>
        </w:rPr>
        <w:t xml:space="preserve">, 2000, </w:t>
      </w:r>
      <w:r>
        <w:rPr>
          <w:rFonts w:eastAsiaTheme="minorEastAsia"/>
          <w:b/>
          <w:bCs/>
          <w:lang w:val="en-GB"/>
        </w:rPr>
        <w:t>122</w:t>
      </w:r>
      <w:r>
        <w:rPr>
          <w:rFonts w:eastAsiaTheme="minorEastAsia"/>
          <w:lang w:val="en-GB"/>
        </w:rPr>
        <w:t>, 5411–5412.</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21</w:t>
      </w:r>
      <w:r>
        <w:rPr>
          <w:rFonts w:eastAsiaTheme="minorEastAsia"/>
          <w:lang w:val="en-GB"/>
        </w:rPr>
        <w:tab/>
        <w:t xml:space="preserve">B. Brough, B. H. Northrop, J. J. Schmidt, H.-R. Tseng, K. N. Houk, J. F. Stoddart and C.-M. Ho, </w:t>
      </w:r>
      <w:r>
        <w:rPr>
          <w:rFonts w:eastAsiaTheme="minorEastAsia"/>
          <w:i/>
          <w:iCs/>
          <w:lang w:val="en-GB"/>
        </w:rPr>
        <w:t>Proceedings of the National Academy of Sciences</w:t>
      </w:r>
      <w:r>
        <w:rPr>
          <w:rFonts w:eastAsiaTheme="minorEastAsia"/>
          <w:lang w:val="en-GB"/>
        </w:rPr>
        <w:t xml:space="preserve">, 2006, </w:t>
      </w:r>
      <w:r>
        <w:rPr>
          <w:rFonts w:eastAsiaTheme="minorEastAsia"/>
          <w:b/>
          <w:bCs/>
          <w:lang w:val="en-GB"/>
        </w:rPr>
        <w:t>103</w:t>
      </w:r>
      <w:r>
        <w:rPr>
          <w:rFonts w:eastAsiaTheme="minorEastAsia"/>
          <w:lang w:val="en-GB"/>
        </w:rPr>
        <w:t>, 8583–8588.</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22</w:t>
      </w:r>
      <w:r>
        <w:rPr>
          <w:rFonts w:eastAsiaTheme="minorEastAsia"/>
          <w:lang w:val="en-GB"/>
        </w:rPr>
        <w:tab/>
        <w:t xml:space="preserve">N. K. Voulgarakis, A. Redondo, A. R. Bishop and K. O. Rasmussen, </w:t>
      </w:r>
      <w:r>
        <w:rPr>
          <w:rFonts w:eastAsiaTheme="minorEastAsia"/>
          <w:i/>
          <w:iCs/>
          <w:lang w:val="en-GB"/>
        </w:rPr>
        <w:t>Nano Lett</w:t>
      </w:r>
      <w:r>
        <w:rPr>
          <w:rFonts w:eastAsiaTheme="minorEastAsia"/>
          <w:lang w:val="en-GB"/>
        </w:rPr>
        <w:t xml:space="preserve">, 2006, </w:t>
      </w:r>
      <w:r>
        <w:rPr>
          <w:rFonts w:eastAsiaTheme="minorEastAsia"/>
          <w:b/>
          <w:bCs/>
          <w:lang w:val="en-GB"/>
        </w:rPr>
        <w:t>6</w:t>
      </w:r>
      <w:r>
        <w:rPr>
          <w:rFonts w:eastAsiaTheme="minorEastAsia"/>
          <w:lang w:val="en-GB"/>
        </w:rPr>
        <w:t>, 1483–1486.</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23</w:t>
      </w:r>
      <w:r>
        <w:rPr>
          <w:rFonts w:eastAsiaTheme="minorEastAsia"/>
          <w:lang w:val="en-GB"/>
        </w:rPr>
        <w:tab/>
        <w:t xml:space="preserve">S. Qamar, P. M. Williams and S. M. Lindsay, </w:t>
      </w:r>
      <w:r>
        <w:rPr>
          <w:rFonts w:eastAsiaTheme="minorEastAsia"/>
          <w:i/>
          <w:iCs/>
          <w:lang w:val="en-GB"/>
        </w:rPr>
        <w:t>Biophys J</w:t>
      </w:r>
      <w:r>
        <w:rPr>
          <w:rFonts w:eastAsiaTheme="minorEastAsia"/>
          <w:lang w:val="en-GB"/>
        </w:rPr>
        <w:t xml:space="preserve">, 2008, </w:t>
      </w:r>
      <w:r>
        <w:rPr>
          <w:rFonts w:eastAsiaTheme="minorEastAsia"/>
          <w:b/>
          <w:bCs/>
          <w:lang w:val="en-GB"/>
        </w:rPr>
        <w:t>94</w:t>
      </w:r>
      <w:r>
        <w:rPr>
          <w:rFonts w:eastAsiaTheme="minorEastAsia"/>
          <w:lang w:val="en-GB"/>
        </w:rPr>
        <w:t>, 1233–1240.</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24</w:t>
      </w:r>
      <w:r>
        <w:rPr>
          <w:rFonts w:eastAsiaTheme="minorEastAsia"/>
          <w:lang w:val="en-GB"/>
        </w:rPr>
        <w:tab/>
        <w:t xml:space="preserve">R. W. Friddle, A. Noy and J. J. De Yoreo, </w:t>
      </w:r>
      <w:r>
        <w:rPr>
          <w:rFonts w:eastAsiaTheme="minorEastAsia"/>
          <w:i/>
          <w:iCs/>
          <w:lang w:val="en-GB"/>
        </w:rPr>
        <w:t>Proceedings of the National Academy of Sciences</w:t>
      </w:r>
      <w:r>
        <w:rPr>
          <w:rFonts w:eastAsiaTheme="minorEastAsia"/>
          <w:lang w:val="en-GB"/>
        </w:rPr>
        <w:t xml:space="preserve">, 2012, </w:t>
      </w:r>
      <w:r>
        <w:rPr>
          <w:rFonts w:eastAsiaTheme="minorEastAsia"/>
          <w:b/>
          <w:bCs/>
          <w:lang w:val="en-GB"/>
        </w:rPr>
        <w:t>109</w:t>
      </w:r>
      <w:r>
        <w:rPr>
          <w:rFonts w:eastAsiaTheme="minorEastAsia"/>
          <w:lang w:val="en-GB"/>
        </w:rPr>
        <w:t>, 13573–13578.</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25</w:t>
      </w:r>
      <w:r>
        <w:rPr>
          <w:rFonts w:eastAsiaTheme="minorEastAsia"/>
          <w:lang w:val="en-GB"/>
        </w:rPr>
        <w:tab/>
        <w:t xml:space="preserve">A. Noy and R. W. Friddle, </w:t>
      </w:r>
      <w:r>
        <w:rPr>
          <w:rFonts w:eastAsiaTheme="minorEastAsia"/>
          <w:i/>
          <w:iCs/>
          <w:lang w:val="en-GB"/>
        </w:rPr>
        <w:t>Methods</w:t>
      </w:r>
      <w:r>
        <w:rPr>
          <w:rFonts w:eastAsiaTheme="minorEastAsia"/>
          <w:lang w:val="en-GB"/>
        </w:rPr>
        <w:t xml:space="preserve">, 2013, </w:t>
      </w:r>
      <w:r>
        <w:rPr>
          <w:rFonts w:eastAsiaTheme="minorEastAsia"/>
          <w:b/>
          <w:bCs/>
          <w:lang w:val="en-GB"/>
        </w:rPr>
        <w:t>60</w:t>
      </w:r>
      <w:r>
        <w:rPr>
          <w:rFonts w:eastAsiaTheme="minorEastAsia"/>
          <w:lang w:val="en-GB"/>
        </w:rPr>
        <w:t>, 142–150.</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26</w:t>
      </w:r>
      <w:r>
        <w:rPr>
          <w:rFonts w:eastAsiaTheme="minorEastAsia"/>
          <w:lang w:val="en-GB"/>
        </w:rPr>
        <w:tab/>
        <w:t xml:space="preserve">E. Evans, </w:t>
      </w:r>
      <w:r>
        <w:rPr>
          <w:rFonts w:eastAsiaTheme="minorEastAsia"/>
          <w:i/>
          <w:iCs/>
          <w:lang w:val="en-GB"/>
        </w:rPr>
        <w:t>Faraday Discuss</w:t>
      </w:r>
      <w:r>
        <w:rPr>
          <w:rFonts w:eastAsiaTheme="minorEastAsia"/>
          <w:lang w:val="en-GB"/>
        </w:rPr>
        <w:t xml:space="preserve">, 1999, </w:t>
      </w:r>
      <w:r>
        <w:rPr>
          <w:rFonts w:eastAsiaTheme="minorEastAsia"/>
          <w:b/>
          <w:bCs/>
          <w:lang w:val="en-GB"/>
        </w:rPr>
        <w:t>111</w:t>
      </w:r>
      <w:r>
        <w:rPr>
          <w:rFonts w:eastAsiaTheme="minorEastAsia"/>
          <w:lang w:val="en-GB"/>
        </w:rPr>
        <w:t>, 1–16.</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27</w:t>
      </w:r>
      <w:r>
        <w:rPr>
          <w:rFonts w:eastAsiaTheme="minorEastAsia"/>
          <w:lang w:val="en-GB"/>
        </w:rPr>
        <w:tab/>
        <w:t xml:space="preserve">S. Guo, N. Li, N. Lad, S. Desai and B. B. Akhremitchev, </w:t>
      </w:r>
      <w:r>
        <w:rPr>
          <w:rFonts w:eastAsiaTheme="minorEastAsia"/>
          <w:i/>
          <w:iCs/>
          <w:lang w:val="en-GB"/>
        </w:rPr>
        <w:t>The Journal of Physical Chemistry C</w:t>
      </w:r>
      <w:r>
        <w:rPr>
          <w:rFonts w:eastAsiaTheme="minorEastAsia"/>
          <w:lang w:val="en-GB"/>
        </w:rPr>
        <w:t xml:space="preserve">, 2010, </w:t>
      </w:r>
      <w:r>
        <w:rPr>
          <w:rFonts w:eastAsiaTheme="minorEastAsia"/>
          <w:b/>
          <w:bCs/>
          <w:lang w:val="en-GB"/>
        </w:rPr>
        <w:t>114</w:t>
      </w:r>
      <w:r>
        <w:rPr>
          <w:rFonts w:eastAsiaTheme="minorEastAsia"/>
          <w:lang w:val="en-GB"/>
        </w:rPr>
        <w:t>, 8755–8765.</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28</w:t>
      </w:r>
      <w:r>
        <w:rPr>
          <w:rFonts w:eastAsiaTheme="minorEastAsia"/>
          <w:lang w:val="en-GB"/>
        </w:rPr>
        <w:tab/>
        <w:t xml:space="preserve">B. D. Rackham, L. A. Howell, A. N. Round and M. Searcey, </w:t>
      </w:r>
      <w:r>
        <w:rPr>
          <w:rFonts w:eastAsiaTheme="minorEastAsia"/>
          <w:i/>
          <w:iCs/>
          <w:lang w:val="en-GB"/>
        </w:rPr>
        <w:t>Org Biomol Chem</w:t>
      </w:r>
      <w:r>
        <w:rPr>
          <w:rFonts w:eastAsiaTheme="minorEastAsia"/>
          <w:lang w:val="en-GB"/>
        </w:rPr>
        <w:t xml:space="preserve">, 2013, </w:t>
      </w:r>
      <w:r>
        <w:rPr>
          <w:rFonts w:eastAsiaTheme="minorEastAsia"/>
          <w:b/>
          <w:bCs/>
          <w:lang w:val="en-GB"/>
        </w:rPr>
        <w:t>11</w:t>
      </w:r>
      <w:r>
        <w:rPr>
          <w:rFonts w:eastAsiaTheme="minorEastAsia"/>
          <w:lang w:val="en-GB"/>
        </w:rPr>
        <w:t>, 8340–8347.</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29</w:t>
      </w:r>
      <w:r>
        <w:rPr>
          <w:rFonts w:eastAsiaTheme="minorEastAsia"/>
          <w:lang w:val="en-GB"/>
        </w:rPr>
        <w:tab/>
        <w:t xml:space="preserve">S. J. Suresh and V. M. Naik, </w:t>
      </w:r>
      <w:r>
        <w:rPr>
          <w:rFonts w:eastAsiaTheme="minorEastAsia"/>
          <w:i/>
          <w:iCs/>
          <w:lang w:val="en-GB"/>
        </w:rPr>
        <w:t>The Journal of Chemical Physics</w:t>
      </w:r>
      <w:r>
        <w:rPr>
          <w:rFonts w:eastAsiaTheme="minorEastAsia"/>
          <w:lang w:val="en-GB"/>
        </w:rPr>
        <w:t xml:space="preserve">, 2000, </w:t>
      </w:r>
      <w:r>
        <w:rPr>
          <w:rFonts w:eastAsiaTheme="minorEastAsia"/>
          <w:b/>
          <w:bCs/>
          <w:lang w:val="en-GB"/>
        </w:rPr>
        <w:t>113</w:t>
      </w:r>
      <w:r>
        <w:rPr>
          <w:rFonts w:eastAsiaTheme="minorEastAsia"/>
          <w:lang w:val="en-GB"/>
        </w:rPr>
        <w:t>, 9727–9732.</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30</w:t>
      </w:r>
      <w:r>
        <w:rPr>
          <w:rFonts w:eastAsiaTheme="minorEastAsia"/>
          <w:lang w:val="en-GB"/>
        </w:rPr>
        <w:tab/>
        <w:t xml:space="preserve">I. F. Hakem, A. Boussaid and H. Benchouk-Taleb, </w:t>
      </w:r>
      <w:r>
        <w:rPr>
          <w:rFonts w:eastAsiaTheme="minorEastAsia"/>
          <w:i/>
          <w:iCs/>
          <w:lang w:val="en-GB"/>
        </w:rPr>
        <w:t>The Journal of …</w:t>
      </w:r>
      <w:r>
        <w:rPr>
          <w:rFonts w:eastAsiaTheme="minorEastAsia"/>
          <w:lang w:val="en-GB"/>
        </w:rPr>
        <w:t>, 2007.</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31</w:t>
      </w:r>
      <w:r>
        <w:rPr>
          <w:rFonts w:eastAsiaTheme="minorEastAsia"/>
          <w:lang w:val="en-GB"/>
        </w:rPr>
        <w:tab/>
        <w:t xml:space="preserve">T. Auletta, M. R. de Jong, A. Mulder, F. C. J. M. van Veggel, J. Huskens, D. N. Reinhoudt, S. Zou, S. Zapotoczny, H. Schonherr, G. J. Vancso and L. Kuipers, </w:t>
      </w:r>
      <w:r>
        <w:rPr>
          <w:rFonts w:eastAsiaTheme="minorEastAsia"/>
          <w:i/>
          <w:iCs/>
          <w:lang w:val="en-GB"/>
        </w:rPr>
        <w:t>J Am Chem Soc</w:t>
      </w:r>
      <w:r>
        <w:rPr>
          <w:rFonts w:eastAsiaTheme="minorEastAsia"/>
          <w:lang w:val="en-GB"/>
        </w:rPr>
        <w:t xml:space="preserve">, 2004, </w:t>
      </w:r>
      <w:r>
        <w:rPr>
          <w:rFonts w:eastAsiaTheme="minorEastAsia"/>
          <w:b/>
          <w:bCs/>
          <w:lang w:val="en-GB"/>
        </w:rPr>
        <w:t>126</w:t>
      </w:r>
      <w:r>
        <w:rPr>
          <w:rFonts w:eastAsiaTheme="minorEastAsia"/>
          <w:lang w:val="en-GB"/>
        </w:rPr>
        <w:t>, 1577–1584.</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32</w:t>
      </w:r>
      <w:r>
        <w:rPr>
          <w:rFonts w:eastAsiaTheme="minorEastAsia"/>
          <w:lang w:val="en-GB"/>
        </w:rPr>
        <w:tab/>
        <w:t xml:space="preserve">K. A. Connors, </w:t>
      </w:r>
      <w:r>
        <w:rPr>
          <w:rFonts w:eastAsiaTheme="minorEastAsia"/>
          <w:i/>
          <w:iCs/>
          <w:lang w:val="en-GB"/>
        </w:rPr>
        <w:t>Journal of pharmaceutical sciences</w:t>
      </w:r>
      <w:r>
        <w:rPr>
          <w:rFonts w:eastAsiaTheme="minorEastAsia"/>
          <w:lang w:val="en-GB"/>
        </w:rPr>
        <w:t xml:space="preserve">, 1995, </w:t>
      </w:r>
      <w:r>
        <w:rPr>
          <w:rFonts w:eastAsiaTheme="minorEastAsia"/>
          <w:b/>
          <w:bCs/>
          <w:lang w:val="en-GB"/>
        </w:rPr>
        <w:t>84</w:t>
      </w:r>
      <w:r>
        <w:rPr>
          <w:rFonts w:eastAsiaTheme="minorEastAsia"/>
          <w:lang w:val="en-GB"/>
        </w:rPr>
        <w:t>, 843–848.</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33</w:t>
      </w:r>
      <w:r>
        <w:rPr>
          <w:rFonts w:eastAsiaTheme="minorEastAsia"/>
          <w:lang w:val="en-GB"/>
        </w:rPr>
        <w:tab/>
        <w:t xml:space="preserve">H. J. Buschmann and E. Schollmeyer, </w:t>
      </w:r>
      <w:r>
        <w:rPr>
          <w:rFonts w:eastAsiaTheme="minorEastAsia"/>
          <w:i/>
          <w:iCs/>
          <w:lang w:val="en-GB"/>
        </w:rPr>
        <w:t>J Incl Phenom Macro</w:t>
      </w:r>
      <w:r>
        <w:rPr>
          <w:rFonts w:eastAsiaTheme="minorEastAsia"/>
          <w:lang w:val="en-GB"/>
        </w:rPr>
        <w:t xml:space="preserve">, 1997, </w:t>
      </w:r>
      <w:r>
        <w:rPr>
          <w:rFonts w:eastAsiaTheme="minorEastAsia"/>
          <w:b/>
          <w:bCs/>
          <w:lang w:val="en-GB"/>
        </w:rPr>
        <w:t>29</w:t>
      </w:r>
      <w:r>
        <w:rPr>
          <w:rFonts w:eastAsiaTheme="minorEastAsia"/>
          <w:lang w:val="en-GB"/>
        </w:rPr>
        <w:t>, 167–174.</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34</w:t>
      </w:r>
      <w:r>
        <w:rPr>
          <w:rFonts w:eastAsiaTheme="minorEastAsia"/>
          <w:lang w:val="en-GB"/>
        </w:rPr>
        <w:tab/>
        <w:t xml:space="preserve">H. J. Buschmann, K. Jansen and E. Schollmeyer, </w:t>
      </w:r>
      <w:r>
        <w:rPr>
          <w:rFonts w:eastAsiaTheme="minorEastAsia"/>
          <w:i/>
          <w:iCs/>
          <w:lang w:val="en-GB"/>
        </w:rPr>
        <w:t>J Incl Phenom Macro</w:t>
      </w:r>
      <w:r>
        <w:rPr>
          <w:rFonts w:eastAsiaTheme="minorEastAsia"/>
          <w:lang w:val="en-GB"/>
        </w:rPr>
        <w:t xml:space="preserve">, 2000, </w:t>
      </w:r>
      <w:r>
        <w:rPr>
          <w:rFonts w:eastAsiaTheme="minorEastAsia"/>
          <w:b/>
          <w:bCs/>
          <w:lang w:val="en-GB"/>
        </w:rPr>
        <w:t>37</w:t>
      </w:r>
      <w:r>
        <w:rPr>
          <w:rFonts w:eastAsiaTheme="minorEastAsia"/>
          <w:lang w:val="en-GB"/>
        </w:rPr>
        <w:t>, 231–236.</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35</w:t>
      </w:r>
      <w:r>
        <w:rPr>
          <w:rFonts w:eastAsiaTheme="minorEastAsia"/>
          <w:lang w:val="en-GB"/>
        </w:rPr>
        <w:tab/>
        <w:t xml:space="preserve">A. F. D. de Namor, P. M. Blackett, M. C. Cabaleiro and J. M. A. Al Rawi, </w:t>
      </w:r>
      <w:r>
        <w:rPr>
          <w:rFonts w:eastAsiaTheme="minorEastAsia"/>
          <w:i/>
          <w:iCs/>
          <w:lang w:val="en-GB"/>
        </w:rPr>
        <w:t>J Chem Soc Faraday T</w:t>
      </w:r>
      <w:r>
        <w:rPr>
          <w:rFonts w:eastAsiaTheme="minorEastAsia"/>
          <w:lang w:val="en-GB"/>
        </w:rPr>
        <w:t xml:space="preserve">, 1994, </w:t>
      </w:r>
      <w:r>
        <w:rPr>
          <w:rFonts w:eastAsiaTheme="minorEastAsia"/>
          <w:b/>
          <w:bCs/>
          <w:lang w:val="en-GB"/>
        </w:rPr>
        <w:t>90</w:t>
      </w:r>
      <w:r>
        <w:rPr>
          <w:rFonts w:eastAsiaTheme="minorEastAsia"/>
          <w:lang w:val="en-GB"/>
        </w:rPr>
        <w:t>, 845.</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36</w:t>
      </w:r>
      <w:r>
        <w:rPr>
          <w:rFonts w:eastAsiaTheme="minorEastAsia"/>
          <w:lang w:val="en-GB"/>
        </w:rPr>
        <w:tab/>
        <w:t xml:space="preserve">V. Lulevich, S. Kim, C. P. Grigoropoulos and A. Noy, </w:t>
      </w:r>
      <w:r>
        <w:rPr>
          <w:rFonts w:eastAsiaTheme="minorEastAsia"/>
          <w:i/>
          <w:iCs/>
          <w:lang w:val="en-GB"/>
        </w:rPr>
        <w:t>Nano Lett</w:t>
      </w:r>
      <w:r>
        <w:rPr>
          <w:rFonts w:eastAsiaTheme="minorEastAsia"/>
          <w:lang w:val="en-GB"/>
        </w:rPr>
        <w:t xml:space="preserve">, 2011, </w:t>
      </w:r>
      <w:r>
        <w:rPr>
          <w:rFonts w:eastAsiaTheme="minorEastAsia"/>
          <w:b/>
          <w:bCs/>
          <w:lang w:val="en-GB"/>
        </w:rPr>
        <w:t>11</w:t>
      </w:r>
      <w:r>
        <w:rPr>
          <w:rFonts w:eastAsiaTheme="minorEastAsia"/>
          <w:lang w:val="en-GB"/>
        </w:rPr>
        <w:t>, 1171–1176.</w:t>
      </w:r>
    </w:p>
    <w:p w:rsidR="00126622" w:rsidRPr="002A436C" w:rsidRDefault="00126622" w:rsidP="002A436C">
      <w:pPr>
        <w:widowControl w:val="0"/>
        <w:tabs>
          <w:tab w:val="left" w:pos="800"/>
        </w:tabs>
        <w:autoSpaceDE w:val="0"/>
        <w:autoSpaceDN w:val="0"/>
        <w:adjustRightInd w:val="0"/>
        <w:ind w:left="800" w:hanging="800"/>
        <w:jc w:val="both"/>
        <w:rPr>
          <w:rFonts w:eastAsiaTheme="minorEastAsia"/>
        </w:rPr>
      </w:pPr>
      <w:r w:rsidRPr="002A436C">
        <w:rPr>
          <w:rFonts w:eastAsiaTheme="minorEastAsia"/>
        </w:rPr>
        <w:t>37</w:t>
      </w:r>
      <w:r w:rsidRPr="002A436C">
        <w:rPr>
          <w:rFonts w:eastAsiaTheme="minorEastAsia"/>
        </w:rPr>
        <w:tab/>
        <w:t xml:space="preserve">A. Scherer, C. Zhou, J. Michaelis, C. Brauchle and A. Zumbusch, </w:t>
      </w:r>
      <w:r w:rsidRPr="002A436C">
        <w:rPr>
          <w:rFonts w:eastAsiaTheme="minorEastAsia"/>
          <w:i/>
          <w:iCs/>
        </w:rPr>
        <w:t>Macromolecules</w:t>
      </w:r>
      <w:r w:rsidRPr="002A436C">
        <w:rPr>
          <w:rFonts w:eastAsiaTheme="minorEastAsia"/>
        </w:rPr>
        <w:t xml:space="preserve">, 2005, </w:t>
      </w:r>
      <w:r w:rsidRPr="002A436C">
        <w:rPr>
          <w:rFonts w:eastAsiaTheme="minorEastAsia"/>
          <w:b/>
          <w:bCs/>
        </w:rPr>
        <w:t>38</w:t>
      </w:r>
      <w:r w:rsidRPr="002A436C">
        <w:rPr>
          <w:rFonts w:eastAsiaTheme="minorEastAsia"/>
        </w:rPr>
        <w:t>, 9821–9825.</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38</w:t>
      </w:r>
      <w:r>
        <w:rPr>
          <w:rFonts w:eastAsiaTheme="minorEastAsia"/>
          <w:lang w:val="en-GB"/>
        </w:rPr>
        <w:tab/>
        <w:t xml:space="preserve">V. Privalko, </w:t>
      </w:r>
      <w:r>
        <w:rPr>
          <w:rFonts w:eastAsiaTheme="minorEastAsia"/>
          <w:i/>
          <w:iCs/>
          <w:lang w:val="en-GB"/>
        </w:rPr>
        <w:t>Macromolecules</w:t>
      </w:r>
      <w:r>
        <w:rPr>
          <w:rFonts w:eastAsiaTheme="minorEastAsia"/>
          <w:lang w:val="en-GB"/>
        </w:rPr>
        <w:t xml:space="preserve">, 1980, </w:t>
      </w:r>
      <w:r>
        <w:rPr>
          <w:rFonts w:eastAsiaTheme="minorEastAsia"/>
          <w:b/>
          <w:bCs/>
          <w:lang w:val="en-GB"/>
        </w:rPr>
        <w:t>13</w:t>
      </w:r>
      <w:r>
        <w:rPr>
          <w:rFonts w:eastAsiaTheme="minorEastAsia"/>
          <w:lang w:val="en-GB"/>
        </w:rPr>
        <w:t>, 370–372.</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39</w:t>
      </w:r>
      <w:r>
        <w:rPr>
          <w:rFonts w:eastAsiaTheme="minorEastAsia"/>
          <w:lang w:val="en-GB"/>
        </w:rPr>
        <w:tab/>
        <w:t xml:space="preserve">A. Müller and G. Wenz, </w:t>
      </w:r>
      <w:r>
        <w:rPr>
          <w:rFonts w:eastAsiaTheme="minorEastAsia"/>
          <w:i/>
          <w:iCs/>
          <w:lang w:val="en-GB"/>
        </w:rPr>
        <w:t>Chemistry</w:t>
      </w:r>
      <w:r>
        <w:rPr>
          <w:rFonts w:eastAsiaTheme="minorEastAsia"/>
          <w:lang w:val="en-GB"/>
        </w:rPr>
        <w:t xml:space="preserve">, 2007, </w:t>
      </w:r>
      <w:r>
        <w:rPr>
          <w:rFonts w:eastAsiaTheme="minorEastAsia"/>
          <w:b/>
          <w:bCs/>
          <w:lang w:val="en-GB"/>
        </w:rPr>
        <w:t>13</w:t>
      </w:r>
      <w:r>
        <w:rPr>
          <w:rFonts w:eastAsiaTheme="minorEastAsia"/>
          <w:lang w:val="en-GB"/>
        </w:rPr>
        <w:t>, 2218–2223.</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40</w:t>
      </w:r>
      <w:r>
        <w:rPr>
          <w:rFonts w:eastAsiaTheme="minorEastAsia"/>
          <w:lang w:val="en-GB"/>
        </w:rPr>
        <w:tab/>
        <w:t xml:space="preserve">K. Mariño, J. Bones, J. J. Kattla and P. M. Rudd, </w:t>
      </w:r>
      <w:r>
        <w:rPr>
          <w:rFonts w:eastAsiaTheme="minorEastAsia"/>
          <w:i/>
          <w:iCs/>
          <w:lang w:val="en-GB"/>
        </w:rPr>
        <w:t>Nat Chem Biol</w:t>
      </w:r>
      <w:r>
        <w:rPr>
          <w:rFonts w:eastAsiaTheme="minorEastAsia"/>
          <w:lang w:val="en-GB"/>
        </w:rPr>
        <w:t xml:space="preserve">, 2010, </w:t>
      </w:r>
      <w:r>
        <w:rPr>
          <w:rFonts w:eastAsiaTheme="minorEastAsia"/>
          <w:b/>
          <w:bCs/>
          <w:lang w:val="en-GB"/>
        </w:rPr>
        <w:t>6</w:t>
      </w:r>
      <w:r>
        <w:rPr>
          <w:rFonts w:eastAsiaTheme="minorEastAsia"/>
          <w:lang w:val="en-GB"/>
        </w:rPr>
        <w:t>, 713–723.</w:t>
      </w:r>
    </w:p>
    <w:p w:rsidR="00126622" w:rsidRPr="002A436C" w:rsidRDefault="00126622" w:rsidP="002A436C">
      <w:pPr>
        <w:widowControl w:val="0"/>
        <w:tabs>
          <w:tab w:val="left" w:pos="800"/>
        </w:tabs>
        <w:autoSpaceDE w:val="0"/>
        <w:autoSpaceDN w:val="0"/>
        <w:adjustRightInd w:val="0"/>
        <w:ind w:left="800" w:hanging="800"/>
        <w:jc w:val="both"/>
        <w:rPr>
          <w:rFonts w:eastAsiaTheme="minorEastAsia"/>
        </w:rPr>
      </w:pPr>
      <w:r w:rsidRPr="002A436C">
        <w:rPr>
          <w:rFonts w:eastAsiaTheme="minorEastAsia"/>
        </w:rPr>
        <w:t>41</w:t>
      </w:r>
      <w:r w:rsidRPr="002A436C">
        <w:rPr>
          <w:rFonts w:eastAsiaTheme="minorEastAsia"/>
        </w:rPr>
        <w:tab/>
        <w:t xml:space="preserve">M. Busse-Wicher, N. J. Grantham, J. J. Lyczakowski, N. Nikolovski and P. Dupree, </w:t>
      </w:r>
      <w:r w:rsidRPr="002A436C">
        <w:rPr>
          <w:rFonts w:eastAsiaTheme="minorEastAsia"/>
          <w:i/>
          <w:iCs/>
        </w:rPr>
        <w:t>Biochem Soc T</w:t>
      </w:r>
      <w:r w:rsidRPr="002A436C">
        <w:rPr>
          <w:rFonts w:eastAsiaTheme="minorEastAsia"/>
        </w:rPr>
        <w:t xml:space="preserve">, 2016, </w:t>
      </w:r>
      <w:r w:rsidRPr="002A436C">
        <w:rPr>
          <w:rFonts w:eastAsiaTheme="minorEastAsia"/>
          <w:b/>
          <w:bCs/>
        </w:rPr>
        <w:t>44</w:t>
      </w:r>
      <w:r w:rsidRPr="002A436C">
        <w:rPr>
          <w:rFonts w:eastAsiaTheme="minorEastAsia"/>
        </w:rPr>
        <w:t>, 74–78.</w:t>
      </w:r>
    </w:p>
    <w:p w:rsidR="00126622" w:rsidRPr="002A436C" w:rsidRDefault="00126622" w:rsidP="002A436C">
      <w:pPr>
        <w:widowControl w:val="0"/>
        <w:tabs>
          <w:tab w:val="left" w:pos="800"/>
        </w:tabs>
        <w:autoSpaceDE w:val="0"/>
        <w:autoSpaceDN w:val="0"/>
        <w:adjustRightInd w:val="0"/>
        <w:ind w:left="800" w:hanging="800"/>
        <w:jc w:val="both"/>
        <w:rPr>
          <w:rFonts w:eastAsiaTheme="minorEastAsia"/>
        </w:rPr>
      </w:pPr>
      <w:r w:rsidRPr="002A436C">
        <w:rPr>
          <w:rFonts w:eastAsiaTheme="minorEastAsia"/>
        </w:rPr>
        <w:t>42</w:t>
      </w:r>
      <w:r w:rsidRPr="002A436C">
        <w:rPr>
          <w:rFonts w:eastAsiaTheme="minorEastAsia"/>
        </w:rPr>
        <w:tab/>
        <w:t xml:space="preserve">S. M. Cragg, G. T. Beckham, N. C. Bruce, T. D. Bugg, D. L. Distel, P. Dupree, A. G. Etxabe, B. S. Goodell, J. Jellison, J. E. McGeehan, S. J. McQueen-Mason, K. Schnorr, P. H. Walton, J. E. Watts and M. Zimmer, </w:t>
      </w:r>
      <w:r w:rsidRPr="002A436C">
        <w:rPr>
          <w:rFonts w:eastAsiaTheme="minorEastAsia"/>
          <w:i/>
          <w:iCs/>
        </w:rPr>
        <w:t>Curr Opin Chem Biol</w:t>
      </w:r>
      <w:r w:rsidRPr="002A436C">
        <w:rPr>
          <w:rFonts w:eastAsiaTheme="minorEastAsia"/>
        </w:rPr>
        <w:t xml:space="preserve">, 2015, </w:t>
      </w:r>
      <w:r w:rsidRPr="002A436C">
        <w:rPr>
          <w:rFonts w:eastAsiaTheme="minorEastAsia"/>
          <w:b/>
          <w:bCs/>
        </w:rPr>
        <w:t>29</w:t>
      </w:r>
      <w:r w:rsidRPr="002A436C">
        <w:rPr>
          <w:rFonts w:eastAsiaTheme="minorEastAsia"/>
        </w:rPr>
        <w:t>, 108–119.</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43</w:t>
      </w:r>
      <w:r>
        <w:rPr>
          <w:rFonts w:eastAsiaTheme="minorEastAsia"/>
          <w:lang w:val="en-GB"/>
        </w:rPr>
        <w:tab/>
        <w:t xml:space="preserve">S. Ballance, S. Holtan, O. A. Aarstad, P. Sikorski, G. Skjåk-Braek and B. E. Christensen, </w:t>
      </w:r>
      <w:r>
        <w:rPr>
          <w:rFonts w:eastAsiaTheme="minorEastAsia"/>
          <w:i/>
          <w:iCs/>
          <w:lang w:val="en-GB"/>
        </w:rPr>
        <w:t>Journal of Chromatography A</w:t>
      </w:r>
      <w:r>
        <w:rPr>
          <w:rFonts w:eastAsiaTheme="minorEastAsia"/>
          <w:lang w:val="en-GB"/>
        </w:rPr>
        <w:t xml:space="preserve">, 2005, </w:t>
      </w:r>
      <w:r>
        <w:rPr>
          <w:rFonts w:eastAsiaTheme="minorEastAsia"/>
          <w:b/>
          <w:bCs/>
          <w:lang w:val="en-GB"/>
        </w:rPr>
        <w:t>1093</w:t>
      </w:r>
      <w:r>
        <w:rPr>
          <w:rFonts w:eastAsiaTheme="minorEastAsia"/>
          <w:lang w:val="en-GB"/>
        </w:rPr>
        <w:t>, 59–68.</w:t>
      </w:r>
    </w:p>
    <w:p w:rsidR="00126622" w:rsidRPr="002A436C" w:rsidRDefault="00126622" w:rsidP="002A436C">
      <w:pPr>
        <w:widowControl w:val="0"/>
        <w:tabs>
          <w:tab w:val="left" w:pos="800"/>
        </w:tabs>
        <w:autoSpaceDE w:val="0"/>
        <w:autoSpaceDN w:val="0"/>
        <w:adjustRightInd w:val="0"/>
        <w:ind w:left="800" w:hanging="800"/>
        <w:jc w:val="both"/>
        <w:rPr>
          <w:rFonts w:eastAsiaTheme="minorEastAsia"/>
          <w:lang w:val="nb-NO"/>
        </w:rPr>
      </w:pPr>
      <w:r w:rsidRPr="002A436C">
        <w:rPr>
          <w:rFonts w:eastAsiaTheme="minorEastAsia"/>
          <w:lang w:val="nb-NO"/>
        </w:rPr>
        <w:t>44</w:t>
      </w:r>
      <w:r w:rsidRPr="002A436C">
        <w:rPr>
          <w:rFonts w:eastAsiaTheme="minorEastAsia"/>
          <w:lang w:val="nb-NO"/>
        </w:rPr>
        <w:tab/>
        <w:t xml:space="preserve">H. Grasdalen, B. Larsen and O. Smidsrød, </w:t>
      </w:r>
      <w:r w:rsidRPr="002A436C">
        <w:rPr>
          <w:rFonts w:eastAsiaTheme="minorEastAsia"/>
          <w:i/>
          <w:iCs/>
          <w:lang w:val="nb-NO"/>
        </w:rPr>
        <w:t>Carbohyd Res</w:t>
      </w:r>
      <w:r w:rsidRPr="002A436C">
        <w:rPr>
          <w:rFonts w:eastAsiaTheme="minorEastAsia"/>
          <w:lang w:val="nb-NO"/>
        </w:rPr>
        <w:t xml:space="preserve">, 1979, </w:t>
      </w:r>
      <w:r w:rsidRPr="002A436C">
        <w:rPr>
          <w:rFonts w:eastAsiaTheme="minorEastAsia"/>
          <w:b/>
          <w:bCs/>
          <w:lang w:val="nb-NO"/>
        </w:rPr>
        <w:t>68</w:t>
      </w:r>
      <w:r w:rsidRPr="002A436C">
        <w:rPr>
          <w:rFonts w:eastAsiaTheme="minorEastAsia"/>
          <w:lang w:val="nb-NO"/>
        </w:rPr>
        <w:t>, 23–31.</w:t>
      </w:r>
    </w:p>
    <w:p w:rsidR="00126622" w:rsidRPr="002A436C" w:rsidRDefault="00126622" w:rsidP="002A436C">
      <w:pPr>
        <w:widowControl w:val="0"/>
        <w:tabs>
          <w:tab w:val="left" w:pos="800"/>
        </w:tabs>
        <w:autoSpaceDE w:val="0"/>
        <w:autoSpaceDN w:val="0"/>
        <w:adjustRightInd w:val="0"/>
        <w:ind w:left="800" w:hanging="800"/>
        <w:jc w:val="both"/>
        <w:rPr>
          <w:rFonts w:eastAsiaTheme="minorEastAsia"/>
          <w:lang w:val="nb-NO"/>
        </w:rPr>
      </w:pPr>
      <w:r w:rsidRPr="002A436C">
        <w:rPr>
          <w:rFonts w:eastAsiaTheme="minorEastAsia"/>
          <w:lang w:val="nb-NO"/>
        </w:rPr>
        <w:t>45</w:t>
      </w:r>
      <w:r w:rsidRPr="002A436C">
        <w:rPr>
          <w:rFonts w:eastAsiaTheme="minorEastAsia"/>
          <w:lang w:val="nb-NO"/>
        </w:rPr>
        <w:tab/>
        <w:t xml:space="preserve">C. Campa, S. Holtan, N. Nilsen, T. M. Bjerkan, B. T. Stokke and G. Skjåk-Braek, </w:t>
      </w:r>
      <w:r w:rsidRPr="002A436C">
        <w:rPr>
          <w:rFonts w:eastAsiaTheme="minorEastAsia"/>
          <w:i/>
          <w:iCs/>
          <w:lang w:val="nb-NO"/>
        </w:rPr>
        <w:t>Biochem J</w:t>
      </w:r>
      <w:r w:rsidRPr="002A436C">
        <w:rPr>
          <w:rFonts w:eastAsiaTheme="minorEastAsia"/>
          <w:lang w:val="nb-NO"/>
        </w:rPr>
        <w:t xml:space="preserve">, 2004, </w:t>
      </w:r>
      <w:r w:rsidRPr="002A436C">
        <w:rPr>
          <w:rFonts w:eastAsiaTheme="minorEastAsia"/>
          <w:b/>
          <w:bCs/>
          <w:lang w:val="nb-NO"/>
        </w:rPr>
        <w:t>381</w:t>
      </w:r>
      <w:r w:rsidRPr="002A436C">
        <w:rPr>
          <w:rFonts w:eastAsiaTheme="minorEastAsia"/>
          <w:lang w:val="nb-NO"/>
        </w:rPr>
        <w:t>, 155–164.</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46</w:t>
      </w:r>
      <w:r>
        <w:rPr>
          <w:rFonts w:eastAsiaTheme="minorEastAsia"/>
          <w:lang w:val="en-GB"/>
        </w:rPr>
        <w:tab/>
        <w:t xml:space="preserve">C. Campa, A. Oust, G. Skjåk-Braek, B. S. Paulsen, S. Paoletti, B. E. Christensen and S. Ballance, </w:t>
      </w:r>
      <w:r>
        <w:rPr>
          <w:rFonts w:eastAsiaTheme="minorEastAsia"/>
          <w:i/>
          <w:iCs/>
          <w:lang w:val="en-GB"/>
        </w:rPr>
        <w:t>Journal of Chromatography A</w:t>
      </w:r>
      <w:r>
        <w:rPr>
          <w:rFonts w:eastAsiaTheme="minorEastAsia"/>
          <w:lang w:val="en-GB"/>
        </w:rPr>
        <w:t xml:space="preserve">, 2004, </w:t>
      </w:r>
      <w:r>
        <w:rPr>
          <w:rFonts w:eastAsiaTheme="minorEastAsia"/>
          <w:b/>
          <w:bCs/>
          <w:lang w:val="en-GB"/>
        </w:rPr>
        <w:t>1026</w:t>
      </w:r>
      <w:r>
        <w:rPr>
          <w:rFonts w:eastAsiaTheme="minorEastAsia"/>
          <w:lang w:val="en-GB"/>
        </w:rPr>
        <w:t>, 271–281.</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47</w:t>
      </w:r>
      <w:r>
        <w:rPr>
          <w:rFonts w:eastAsiaTheme="minorEastAsia"/>
          <w:lang w:val="en-GB"/>
        </w:rPr>
        <w:tab/>
        <w:t xml:space="preserve">K. A. Bowman, O. A. Aarstad, M. Nakamura, B. T. Stokke, G. Skjåk-Braek and A. N. Round, </w:t>
      </w:r>
      <w:r>
        <w:rPr>
          <w:rFonts w:eastAsiaTheme="minorEastAsia"/>
          <w:i/>
          <w:iCs/>
          <w:lang w:val="en-GB"/>
        </w:rPr>
        <w:t>Carbohyd Polym</w:t>
      </w:r>
      <w:r>
        <w:rPr>
          <w:rFonts w:eastAsiaTheme="minorEastAsia"/>
          <w:lang w:val="en-GB"/>
        </w:rPr>
        <w:t xml:space="preserve">, 2016, </w:t>
      </w:r>
      <w:r>
        <w:rPr>
          <w:rFonts w:eastAsiaTheme="minorEastAsia"/>
          <w:b/>
          <w:bCs/>
          <w:lang w:val="en-GB"/>
        </w:rPr>
        <w:t>148</w:t>
      </w:r>
      <w:r>
        <w:rPr>
          <w:rFonts w:eastAsiaTheme="minorEastAsia"/>
          <w:lang w:val="en-GB"/>
        </w:rPr>
        <w:t>, 52–60.</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48</w:t>
      </w:r>
      <w:r>
        <w:rPr>
          <w:rFonts w:eastAsiaTheme="minorEastAsia"/>
          <w:lang w:val="en-GB"/>
        </w:rPr>
        <w:tab/>
        <w:t xml:space="preserve">G. Gray, </w:t>
      </w:r>
      <w:r>
        <w:rPr>
          <w:rFonts w:eastAsiaTheme="minorEastAsia"/>
          <w:i/>
          <w:iCs/>
          <w:lang w:val="en-GB"/>
        </w:rPr>
        <w:t>Meth Enzymol</w:t>
      </w:r>
      <w:r>
        <w:rPr>
          <w:rFonts w:eastAsiaTheme="minorEastAsia"/>
          <w:lang w:val="en-GB"/>
        </w:rPr>
        <w:t xml:space="preserve">, 1978, </w:t>
      </w:r>
      <w:r>
        <w:rPr>
          <w:rFonts w:eastAsiaTheme="minorEastAsia"/>
          <w:b/>
          <w:bCs/>
          <w:lang w:val="en-GB"/>
        </w:rPr>
        <w:t>50</w:t>
      </w:r>
      <w:r>
        <w:rPr>
          <w:rFonts w:eastAsiaTheme="minorEastAsia"/>
          <w:lang w:val="en-GB"/>
        </w:rPr>
        <w:t>, 155–160.</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49</w:t>
      </w:r>
      <w:r>
        <w:rPr>
          <w:rFonts w:eastAsiaTheme="minorEastAsia"/>
          <w:lang w:val="en-GB"/>
        </w:rPr>
        <w:tab/>
        <w:t xml:space="preserve">M. Takemasa, M. Sletmoen and B. T. Stokke, </w:t>
      </w:r>
      <w:r>
        <w:rPr>
          <w:rFonts w:eastAsiaTheme="minorEastAsia"/>
          <w:i/>
          <w:iCs/>
          <w:lang w:val="en-GB"/>
        </w:rPr>
        <w:t>Langmuir</w:t>
      </w:r>
      <w:r>
        <w:rPr>
          <w:rFonts w:eastAsiaTheme="minorEastAsia"/>
          <w:lang w:val="en-GB"/>
        </w:rPr>
        <w:t xml:space="preserve">, 2009, </w:t>
      </w:r>
      <w:r>
        <w:rPr>
          <w:rFonts w:eastAsiaTheme="minorEastAsia"/>
          <w:b/>
          <w:bCs/>
          <w:lang w:val="en-GB"/>
        </w:rPr>
        <w:t>25</w:t>
      </w:r>
      <w:r>
        <w:rPr>
          <w:rFonts w:eastAsiaTheme="minorEastAsia"/>
          <w:lang w:val="en-GB"/>
        </w:rPr>
        <w:t>, 10174–10182.</w:t>
      </w:r>
    </w:p>
    <w:p w:rsidR="00126622" w:rsidRDefault="00126622" w:rsidP="002A436C">
      <w:pPr>
        <w:widowControl w:val="0"/>
        <w:tabs>
          <w:tab w:val="left" w:pos="800"/>
        </w:tabs>
        <w:autoSpaceDE w:val="0"/>
        <w:autoSpaceDN w:val="0"/>
        <w:adjustRightInd w:val="0"/>
        <w:ind w:left="800" w:hanging="800"/>
        <w:jc w:val="both"/>
        <w:rPr>
          <w:rFonts w:eastAsiaTheme="minorEastAsia"/>
          <w:lang w:val="en-GB"/>
        </w:rPr>
      </w:pPr>
      <w:r>
        <w:rPr>
          <w:rFonts w:eastAsiaTheme="minorEastAsia"/>
          <w:lang w:val="en-GB"/>
        </w:rPr>
        <w:t>50</w:t>
      </w:r>
      <w:r>
        <w:rPr>
          <w:rFonts w:eastAsiaTheme="minorEastAsia"/>
          <w:lang w:val="en-GB"/>
        </w:rPr>
        <w:tab/>
        <w:t xml:space="preserve">J. L. Hutter and J. Bechhoefer, </w:t>
      </w:r>
      <w:r>
        <w:rPr>
          <w:rFonts w:eastAsiaTheme="minorEastAsia"/>
          <w:i/>
          <w:iCs/>
          <w:lang w:val="en-GB"/>
        </w:rPr>
        <w:t>Rev Sci Instrum</w:t>
      </w:r>
      <w:r>
        <w:rPr>
          <w:rFonts w:eastAsiaTheme="minorEastAsia"/>
          <w:lang w:val="en-GB"/>
        </w:rPr>
        <w:t xml:space="preserve">, 1993, </w:t>
      </w:r>
      <w:r>
        <w:rPr>
          <w:rFonts w:eastAsiaTheme="minorEastAsia"/>
          <w:b/>
          <w:bCs/>
          <w:lang w:val="en-GB"/>
        </w:rPr>
        <w:t>64</w:t>
      </w:r>
      <w:r>
        <w:rPr>
          <w:rFonts w:eastAsiaTheme="minorEastAsia"/>
          <w:lang w:val="en-GB"/>
        </w:rPr>
        <w:t>, 1868–1873.</w:t>
      </w:r>
    </w:p>
    <w:p w:rsidR="002323A4" w:rsidRDefault="009E7868" w:rsidP="002A436C">
      <w:pPr>
        <w:widowControl w:val="0"/>
        <w:tabs>
          <w:tab w:val="left" w:pos="800"/>
        </w:tabs>
        <w:autoSpaceDE w:val="0"/>
        <w:autoSpaceDN w:val="0"/>
        <w:adjustRightInd w:val="0"/>
        <w:ind w:left="800" w:hanging="800"/>
        <w:jc w:val="both"/>
        <w:rPr>
          <w:lang w:val="en-GB"/>
        </w:rPr>
      </w:pPr>
      <w:r>
        <w:rPr>
          <w:lang w:val="en-GB"/>
        </w:rPr>
        <w:fldChar w:fldCharType="end"/>
      </w:r>
    </w:p>
    <w:p w:rsidR="005946AD" w:rsidRDefault="005946AD" w:rsidP="002A436C">
      <w:pPr>
        <w:jc w:val="both"/>
        <w:rPr>
          <w:lang w:val="en-GB"/>
        </w:rPr>
      </w:pPr>
      <w:r>
        <w:rPr>
          <w:lang w:val="en-GB"/>
        </w:rPr>
        <w:br w:type="page"/>
      </w:r>
    </w:p>
    <w:p w:rsidR="005946AD" w:rsidRPr="002A436C" w:rsidRDefault="005946AD">
      <w:pPr>
        <w:spacing w:line="360" w:lineRule="auto"/>
        <w:jc w:val="both"/>
        <w:outlineLvl w:val="0"/>
        <w:rPr>
          <w:b/>
          <w:sz w:val="22"/>
          <w:szCs w:val="22"/>
          <w:lang w:val="en-GB"/>
        </w:rPr>
      </w:pPr>
      <w:r w:rsidRPr="002A436C">
        <w:rPr>
          <w:b/>
          <w:sz w:val="22"/>
          <w:szCs w:val="22"/>
          <w:lang w:val="en-GB"/>
        </w:rPr>
        <w:t>Electronic Supporting Information</w:t>
      </w:r>
    </w:p>
    <w:p w:rsidR="005946AD" w:rsidRPr="00A77CBA" w:rsidRDefault="005946AD" w:rsidP="002A436C">
      <w:pPr>
        <w:pStyle w:val="Tableofcontents"/>
        <w:jc w:val="both"/>
        <w:rPr>
          <w:b/>
          <w:lang w:val="en-GB"/>
        </w:rPr>
      </w:pPr>
      <w:r>
        <w:rPr>
          <w:b/>
          <w:lang w:val="en-GB"/>
        </w:rPr>
        <w:t xml:space="preserve">Polymer sequencing by molecular machines: </w:t>
      </w:r>
      <w:r w:rsidRPr="00A77CBA">
        <w:rPr>
          <w:b/>
          <w:lang w:val="en-GB"/>
        </w:rPr>
        <w:t xml:space="preserve">A framework for predicting the resolving power of a sliding contact force spectroscopy </w:t>
      </w:r>
      <w:r>
        <w:rPr>
          <w:b/>
          <w:lang w:val="en-GB"/>
        </w:rPr>
        <w:t>sequencing method.</w:t>
      </w:r>
    </w:p>
    <w:p w:rsidR="005946AD" w:rsidRPr="00A77CBA" w:rsidRDefault="005946AD" w:rsidP="002A436C">
      <w:pPr>
        <w:pStyle w:val="Tableofcontents"/>
        <w:jc w:val="both"/>
        <w:rPr>
          <w:lang w:val="en-GB"/>
        </w:rPr>
      </w:pPr>
    </w:p>
    <w:p w:rsidR="005946AD" w:rsidRPr="00A77CBA" w:rsidRDefault="005946AD" w:rsidP="002A436C">
      <w:pPr>
        <w:pStyle w:val="Tableofcontents"/>
        <w:jc w:val="both"/>
        <w:rPr>
          <w:i/>
          <w:lang w:val="en-GB"/>
        </w:rPr>
      </w:pPr>
      <w:r w:rsidRPr="00A77CBA">
        <w:rPr>
          <w:i/>
          <w:lang w:val="en-GB"/>
        </w:rPr>
        <w:t>Alex Dunlop</w:t>
      </w:r>
      <w:r>
        <w:rPr>
          <w:i/>
          <w:vertAlign w:val="superscript"/>
          <w:lang w:val="en-GB"/>
        </w:rPr>
        <w:t>a</w:t>
      </w:r>
      <w:r w:rsidRPr="00A77CBA">
        <w:rPr>
          <w:i/>
          <w:lang w:val="en-GB"/>
        </w:rPr>
        <w:t>, Kate Bowma</w:t>
      </w:r>
      <w:r>
        <w:rPr>
          <w:i/>
          <w:lang w:val="en-GB"/>
        </w:rPr>
        <w:t>n</w:t>
      </w:r>
      <w:r>
        <w:rPr>
          <w:i/>
          <w:vertAlign w:val="superscript"/>
          <w:lang w:val="en-GB"/>
        </w:rPr>
        <w:t>b</w:t>
      </w:r>
      <w:r w:rsidRPr="00A77CBA">
        <w:rPr>
          <w:i/>
          <w:lang w:val="en-GB"/>
        </w:rPr>
        <w:t xml:space="preserve">, </w:t>
      </w:r>
      <w:r>
        <w:rPr>
          <w:i/>
          <w:lang w:val="en-GB"/>
        </w:rPr>
        <w:t>Olav Aarstad</w:t>
      </w:r>
      <w:r>
        <w:rPr>
          <w:i/>
          <w:vertAlign w:val="superscript"/>
          <w:lang w:val="en-GB"/>
        </w:rPr>
        <w:t>c</w:t>
      </w:r>
      <w:r>
        <w:rPr>
          <w:i/>
          <w:lang w:val="en-GB"/>
        </w:rPr>
        <w:t xml:space="preserve">, </w:t>
      </w:r>
      <w:r w:rsidRPr="006A7541">
        <w:rPr>
          <w:i/>
          <w:lang w:val="en-GB"/>
        </w:rPr>
        <w:t>Gudmund Skjåk-Bræk</w:t>
      </w:r>
      <w:r>
        <w:rPr>
          <w:i/>
          <w:vertAlign w:val="superscript"/>
          <w:lang w:val="en-GB"/>
        </w:rPr>
        <w:t>c</w:t>
      </w:r>
      <w:r w:rsidRPr="006A7541">
        <w:rPr>
          <w:i/>
          <w:lang w:val="en-GB"/>
        </w:rPr>
        <w:t>,</w:t>
      </w:r>
      <w:r w:rsidRPr="00A77CBA">
        <w:rPr>
          <w:i/>
          <w:lang w:val="en-GB"/>
        </w:rPr>
        <w:t xml:space="preserve"> Bjørn T. Stokk</w:t>
      </w:r>
      <w:r>
        <w:rPr>
          <w:i/>
          <w:lang w:val="en-GB"/>
        </w:rPr>
        <w:t>e</w:t>
      </w:r>
      <w:r>
        <w:rPr>
          <w:i/>
          <w:vertAlign w:val="superscript"/>
          <w:lang w:val="en-GB"/>
        </w:rPr>
        <w:t>d</w:t>
      </w:r>
      <w:r w:rsidRPr="00A77CBA">
        <w:rPr>
          <w:i/>
          <w:lang w:val="en-GB"/>
        </w:rPr>
        <w:t>, Andrew N. Roun</w:t>
      </w:r>
      <w:r>
        <w:rPr>
          <w:i/>
          <w:lang w:val="en-GB"/>
        </w:rPr>
        <w:t>d</w:t>
      </w:r>
      <w:r>
        <w:rPr>
          <w:i/>
          <w:vertAlign w:val="superscript"/>
          <w:lang w:val="en-GB"/>
        </w:rPr>
        <w:t>b</w:t>
      </w:r>
      <w:r w:rsidRPr="00A77CBA">
        <w:rPr>
          <w:i/>
          <w:vertAlign w:val="superscript"/>
          <w:lang w:val="en-GB"/>
        </w:rPr>
        <w:t>*</w:t>
      </w:r>
      <w:r w:rsidRPr="00A77CBA">
        <w:rPr>
          <w:i/>
          <w:lang w:val="en-GB"/>
        </w:rPr>
        <w:t xml:space="preserve"> </w:t>
      </w:r>
    </w:p>
    <w:p w:rsidR="005946AD" w:rsidRPr="00A77CBA" w:rsidRDefault="005946AD" w:rsidP="002A436C">
      <w:pPr>
        <w:pStyle w:val="Tableofcontents"/>
        <w:jc w:val="both"/>
        <w:rPr>
          <w:lang w:val="en-GB"/>
        </w:rPr>
      </w:pPr>
    </w:p>
    <w:p w:rsidR="005946AD" w:rsidRPr="00A77CBA" w:rsidRDefault="005946AD" w:rsidP="002A436C">
      <w:pPr>
        <w:pStyle w:val="Tableofcontents"/>
        <w:jc w:val="both"/>
        <w:rPr>
          <w:lang w:val="en-GB"/>
        </w:rPr>
      </w:pPr>
    </w:p>
    <w:p w:rsidR="005946AD" w:rsidRPr="00A77CBA" w:rsidRDefault="005946AD" w:rsidP="002A436C">
      <w:pPr>
        <w:pStyle w:val="Addresses"/>
        <w:jc w:val="both"/>
        <w:outlineLvl w:val="0"/>
        <w:rPr>
          <w:lang w:val="en-GB"/>
        </w:rPr>
      </w:pPr>
      <w:r>
        <w:rPr>
          <w:lang w:val="en-GB"/>
        </w:rPr>
        <w:t>(a)</w:t>
      </w:r>
      <w:r w:rsidRPr="00A77CBA">
        <w:rPr>
          <w:lang w:val="en-GB"/>
        </w:rPr>
        <w:t xml:space="preserve"> Dr. A. Dunlop</w:t>
      </w:r>
    </w:p>
    <w:p w:rsidR="005946AD" w:rsidRPr="00A77CBA" w:rsidRDefault="005946AD" w:rsidP="002A436C">
      <w:pPr>
        <w:pStyle w:val="Addresses"/>
        <w:jc w:val="both"/>
        <w:rPr>
          <w:vertAlign w:val="superscript"/>
          <w:lang w:val="en-GB"/>
        </w:rPr>
      </w:pPr>
      <w:r w:rsidRPr="00A77CBA">
        <w:rPr>
          <w:lang w:val="en-GB"/>
        </w:rPr>
        <w:t>HH Wills Physics Laboratory, University of Bristol, Tyndall Avenue, Bristol BS8 1TL, UK</w:t>
      </w:r>
    </w:p>
    <w:p w:rsidR="005946AD" w:rsidRPr="00A77CBA" w:rsidRDefault="005946AD" w:rsidP="002A436C">
      <w:pPr>
        <w:pStyle w:val="Addresses"/>
        <w:jc w:val="both"/>
        <w:outlineLvl w:val="0"/>
        <w:rPr>
          <w:vertAlign w:val="superscript"/>
          <w:lang w:val="en-GB"/>
        </w:rPr>
      </w:pPr>
      <w:r>
        <w:rPr>
          <w:lang w:val="en-GB"/>
        </w:rPr>
        <w:t>(b)</w:t>
      </w:r>
      <w:r w:rsidRPr="00A77CBA">
        <w:rPr>
          <w:lang w:val="en-GB"/>
        </w:rPr>
        <w:t xml:space="preserve"> Dr. K. Bowman, Dr. A. N. Round (*corresponding author; e-mail: a.round@uea.ac.uk)</w:t>
      </w:r>
    </w:p>
    <w:p w:rsidR="005946AD" w:rsidRDefault="005946AD" w:rsidP="002A436C">
      <w:pPr>
        <w:pStyle w:val="Addresses"/>
        <w:jc w:val="both"/>
        <w:rPr>
          <w:lang w:val="en-GB"/>
        </w:rPr>
      </w:pPr>
      <w:r w:rsidRPr="00A77CBA">
        <w:rPr>
          <w:lang w:val="en-GB"/>
        </w:rPr>
        <w:t>School of Pharmacy, University of East Anglia, Norwich Research Park, Norwich NR4 7TJ, UK</w:t>
      </w:r>
    </w:p>
    <w:p w:rsidR="005946AD" w:rsidRPr="002A436C" w:rsidRDefault="005946AD" w:rsidP="002A436C">
      <w:pPr>
        <w:pStyle w:val="Addresses"/>
        <w:jc w:val="both"/>
        <w:outlineLvl w:val="0"/>
        <w:rPr>
          <w:lang w:val="nb-NO"/>
        </w:rPr>
      </w:pPr>
      <w:r w:rsidRPr="002A436C">
        <w:rPr>
          <w:lang w:val="nb-NO"/>
        </w:rPr>
        <w:t>(c) Dr. O. A. Aarstad, Prof. G. Skjåk-Bræk</w:t>
      </w:r>
    </w:p>
    <w:p w:rsidR="005946AD" w:rsidRPr="00D9444C" w:rsidRDefault="005946AD" w:rsidP="002A436C">
      <w:pPr>
        <w:pStyle w:val="Addresses"/>
        <w:jc w:val="both"/>
        <w:rPr>
          <w:lang w:val="en-GB"/>
        </w:rPr>
      </w:pPr>
      <w:r w:rsidRPr="00D9444C">
        <w:t>Department of Biotechnology, The Norwegian University of Science and Technology, NTNU, NO-7491 Trondheim, Norway</w:t>
      </w:r>
    </w:p>
    <w:p w:rsidR="005946AD" w:rsidRPr="00A77CBA" w:rsidRDefault="005946AD" w:rsidP="002A436C">
      <w:pPr>
        <w:pStyle w:val="Addresses"/>
        <w:jc w:val="both"/>
        <w:outlineLvl w:val="0"/>
        <w:rPr>
          <w:lang w:val="en-GB"/>
        </w:rPr>
      </w:pPr>
      <w:r>
        <w:rPr>
          <w:lang w:val="en-GB"/>
        </w:rPr>
        <w:t>(d)</w:t>
      </w:r>
      <w:r w:rsidRPr="00A77CBA">
        <w:rPr>
          <w:lang w:val="en-GB"/>
        </w:rPr>
        <w:t xml:space="preserve"> Prof. B. T. Stokke</w:t>
      </w:r>
    </w:p>
    <w:p w:rsidR="005946AD" w:rsidRPr="00A77CBA" w:rsidRDefault="005946AD" w:rsidP="002A436C">
      <w:pPr>
        <w:pStyle w:val="Addresses"/>
        <w:jc w:val="both"/>
        <w:rPr>
          <w:vertAlign w:val="superscript"/>
          <w:lang w:val="en-GB"/>
        </w:rPr>
      </w:pPr>
      <w:r w:rsidRPr="00A77CBA">
        <w:rPr>
          <w:lang w:val="en-GB"/>
        </w:rPr>
        <w:t>Department of Physics, The Norwegian University of Science and Technology, NTNU, NO-7491 Trondheim, Norway</w:t>
      </w:r>
    </w:p>
    <w:p w:rsidR="005946AD" w:rsidRPr="002A436C" w:rsidRDefault="005946AD">
      <w:pPr>
        <w:spacing w:line="360" w:lineRule="auto"/>
        <w:jc w:val="both"/>
        <w:rPr>
          <w:b/>
          <w:sz w:val="22"/>
          <w:szCs w:val="22"/>
          <w:lang w:val="en-GB"/>
        </w:rPr>
      </w:pPr>
    </w:p>
    <w:p w:rsidR="005946AD" w:rsidRPr="002A436C" w:rsidRDefault="005946AD">
      <w:pPr>
        <w:spacing w:line="360" w:lineRule="auto"/>
        <w:jc w:val="both"/>
        <w:rPr>
          <w:b/>
          <w:sz w:val="22"/>
          <w:szCs w:val="22"/>
          <w:lang w:val="en-GB"/>
        </w:rPr>
      </w:pPr>
      <w:r w:rsidRPr="002A436C">
        <w:rPr>
          <w:b/>
          <w:sz w:val="22"/>
          <w:szCs w:val="22"/>
          <w:lang w:val="en-GB"/>
        </w:rPr>
        <w:t>1. Single Molecule Force Spectroscopy Analysis</w:t>
      </w:r>
    </w:p>
    <w:p w:rsidR="005946AD" w:rsidRPr="002A436C" w:rsidRDefault="005946AD">
      <w:pPr>
        <w:spacing w:line="360" w:lineRule="auto"/>
        <w:jc w:val="both"/>
        <w:outlineLvl w:val="0"/>
        <w:rPr>
          <w:b/>
          <w:sz w:val="22"/>
          <w:szCs w:val="22"/>
          <w:lang w:val="en-GB"/>
        </w:rPr>
      </w:pPr>
      <w:r w:rsidRPr="002A436C">
        <w:rPr>
          <w:b/>
          <w:sz w:val="22"/>
          <w:szCs w:val="22"/>
          <w:lang w:val="en-GB"/>
        </w:rPr>
        <w:t>1.1 Data Selection</w:t>
      </w:r>
    </w:p>
    <w:p w:rsidR="005946AD" w:rsidRPr="002A436C" w:rsidRDefault="005946AD">
      <w:pPr>
        <w:spacing w:line="360" w:lineRule="auto"/>
        <w:jc w:val="both"/>
        <w:rPr>
          <w:sz w:val="22"/>
          <w:szCs w:val="22"/>
          <w:lang w:val="en-GB"/>
        </w:rPr>
      </w:pPr>
    </w:p>
    <w:p w:rsidR="005946AD" w:rsidRPr="002A436C" w:rsidRDefault="005946AD">
      <w:pPr>
        <w:spacing w:line="360" w:lineRule="auto"/>
        <w:jc w:val="both"/>
        <w:rPr>
          <w:sz w:val="22"/>
          <w:szCs w:val="22"/>
          <w:lang w:val="en-GB"/>
        </w:rPr>
      </w:pPr>
      <w:r w:rsidRPr="002A436C">
        <w:rPr>
          <w:sz w:val="22"/>
          <w:szCs w:val="22"/>
          <w:lang w:val="en-GB"/>
        </w:rPr>
        <w:t xml:space="preserve">Force spectroscopy data was first assessed within the JPK processing software. All force-distance profiles to which the extended freely jointed chain model (eFJC) [S1] could be fit were selected for further analysis. Fits to the eFJC model were performed within the JPK processing software, and values for the free parameters fitted to the model (contour length, breaking force and Kuhn length) were extracted. </w:t>
      </w:r>
    </w:p>
    <w:p w:rsidR="005946AD" w:rsidRPr="002A436C" w:rsidRDefault="005946AD">
      <w:pPr>
        <w:spacing w:line="360" w:lineRule="auto"/>
        <w:jc w:val="both"/>
        <w:rPr>
          <w:sz w:val="22"/>
          <w:szCs w:val="22"/>
          <w:lang w:val="en-GB"/>
        </w:rPr>
      </w:pPr>
    </w:p>
    <w:p w:rsidR="005946AD" w:rsidRPr="002A436C" w:rsidRDefault="005946AD">
      <w:pPr>
        <w:spacing w:line="360" w:lineRule="auto"/>
        <w:jc w:val="both"/>
        <w:rPr>
          <w:sz w:val="22"/>
          <w:szCs w:val="22"/>
          <w:lang w:val="en-GB"/>
        </w:rPr>
      </w:pPr>
      <w:r w:rsidRPr="002A436C">
        <w:rPr>
          <w:sz w:val="22"/>
          <w:szCs w:val="22"/>
          <w:lang w:val="en-GB"/>
        </w:rPr>
        <w:t xml:space="preserve">Within the data collected, three types of force-distance profiles could be discerned (Figure 3a, main text). In the first, found when the CD is pulled along the rotaxane containing stations 1 and 2, there are two stretches with rupture forces of around 50-250 pN separated by a distance of approximately 100nm, between which the force reaches a plateau value approximately 40 pN above the baseline. In the second, found when the CD is pulled along rotaxanes containing stations 4 or 5, there is a single stretching event terminating at a force of approximately 50-150 pN which may sometimes be preceded by a discernible plateau at around 30-40 pN. The third type of event is found in all experiments and consists of a single stretching event, terminating at a high rupture force (these are the only events to exceed 300 pN). When polymers lacking threaded CDs are used instead of the corresponding rotaxane, and when an AFM probe with no tether is used instead of the NHS-terminated tether, then few events occur and when they do, force-distance profiles of the third type are exclusively observed. </w:t>
      </w:r>
      <w:r w:rsidRPr="002A436C">
        <w:rPr>
          <w:b/>
          <w:sz w:val="22"/>
          <w:szCs w:val="22"/>
          <w:lang w:val="en-GB"/>
        </w:rPr>
        <w:t>Figure 3(a)</w:t>
      </w:r>
      <w:r w:rsidRPr="002A436C">
        <w:rPr>
          <w:sz w:val="22"/>
          <w:szCs w:val="22"/>
          <w:lang w:val="en-GB"/>
        </w:rPr>
        <w:t xml:space="preserve"> in the main text shows a selection of force-distance profiles from the systems explored here, with examples of each of first two types of force-distance profiles discussed above. </w:t>
      </w:r>
    </w:p>
    <w:p w:rsidR="005946AD" w:rsidRPr="002A436C" w:rsidRDefault="005946AD">
      <w:pPr>
        <w:spacing w:line="360" w:lineRule="auto"/>
        <w:jc w:val="both"/>
        <w:rPr>
          <w:sz w:val="22"/>
          <w:szCs w:val="22"/>
          <w:lang w:val="en-GB"/>
        </w:rPr>
      </w:pPr>
    </w:p>
    <w:p w:rsidR="005946AD" w:rsidRPr="002A436C" w:rsidRDefault="005946AD">
      <w:pPr>
        <w:spacing w:line="360" w:lineRule="auto"/>
        <w:jc w:val="both"/>
        <w:rPr>
          <w:sz w:val="22"/>
          <w:szCs w:val="22"/>
          <w:lang w:val="en-GB"/>
        </w:rPr>
      </w:pPr>
      <w:r w:rsidRPr="002A436C">
        <w:rPr>
          <w:sz w:val="22"/>
          <w:szCs w:val="22"/>
          <w:lang w:val="en-GB"/>
        </w:rPr>
        <w:t xml:space="preserve">Plots of breaking force </w:t>
      </w:r>
      <w:r w:rsidRPr="002A436C">
        <w:rPr>
          <w:i/>
          <w:sz w:val="22"/>
          <w:szCs w:val="22"/>
          <w:lang w:val="en-GB"/>
        </w:rPr>
        <w:t>f</w:t>
      </w:r>
      <w:r w:rsidRPr="002A436C">
        <w:rPr>
          <w:sz w:val="22"/>
          <w:szCs w:val="22"/>
          <w:lang w:val="en-GB"/>
        </w:rPr>
        <w:t xml:space="preserve"> vs. contour length L (</w:t>
      </w:r>
      <w:r w:rsidRPr="002A436C">
        <w:rPr>
          <w:b/>
          <w:sz w:val="22"/>
          <w:szCs w:val="22"/>
          <w:lang w:val="en-GB"/>
        </w:rPr>
        <w:t>Figure S1</w:t>
      </w:r>
      <w:r w:rsidRPr="002A436C">
        <w:rPr>
          <w:sz w:val="22"/>
          <w:szCs w:val="22"/>
          <w:lang w:val="en-GB"/>
        </w:rPr>
        <w:t>) were inspected in order to identify the force-distance profiles corresponding to sliding over the incorporated stations. In the rotaxane containing stations 1 and 2, a high density of breaking events occur around lengths of 90 ± 20 nm and 200 ± 20 nm, in agreement with the expected positions of stations 2 and 1 respectively as previously shown [S2]. Breaking events that fell within these two length ranges, and which possess a plateau in force preceding the stretching event, were identified as station sliding events and were selected for further analysis. A similar procedure was conducted for the rotaxanes containing stations 4 and 5. Here the oligouronates are attached to shorter PEGs with contour lengths of about 20 nm and a high density of rupture events occurs at the corresponding distance from the surface.</w:t>
      </w:r>
    </w:p>
    <w:p w:rsidR="005946AD" w:rsidRPr="002A436C" w:rsidRDefault="005946AD">
      <w:pPr>
        <w:spacing w:line="360" w:lineRule="auto"/>
        <w:jc w:val="both"/>
        <w:rPr>
          <w:sz w:val="22"/>
          <w:szCs w:val="22"/>
          <w:lang w:val="en-GB"/>
        </w:rPr>
      </w:pPr>
      <w:r w:rsidRPr="008A087E">
        <w:rPr>
          <w:noProof/>
          <w:sz w:val="22"/>
          <w:szCs w:val="22"/>
          <w:lang w:val="nb-NO" w:eastAsia="nb-NO"/>
        </w:rPr>
        <w:drawing>
          <wp:inline distT="0" distB="0" distL="0" distR="0" wp14:anchorId="5900E40A" wp14:editId="123946A7">
            <wp:extent cx="7433939" cy="4368586"/>
            <wp:effectExtent l="8572"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S1FvsL.pn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7494135" cy="4403960"/>
                    </a:xfrm>
                    <a:prstGeom prst="rect">
                      <a:avLst/>
                    </a:prstGeom>
                  </pic:spPr>
                </pic:pic>
              </a:graphicData>
            </a:graphic>
          </wp:inline>
        </w:drawing>
      </w:r>
    </w:p>
    <w:p w:rsidR="005946AD" w:rsidRPr="002A436C" w:rsidRDefault="005946AD">
      <w:pPr>
        <w:spacing w:line="360" w:lineRule="auto"/>
        <w:jc w:val="both"/>
        <w:rPr>
          <w:b/>
          <w:sz w:val="22"/>
          <w:szCs w:val="22"/>
          <w:lang w:val="en-GB"/>
        </w:rPr>
      </w:pPr>
    </w:p>
    <w:p w:rsidR="005946AD" w:rsidRPr="002A436C" w:rsidRDefault="005946AD">
      <w:pPr>
        <w:spacing w:line="360" w:lineRule="auto"/>
        <w:jc w:val="both"/>
        <w:rPr>
          <w:sz w:val="22"/>
          <w:szCs w:val="22"/>
          <w:lang w:val="en-GB"/>
        </w:rPr>
      </w:pPr>
      <w:r w:rsidRPr="002A436C">
        <w:rPr>
          <w:b/>
          <w:sz w:val="22"/>
          <w:szCs w:val="22"/>
          <w:lang w:val="en-GB"/>
        </w:rPr>
        <w:t>Figure S1.</w:t>
      </w:r>
      <w:r w:rsidRPr="002A436C">
        <w:rPr>
          <w:sz w:val="22"/>
          <w:szCs w:val="22"/>
          <w:lang w:val="en-GB"/>
        </w:rPr>
        <w:t xml:space="preserve"> Plots of breaking force (pN) vs distance (nm) for rupture events in the following systems: (a,e) rotaxanes containing α-CD and stations 1, 2 and 3; (b) rotaxanes containing α-CD and stations 3 and 4; (c) rotaxanes containing α-CD and stations 3 and 5; (d) polymers containing stations 1, 2 and 3 but no CD; (e) same as (a) but with a bare tip. </w:t>
      </w:r>
    </w:p>
    <w:p w:rsidR="005946AD" w:rsidRPr="002A436C" w:rsidRDefault="005946AD">
      <w:pPr>
        <w:spacing w:line="360" w:lineRule="auto"/>
        <w:jc w:val="both"/>
        <w:rPr>
          <w:sz w:val="22"/>
          <w:szCs w:val="22"/>
          <w:lang w:val="en-GB"/>
        </w:rPr>
      </w:pPr>
    </w:p>
    <w:p w:rsidR="005946AD" w:rsidRPr="002A436C" w:rsidRDefault="005946AD">
      <w:pPr>
        <w:spacing w:line="360" w:lineRule="auto"/>
        <w:jc w:val="both"/>
        <w:rPr>
          <w:sz w:val="22"/>
          <w:szCs w:val="22"/>
          <w:lang w:val="en-GB"/>
        </w:rPr>
      </w:pPr>
      <w:r w:rsidRPr="002A436C">
        <w:rPr>
          <w:sz w:val="22"/>
          <w:szCs w:val="22"/>
          <w:lang w:val="en-GB"/>
        </w:rPr>
        <w:t xml:space="preserve">The Kuhn length for a single polyethylene glycol (PEG) polymer (as we use here as a flexible spacer) has been estimated to be 0.7 nm [S3]. Akhremitchev has shown [S4] that the Kuhn length is diagnostic for the presence of a single polymer stretch, since the value of the apparent Kuhn length varies as 1/n, where n = number of simultaneous parallel polymer stretches. </w:t>
      </w:r>
      <w:r w:rsidRPr="002A436C">
        <w:rPr>
          <w:b/>
          <w:sz w:val="22"/>
          <w:szCs w:val="22"/>
          <w:lang w:val="en-GB"/>
        </w:rPr>
        <w:t>Figure S2</w:t>
      </w:r>
      <w:r w:rsidRPr="002A436C">
        <w:rPr>
          <w:sz w:val="22"/>
          <w:szCs w:val="22"/>
          <w:lang w:val="en-GB"/>
        </w:rPr>
        <w:t xml:space="preserve"> shows plots of rupture force vs. Kuhn length for the rupture events in the rotaxane systems described in this work. In the case of stations 1, 2, 4 and 5, it can be seen that below a Kuhn length value of 0.6 nm there is an increase in the number of high force events, while there are also substantial populations of events with similar forces to the events where the Kuhn length exceeds 0.6 nm. For sliding events involving station 3 the Kuhn length cannot be determined directly so the designated Kuhn length is that found for the sliding event involving one of the other stations that immediately follows the sliding plateau over station 3. </w:t>
      </w:r>
      <w:r w:rsidRPr="002A436C">
        <w:rPr>
          <w:b/>
          <w:sz w:val="22"/>
          <w:szCs w:val="22"/>
          <w:lang w:val="en-GB"/>
        </w:rPr>
        <w:t>Figure S3</w:t>
      </w:r>
      <w:r w:rsidRPr="002A436C">
        <w:rPr>
          <w:sz w:val="22"/>
          <w:szCs w:val="22"/>
          <w:lang w:val="en-GB"/>
        </w:rPr>
        <w:t xml:space="preserve"> shows that, at comparable loading rates, the stretches fit by Kuhn lengths of 0.6 nm or greater ruptured at lower forces than the stretches fit by Kuhn lengths lower than 0.6 nm. This result is in accordance with the predictions of Akhremitchev and suggests that events with lower Kuhn lengths represent multiple simultaneous (or nearly so) bond ruptures. We therefore selected for further analysis only those events with a Kuhn length of 0.6 nm or greater. </w:t>
      </w:r>
    </w:p>
    <w:p w:rsidR="005946AD" w:rsidRPr="002A436C" w:rsidRDefault="005946AD">
      <w:pPr>
        <w:spacing w:line="360" w:lineRule="auto"/>
        <w:jc w:val="both"/>
        <w:rPr>
          <w:sz w:val="22"/>
          <w:szCs w:val="22"/>
          <w:lang w:val="en-GB"/>
        </w:rPr>
      </w:pPr>
    </w:p>
    <w:p w:rsidR="005946AD" w:rsidRPr="002A436C" w:rsidRDefault="005946AD">
      <w:pPr>
        <w:spacing w:line="360" w:lineRule="auto"/>
        <w:jc w:val="both"/>
        <w:rPr>
          <w:sz w:val="22"/>
          <w:szCs w:val="22"/>
          <w:lang w:val="en-GB"/>
        </w:rPr>
      </w:pPr>
      <w:r w:rsidRPr="002A436C">
        <w:rPr>
          <w:b/>
          <w:sz w:val="22"/>
          <w:szCs w:val="22"/>
          <w:lang w:val="en-GB"/>
        </w:rPr>
        <w:t xml:space="preserve">Figure S2 </w:t>
      </w:r>
      <w:r w:rsidRPr="002A436C">
        <w:rPr>
          <w:sz w:val="22"/>
          <w:szCs w:val="22"/>
          <w:lang w:val="en-GB"/>
        </w:rPr>
        <w:t>(following page). Plots of Force (pN) vs. Kuhn length (nm) for sliding events for (a) α-CD and (b) β-CD over station 1; (c) α-CD and (d) β-CD over station 2; (e) α-CD and (f) β-CD over station 3; (g) α-CD over station 4 and (h) α-CD over station 5. Crosses represent events fit by a Kuhn length less than 0.6 nm (representing multiple interactions), open circles represent events fit by Kuhn lengths of 0.6 nm or greater (representing single interactions).</w:t>
      </w:r>
    </w:p>
    <w:p w:rsidR="005946AD" w:rsidRPr="002A436C" w:rsidRDefault="005946AD">
      <w:pPr>
        <w:spacing w:line="360" w:lineRule="auto"/>
        <w:jc w:val="both"/>
        <w:rPr>
          <w:sz w:val="22"/>
          <w:szCs w:val="22"/>
          <w:lang w:val="en-GB"/>
        </w:rPr>
      </w:pPr>
    </w:p>
    <w:p w:rsidR="005946AD" w:rsidRPr="002A436C" w:rsidRDefault="005946AD">
      <w:pPr>
        <w:spacing w:line="360" w:lineRule="auto"/>
        <w:jc w:val="both"/>
        <w:rPr>
          <w:sz w:val="22"/>
          <w:szCs w:val="22"/>
          <w:lang w:val="en-GB"/>
        </w:rPr>
      </w:pPr>
      <w:r w:rsidRPr="002A436C">
        <w:rPr>
          <w:b/>
          <w:sz w:val="22"/>
          <w:szCs w:val="22"/>
          <w:lang w:val="en-GB"/>
        </w:rPr>
        <w:t xml:space="preserve">Figure S3 </w:t>
      </w:r>
      <w:r w:rsidRPr="002A436C">
        <w:rPr>
          <w:sz w:val="22"/>
          <w:szCs w:val="22"/>
          <w:lang w:val="en-GB"/>
        </w:rPr>
        <w:t>(following page)</w:t>
      </w:r>
      <w:r w:rsidRPr="002A436C">
        <w:rPr>
          <w:b/>
          <w:sz w:val="22"/>
          <w:szCs w:val="22"/>
          <w:lang w:val="en-GB"/>
        </w:rPr>
        <w:t>.</w:t>
      </w:r>
      <w:r w:rsidRPr="002A436C">
        <w:rPr>
          <w:sz w:val="22"/>
          <w:szCs w:val="22"/>
          <w:lang w:val="en-GB"/>
        </w:rPr>
        <w:t xml:space="preserve"> Plots of Force (pN) vs. Loading rate (pN/s) for sliding events for (a) α-CD and (b) β-CD over station 1; (c) α-CD and (d) β-CD over station 2; (e) α-CD and (f) β-CD over station 3; (g) α-CD over station 4 and (h) α-CD over station 5. Note the logarithmic scale of the </w:t>
      </w:r>
      <w:r w:rsidRPr="002A436C">
        <w:rPr>
          <w:i/>
          <w:sz w:val="22"/>
          <w:szCs w:val="22"/>
          <w:lang w:val="en-GB"/>
        </w:rPr>
        <w:t>x</w:t>
      </w:r>
      <w:r w:rsidRPr="002A436C">
        <w:rPr>
          <w:sz w:val="22"/>
          <w:szCs w:val="22"/>
          <w:lang w:val="en-GB"/>
        </w:rPr>
        <w:t>-axis. Crosses represent events fit by a Kuhn length less than 0.6 nm (representing multiple interactions), open circles represent events fit by Kuhn lengths of 0.6 nm or greater (representing single interactions).</w:t>
      </w:r>
    </w:p>
    <w:p w:rsidR="005946AD" w:rsidRPr="002A436C" w:rsidRDefault="005946AD">
      <w:pPr>
        <w:spacing w:line="360" w:lineRule="auto"/>
        <w:jc w:val="both"/>
        <w:rPr>
          <w:sz w:val="22"/>
          <w:szCs w:val="22"/>
          <w:lang w:val="en-GB"/>
        </w:rPr>
      </w:pPr>
      <w:r w:rsidRPr="008A087E">
        <w:rPr>
          <w:noProof/>
          <w:sz w:val="22"/>
          <w:szCs w:val="22"/>
          <w:lang w:val="nb-NO" w:eastAsia="nb-NO"/>
        </w:rPr>
        <w:drawing>
          <wp:inline distT="0" distB="0" distL="0" distR="0" wp14:anchorId="3A58212D" wp14:editId="6BDEE53D">
            <wp:extent cx="8502466" cy="3383983"/>
            <wp:effectExtent l="0" t="635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fig1.pn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617171" cy="3429636"/>
                    </a:xfrm>
                    <a:prstGeom prst="rect">
                      <a:avLst/>
                    </a:prstGeom>
                  </pic:spPr>
                </pic:pic>
              </a:graphicData>
            </a:graphic>
          </wp:inline>
        </w:drawing>
      </w:r>
    </w:p>
    <w:p w:rsidR="005946AD" w:rsidRPr="002A436C" w:rsidRDefault="005946AD">
      <w:pPr>
        <w:spacing w:line="360" w:lineRule="auto"/>
        <w:jc w:val="both"/>
        <w:rPr>
          <w:sz w:val="22"/>
          <w:szCs w:val="22"/>
          <w:lang w:val="en-GB"/>
        </w:rPr>
      </w:pPr>
      <w:r w:rsidRPr="002A436C">
        <w:rPr>
          <w:b/>
          <w:sz w:val="22"/>
          <w:szCs w:val="22"/>
          <w:lang w:val="en-GB"/>
        </w:rPr>
        <w:t>Figure S2.</w:t>
      </w:r>
    </w:p>
    <w:p w:rsidR="005946AD" w:rsidRPr="002A436C" w:rsidRDefault="005946AD">
      <w:pPr>
        <w:spacing w:line="360" w:lineRule="auto"/>
        <w:jc w:val="both"/>
        <w:rPr>
          <w:sz w:val="22"/>
          <w:szCs w:val="22"/>
          <w:lang w:val="en-GB"/>
        </w:rPr>
      </w:pPr>
      <w:r w:rsidRPr="008A087E">
        <w:rPr>
          <w:noProof/>
          <w:sz w:val="22"/>
          <w:szCs w:val="22"/>
          <w:lang w:val="nb-NO" w:eastAsia="nb-NO"/>
        </w:rPr>
        <w:drawing>
          <wp:inline distT="0" distB="0" distL="0" distR="0" wp14:anchorId="57B5EB18" wp14:editId="7908C976">
            <wp:extent cx="8574702" cy="3412730"/>
            <wp:effectExtent l="0" t="9842" r="952" b="95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fig2.pn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666814" cy="3449391"/>
                    </a:xfrm>
                    <a:prstGeom prst="rect">
                      <a:avLst/>
                    </a:prstGeom>
                  </pic:spPr>
                </pic:pic>
              </a:graphicData>
            </a:graphic>
          </wp:inline>
        </w:drawing>
      </w:r>
    </w:p>
    <w:p w:rsidR="005946AD" w:rsidRPr="002A436C" w:rsidRDefault="005946AD">
      <w:pPr>
        <w:spacing w:line="360" w:lineRule="auto"/>
        <w:jc w:val="both"/>
        <w:outlineLvl w:val="0"/>
        <w:rPr>
          <w:b/>
          <w:sz w:val="22"/>
          <w:szCs w:val="22"/>
          <w:lang w:val="en-GB"/>
        </w:rPr>
      </w:pPr>
      <w:r w:rsidRPr="002A436C">
        <w:rPr>
          <w:b/>
          <w:sz w:val="22"/>
          <w:szCs w:val="22"/>
          <w:lang w:val="en-GB"/>
        </w:rPr>
        <w:t>Figure S3.</w:t>
      </w:r>
    </w:p>
    <w:p w:rsidR="005946AD" w:rsidRPr="002A436C" w:rsidRDefault="005946AD">
      <w:pPr>
        <w:spacing w:line="360" w:lineRule="auto"/>
        <w:jc w:val="both"/>
        <w:rPr>
          <w:b/>
          <w:sz w:val="22"/>
          <w:szCs w:val="22"/>
          <w:lang w:val="en-GB"/>
        </w:rPr>
      </w:pPr>
      <w:r w:rsidRPr="008A087E">
        <w:rPr>
          <w:b/>
          <w:noProof/>
          <w:sz w:val="22"/>
          <w:szCs w:val="22"/>
          <w:lang w:val="nb-NO" w:eastAsia="nb-NO"/>
        </w:rPr>
        <w:drawing>
          <wp:inline distT="0" distB="0" distL="0" distR="0" wp14:anchorId="6125BA96" wp14:editId="7F73FD1B">
            <wp:extent cx="8463465" cy="3368675"/>
            <wp:effectExtent l="7302" t="0" r="2223" b="2222"/>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S4Fvslnr.pn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484472" cy="3377037"/>
                    </a:xfrm>
                    <a:prstGeom prst="rect">
                      <a:avLst/>
                    </a:prstGeom>
                  </pic:spPr>
                </pic:pic>
              </a:graphicData>
            </a:graphic>
          </wp:inline>
        </w:drawing>
      </w:r>
    </w:p>
    <w:p w:rsidR="005946AD" w:rsidRPr="002A436C" w:rsidRDefault="005946AD">
      <w:pPr>
        <w:spacing w:line="360" w:lineRule="auto"/>
        <w:jc w:val="both"/>
        <w:outlineLvl w:val="0"/>
        <w:rPr>
          <w:b/>
          <w:sz w:val="22"/>
          <w:szCs w:val="22"/>
          <w:lang w:val="en-GB"/>
        </w:rPr>
      </w:pPr>
      <w:r w:rsidRPr="002A436C">
        <w:rPr>
          <w:b/>
          <w:sz w:val="22"/>
          <w:szCs w:val="22"/>
          <w:lang w:val="en-GB"/>
        </w:rPr>
        <w:t>Figure S4.</w:t>
      </w:r>
    </w:p>
    <w:p w:rsidR="005946AD" w:rsidRPr="002A436C" w:rsidRDefault="005946AD">
      <w:pPr>
        <w:spacing w:line="360" w:lineRule="auto"/>
        <w:jc w:val="both"/>
        <w:rPr>
          <w:b/>
          <w:sz w:val="22"/>
          <w:szCs w:val="22"/>
          <w:lang w:val="en-GB"/>
        </w:rPr>
      </w:pPr>
    </w:p>
    <w:p w:rsidR="005946AD" w:rsidRPr="002A436C" w:rsidRDefault="005946AD">
      <w:pPr>
        <w:spacing w:line="360" w:lineRule="auto"/>
        <w:jc w:val="both"/>
        <w:rPr>
          <w:sz w:val="22"/>
          <w:szCs w:val="22"/>
          <w:lang w:val="en-GB"/>
        </w:rPr>
      </w:pPr>
      <w:r w:rsidRPr="002A436C">
        <w:rPr>
          <w:b/>
          <w:sz w:val="22"/>
          <w:szCs w:val="22"/>
          <w:lang w:val="en-GB"/>
        </w:rPr>
        <w:t xml:space="preserve">Figure S4. </w:t>
      </w:r>
      <w:r w:rsidRPr="002A436C">
        <w:rPr>
          <w:sz w:val="22"/>
          <w:szCs w:val="22"/>
          <w:lang w:val="en-GB"/>
        </w:rPr>
        <w:t xml:space="preserve">Dynamic Force Spectra (DFS) plots of Force (pN) vs. Loading rate (pN/s) for sliding events for (a) α-CD and (b) β-CD over station 1; (c) α-CD and (d) β-CD over station 2; (e) α-CD and (f) β-CD over station 3; (g) α-CD over station 4 and (h) α-CD over station 5. Note the logarithmic scale of the </w:t>
      </w:r>
      <w:r w:rsidRPr="002A436C">
        <w:rPr>
          <w:i/>
          <w:sz w:val="22"/>
          <w:szCs w:val="22"/>
          <w:lang w:val="en-GB"/>
        </w:rPr>
        <w:t>x</w:t>
      </w:r>
      <w:r w:rsidRPr="002A436C">
        <w:rPr>
          <w:sz w:val="22"/>
          <w:szCs w:val="22"/>
          <w:lang w:val="en-GB"/>
        </w:rPr>
        <w:t>-axis. Open circles represent most probable rupture forces in intervals of loading rate, solid lines represent fits of equation S1 to the data.</w:t>
      </w:r>
    </w:p>
    <w:p w:rsidR="005946AD" w:rsidRPr="002A436C" w:rsidRDefault="005946AD">
      <w:pPr>
        <w:spacing w:line="360" w:lineRule="auto"/>
        <w:jc w:val="both"/>
        <w:rPr>
          <w:b/>
          <w:sz w:val="22"/>
          <w:szCs w:val="22"/>
          <w:lang w:val="en-GB"/>
        </w:rPr>
      </w:pPr>
    </w:p>
    <w:p w:rsidR="005946AD" w:rsidRPr="002A436C" w:rsidRDefault="005946AD">
      <w:pPr>
        <w:spacing w:line="360" w:lineRule="auto"/>
        <w:jc w:val="both"/>
        <w:outlineLvl w:val="0"/>
        <w:rPr>
          <w:b/>
          <w:sz w:val="22"/>
          <w:szCs w:val="22"/>
          <w:lang w:val="en-GB"/>
        </w:rPr>
      </w:pPr>
      <w:r w:rsidRPr="002A436C">
        <w:rPr>
          <w:b/>
          <w:sz w:val="22"/>
          <w:szCs w:val="22"/>
          <w:lang w:val="en-GB"/>
        </w:rPr>
        <w:t>1.2 Dynamic Force Spectroscopy Analysis</w:t>
      </w:r>
    </w:p>
    <w:p w:rsidR="005946AD" w:rsidRPr="002A436C" w:rsidRDefault="005946AD">
      <w:pPr>
        <w:spacing w:line="360" w:lineRule="auto"/>
        <w:jc w:val="both"/>
        <w:rPr>
          <w:sz w:val="22"/>
          <w:szCs w:val="22"/>
          <w:lang w:val="en-GB"/>
        </w:rPr>
      </w:pPr>
    </w:p>
    <w:p w:rsidR="005946AD" w:rsidRPr="002A436C" w:rsidRDefault="005946AD">
      <w:pPr>
        <w:spacing w:line="360" w:lineRule="auto"/>
        <w:jc w:val="both"/>
        <w:rPr>
          <w:sz w:val="22"/>
          <w:szCs w:val="22"/>
          <w:lang w:val="en-GB" w:bidi="en-US"/>
        </w:rPr>
      </w:pPr>
      <w:r w:rsidRPr="002A436C">
        <w:rPr>
          <w:sz w:val="22"/>
          <w:szCs w:val="22"/>
          <w:lang w:val="en-GB"/>
        </w:rPr>
        <w:t xml:space="preserve">The data selected by the above criteria was ordered by loading rate into bins of equal width and histograms of the rupture forces in each loading rate bin were fit by Gaussian distributions. The most probable rupture forces predicted by these Gaussian fits were then used to construct a dynamic force spectrum, as presented in </w:t>
      </w:r>
      <w:r w:rsidRPr="002A436C">
        <w:rPr>
          <w:b/>
          <w:sz w:val="22"/>
          <w:szCs w:val="22"/>
          <w:lang w:val="en-GB"/>
        </w:rPr>
        <w:t>Figure S4</w:t>
      </w:r>
      <w:r w:rsidRPr="002A436C">
        <w:rPr>
          <w:sz w:val="22"/>
          <w:szCs w:val="22"/>
          <w:lang w:val="en-GB"/>
        </w:rPr>
        <w:t xml:space="preserve">. This spectrum was then fit by the Friddle-Noy method [S5, S6] in order to extract values for the free parameters </w:t>
      </w:r>
      <w:r w:rsidRPr="002A436C">
        <w:rPr>
          <w:sz w:val="22"/>
          <w:szCs w:val="22"/>
          <w:lang w:val="en-GB" w:bidi="en-US"/>
        </w:rPr>
        <w:t>k</w:t>
      </w:r>
      <w:r w:rsidRPr="002A436C">
        <w:rPr>
          <w:sz w:val="22"/>
          <w:szCs w:val="22"/>
          <w:vertAlign w:val="subscript"/>
          <w:lang w:val="en-GB" w:bidi="en-US"/>
        </w:rPr>
        <w:t>off</w:t>
      </w:r>
      <w:r w:rsidRPr="002A436C">
        <w:rPr>
          <w:sz w:val="22"/>
          <w:szCs w:val="22"/>
          <w:lang w:val="en-GB" w:bidi="en-US"/>
        </w:rPr>
        <w:t xml:space="preserve"> and x</w:t>
      </w:r>
      <w:r w:rsidRPr="002A436C">
        <w:rPr>
          <w:sz w:val="22"/>
          <w:szCs w:val="22"/>
          <w:vertAlign w:val="subscript"/>
          <w:lang w:val="en-GB" w:bidi="en-US"/>
        </w:rPr>
        <w:t>t</w:t>
      </w:r>
      <w:r w:rsidRPr="002A436C">
        <w:rPr>
          <w:sz w:val="22"/>
          <w:szCs w:val="22"/>
          <w:lang w:val="en-GB" w:bidi="en-US"/>
        </w:rPr>
        <w:t xml:space="preserve"> (the intrinsic unbinding rate of the bond and the distance to the transition state, respectively) using equations S1 and S2, as well as a third parameter, the equilibrium force </w:t>
      </w:r>
      <w:r w:rsidRPr="002A436C">
        <w:rPr>
          <w:i/>
          <w:sz w:val="22"/>
          <w:szCs w:val="22"/>
          <w:lang w:val="en-GB" w:bidi="en-US"/>
        </w:rPr>
        <w:t>f</w:t>
      </w:r>
      <w:r w:rsidRPr="002A436C">
        <w:rPr>
          <w:sz w:val="22"/>
          <w:szCs w:val="22"/>
          <w:vertAlign w:val="subscript"/>
          <w:lang w:val="en-GB" w:bidi="en-US"/>
        </w:rPr>
        <w:t>eq</w:t>
      </w:r>
      <w:r w:rsidRPr="002A436C">
        <w:rPr>
          <w:sz w:val="22"/>
          <w:szCs w:val="22"/>
          <w:lang w:val="en-GB" w:bidi="en-US"/>
        </w:rPr>
        <w:t xml:space="preserve"> (the minimum force required to move the binding pair apart by the distance x</w:t>
      </w:r>
      <w:r w:rsidRPr="002A436C">
        <w:rPr>
          <w:sz w:val="22"/>
          <w:szCs w:val="22"/>
          <w:vertAlign w:val="subscript"/>
          <w:lang w:val="en-GB" w:bidi="en-US"/>
        </w:rPr>
        <w:t>t</w:t>
      </w:r>
      <w:r w:rsidRPr="002A436C">
        <w:rPr>
          <w:sz w:val="22"/>
          <w:szCs w:val="22"/>
          <w:lang w:val="en-GB" w:bidi="en-US"/>
        </w:rPr>
        <w:t xml:space="preserve">, beyond which they can no longer instantaneously rebind). From </w:t>
      </w:r>
      <w:r w:rsidRPr="002A436C">
        <w:rPr>
          <w:i/>
          <w:sz w:val="22"/>
          <w:szCs w:val="22"/>
          <w:lang w:val="en-GB" w:bidi="en-US"/>
        </w:rPr>
        <w:t>f</w:t>
      </w:r>
      <w:r w:rsidRPr="002A436C">
        <w:rPr>
          <w:sz w:val="22"/>
          <w:szCs w:val="22"/>
          <w:vertAlign w:val="subscript"/>
          <w:lang w:val="en-GB" w:bidi="en-US"/>
        </w:rPr>
        <w:t>eq</w:t>
      </w:r>
      <w:r w:rsidRPr="002A436C">
        <w:rPr>
          <w:sz w:val="22"/>
          <w:szCs w:val="22"/>
          <w:lang w:val="en-GB" w:bidi="en-US"/>
        </w:rPr>
        <w:t xml:space="preserve"> may be obtained ΔG</w:t>
      </w:r>
      <w:r w:rsidRPr="002A436C">
        <w:rPr>
          <w:sz w:val="22"/>
          <w:szCs w:val="22"/>
          <w:vertAlign w:val="subscript"/>
          <w:lang w:val="en-GB" w:bidi="en-US"/>
        </w:rPr>
        <w:t>bu</w:t>
      </w:r>
      <w:r w:rsidRPr="002A436C">
        <w:rPr>
          <w:sz w:val="22"/>
          <w:szCs w:val="22"/>
          <w:lang w:val="en-GB" w:bidi="en-US"/>
        </w:rPr>
        <w:t>, the free energy of unbinding, for the bond using equation S3 [S5, S6]. All fits to the data were carried out using OriginPro™ (OriginLab, ver. 8.0724).</w:t>
      </w:r>
    </w:p>
    <w:p w:rsidR="005946AD" w:rsidRPr="002A436C" w:rsidRDefault="005946AD">
      <w:pPr>
        <w:spacing w:line="360" w:lineRule="auto"/>
        <w:jc w:val="both"/>
        <w:rPr>
          <w:sz w:val="22"/>
          <w:szCs w:val="22"/>
          <w:lang w:val="en-GB" w:bidi="en-US"/>
        </w:rPr>
      </w:pPr>
    </w:p>
    <w:p w:rsidR="005946AD" w:rsidRPr="002A436C" w:rsidRDefault="002A436C" w:rsidP="002A436C">
      <w:pPr>
        <w:spacing w:line="360" w:lineRule="auto"/>
        <w:jc w:val="both"/>
        <w:rPr>
          <w:sz w:val="22"/>
          <w:szCs w:val="22"/>
          <w:lang w:val="en-GB" w:bidi="en-US"/>
        </w:rPr>
      </w:pPr>
      <m:oMath>
        <m:d>
          <m:dPr>
            <m:begChr m:val="〈"/>
            <m:endChr m:val="〉"/>
            <m:ctrlPr>
              <w:rPr>
                <w:rFonts w:ascii="Cambria Math" w:hAnsi="Cambria Math"/>
                <w:i/>
                <w:sz w:val="22"/>
                <w:szCs w:val="22"/>
                <w:lang w:val="en-GB" w:bidi="en-US"/>
              </w:rPr>
            </m:ctrlPr>
          </m:dPr>
          <m:e>
            <m:r>
              <w:rPr>
                <w:rFonts w:ascii="Cambria Math" w:hAnsi="Cambria Math"/>
                <w:sz w:val="22"/>
                <w:szCs w:val="22"/>
                <w:lang w:val="en-GB" w:bidi="en-US"/>
              </w:rPr>
              <m:t>f</m:t>
            </m:r>
          </m:e>
        </m:d>
        <m:r>
          <w:rPr>
            <w:rFonts w:ascii="Cambria Math" w:hAnsi="Cambria Math"/>
            <w:sz w:val="22"/>
            <w:szCs w:val="22"/>
            <w:lang w:val="en-GB" w:bidi="en-US"/>
          </w:rPr>
          <m:t xml:space="preserve"> ≅ </m:t>
        </m:r>
        <m:sSub>
          <m:sSubPr>
            <m:ctrlPr>
              <w:rPr>
                <w:rFonts w:ascii="Cambria Math" w:hAnsi="Cambria Math"/>
                <w:i/>
                <w:sz w:val="22"/>
                <w:szCs w:val="22"/>
                <w:lang w:val="en-GB" w:bidi="en-US"/>
              </w:rPr>
            </m:ctrlPr>
          </m:sSubPr>
          <m:e>
            <m:r>
              <w:rPr>
                <w:rFonts w:ascii="Cambria Math" w:hAnsi="Cambria Math"/>
                <w:sz w:val="22"/>
                <w:szCs w:val="22"/>
                <w:lang w:val="en-GB" w:bidi="en-US"/>
              </w:rPr>
              <m:t>f</m:t>
            </m:r>
          </m:e>
          <m:sub>
            <m:r>
              <w:rPr>
                <w:rFonts w:ascii="Cambria Math" w:hAnsi="Cambria Math"/>
                <w:sz w:val="22"/>
                <w:szCs w:val="22"/>
                <w:lang w:val="en-GB" w:bidi="en-US"/>
              </w:rPr>
              <m:t>eq</m:t>
            </m:r>
          </m:sub>
        </m:sSub>
        <m:r>
          <w:rPr>
            <w:rFonts w:ascii="Cambria Math" w:hAnsi="Cambria Math"/>
            <w:sz w:val="22"/>
            <w:szCs w:val="22"/>
            <w:lang w:val="en-GB" w:bidi="en-US"/>
          </w:rPr>
          <m:t xml:space="preserve"> + </m:t>
        </m:r>
        <m:sSub>
          <m:sSubPr>
            <m:ctrlPr>
              <w:rPr>
                <w:rFonts w:ascii="Cambria Math" w:hAnsi="Cambria Math"/>
                <w:i/>
                <w:sz w:val="22"/>
                <w:szCs w:val="22"/>
                <w:lang w:val="en-GB" w:bidi="en-US"/>
              </w:rPr>
            </m:ctrlPr>
          </m:sSubPr>
          <m:e>
            <m:r>
              <w:rPr>
                <w:rFonts w:ascii="Cambria Math" w:hAnsi="Cambria Math"/>
                <w:sz w:val="22"/>
                <w:szCs w:val="22"/>
                <w:lang w:val="en-GB" w:bidi="en-US"/>
              </w:rPr>
              <m:t>f</m:t>
            </m:r>
          </m:e>
          <m:sub>
            <m:r>
              <w:rPr>
                <w:rFonts w:ascii="Cambria Math" w:hAnsi="Cambria Math"/>
                <w:sz w:val="22"/>
                <w:szCs w:val="22"/>
                <w:lang w:val="en-GB" w:bidi="en-US"/>
              </w:rPr>
              <m:t>β</m:t>
            </m:r>
          </m:sub>
        </m:sSub>
        <m:r>
          <w:rPr>
            <w:rFonts w:ascii="Cambria Math" w:hAnsi="Cambria Math"/>
            <w:sz w:val="22"/>
            <w:szCs w:val="22"/>
            <w:lang w:val="en-GB" w:bidi="en-US"/>
          </w:rPr>
          <m:t xml:space="preserve">. </m:t>
        </m:r>
        <m:r>
          <w:rPr>
            <w:rFonts w:ascii="Cambria Math" w:hAnsi="Cambria Math"/>
            <w:sz w:val="22"/>
            <w:szCs w:val="22"/>
            <w:lang w:val="en-GB" w:bidi="en-US"/>
          </w:rPr>
          <m:t>ln</m:t>
        </m:r>
        <m:d>
          <m:dPr>
            <m:ctrlPr>
              <w:rPr>
                <w:rFonts w:ascii="Cambria Math" w:hAnsi="Cambria Math"/>
                <w:i/>
                <w:sz w:val="22"/>
                <w:szCs w:val="22"/>
                <w:lang w:val="en-GB" w:bidi="en-US"/>
              </w:rPr>
            </m:ctrlPr>
          </m:dPr>
          <m:e>
            <m:r>
              <w:rPr>
                <w:rFonts w:ascii="Cambria Math" w:hAnsi="Cambria Math"/>
                <w:sz w:val="22"/>
                <w:szCs w:val="22"/>
                <w:lang w:val="en-GB" w:bidi="en-US"/>
              </w:rPr>
              <m:t xml:space="preserve">1 + </m:t>
            </m:r>
            <m:sSup>
              <m:sSupPr>
                <m:ctrlPr>
                  <w:rPr>
                    <w:rFonts w:ascii="Cambria Math" w:hAnsi="Cambria Math"/>
                    <w:i/>
                    <w:sz w:val="22"/>
                    <w:szCs w:val="22"/>
                    <w:lang w:val="en-GB" w:bidi="en-US"/>
                  </w:rPr>
                </m:ctrlPr>
              </m:sSupPr>
              <m:e>
                <m:r>
                  <w:rPr>
                    <w:rFonts w:ascii="Cambria Math" w:hAnsi="Cambria Math"/>
                    <w:sz w:val="22"/>
                    <w:szCs w:val="22"/>
                    <w:lang w:val="en-GB" w:bidi="en-US"/>
                  </w:rPr>
                  <m:t>e</m:t>
                </m:r>
              </m:e>
              <m:sup>
                <m:r>
                  <w:rPr>
                    <w:rFonts w:ascii="Cambria Math" w:hAnsi="Cambria Math"/>
                    <w:sz w:val="22"/>
                    <w:szCs w:val="22"/>
                    <w:lang w:val="en-GB" w:bidi="en-US"/>
                  </w:rPr>
                  <m:t>-</m:t>
                </m:r>
                <m:r>
                  <w:rPr>
                    <w:rFonts w:ascii="Cambria Math" w:hAnsi="Cambria Math"/>
                    <w:sz w:val="22"/>
                    <w:szCs w:val="22"/>
                    <w:lang w:val="en-GB" w:bidi="en-US"/>
                  </w:rPr>
                  <m:t>γ</m:t>
                </m:r>
              </m:sup>
            </m:sSup>
            <m:r>
              <w:rPr>
                <w:rFonts w:ascii="Cambria Math" w:hAnsi="Cambria Math"/>
                <w:sz w:val="22"/>
                <w:szCs w:val="22"/>
                <w:lang w:val="en-GB" w:bidi="en-US"/>
              </w:rPr>
              <m:t>.</m:t>
            </m:r>
            <m:f>
              <m:fPr>
                <m:ctrlPr>
                  <w:rPr>
                    <w:rFonts w:ascii="Cambria Math" w:hAnsi="Cambria Math"/>
                    <w:i/>
                    <w:sz w:val="22"/>
                    <w:szCs w:val="22"/>
                    <w:lang w:val="en-GB" w:bidi="en-US"/>
                  </w:rPr>
                </m:ctrlPr>
              </m:fPr>
              <m:num>
                <m:r>
                  <w:rPr>
                    <w:rFonts w:ascii="Cambria Math" w:hAnsi="Cambria Math"/>
                    <w:sz w:val="22"/>
                    <w:szCs w:val="22"/>
                    <w:lang w:val="en-GB" w:bidi="en-US"/>
                  </w:rPr>
                  <m:t>r</m:t>
                </m:r>
              </m:num>
              <m:den>
                <m:sSub>
                  <m:sSubPr>
                    <m:ctrlPr>
                      <w:rPr>
                        <w:rFonts w:ascii="Cambria Math" w:hAnsi="Cambria Math"/>
                        <w:i/>
                        <w:sz w:val="22"/>
                        <w:szCs w:val="22"/>
                        <w:lang w:val="en-GB" w:bidi="en-US"/>
                      </w:rPr>
                    </m:ctrlPr>
                  </m:sSubPr>
                  <m:e>
                    <m:r>
                      <w:rPr>
                        <w:rFonts w:ascii="Cambria Math" w:hAnsi="Cambria Math"/>
                        <w:sz w:val="22"/>
                        <w:szCs w:val="22"/>
                        <w:lang w:val="en-GB" w:bidi="en-US"/>
                      </w:rPr>
                      <m:t>f</m:t>
                    </m:r>
                  </m:e>
                  <m:sub>
                    <m:r>
                      <w:rPr>
                        <w:rFonts w:ascii="Cambria Math" w:hAnsi="Cambria Math"/>
                        <w:sz w:val="22"/>
                        <w:szCs w:val="22"/>
                        <w:lang w:val="en-GB" w:bidi="en-US"/>
                      </w:rPr>
                      <m:t>β</m:t>
                    </m:r>
                  </m:sub>
                </m:sSub>
                <m:r>
                  <w:rPr>
                    <w:rFonts w:ascii="Cambria Math" w:hAnsi="Cambria Math"/>
                    <w:sz w:val="22"/>
                    <w:szCs w:val="22"/>
                    <w:lang w:val="en-GB" w:bidi="en-US"/>
                  </w:rPr>
                  <m:t>.</m:t>
                </m:r>
                <m:sSub>
                  <m:sSubPr>
                    <m:ctrlPr>
                      <w:rPr>
                        <w:rFonts w:ascii="Cambria Math" w:hAnsi="Cambria Math"/>
                        <w:i/>
                        <w:sz w:val="22"/>
                        <w:szCs w:val="22"/>
                        <w:lang w:val="en-GB" w:bidi="en-US"/>
                      </w:rPr>
                    </m:ctrlPr>
                  </m:sSubPr>
                  <m:e>
                    <m:r>
                      <w:rPr>
                        <w:rFonts w:ascii="Cambria Math" w:hAnsi="Cambria Math"/>
                        <w:sz w:val="22"/>
                        <w:szCs w:val="22"/>
                        <w:lang w:val="en-GB" w:bidi="en-US"/>
                      </w:rPr>
                      <m:t>k</m:t>
                    </m:r>
                  </m:e>
                  <m:sub>
                    <m:r>
                      <w:rPr>
                        <w:rFonts w:ascii="Cambria Math" w:hAnsi="Cambria Math"/>
                        <w:sz w:val="22"/>
                        <w:szCs w:val="22"/>
                        <w:lang w:val="en-GB" w:bidi="en-US"/>
                      </w:rPr>
                      <m:t>u</m:t>
                    </m:r>
                    <m:r>
                      <w:rPr>
                        <w:rFonts w:ascii="Cambria Math" w:hAnsi="Cambria Math"/>
                        <w:sz w:val="22"/>
                        <w:szCs w:val="22"/>
                        <w:lang w:val="en-GB" w:bidi="en-US"/>
                      </w:rPr>
                      <m:t>(</m:t>
                    </m:r>
                    <m:r>
                      <w:rPr>
                        <w:rFonts w:ascii="Cambria Math" w:hAnsi="Cambria Math"/>
                        <w:sz w:val="22"/>
                        <w:szCs w:val="22"/>
                        <w:lang w:val="en-GB" w:bidi="en-US"/>
                      </w:rPr>
                      <m:t>f</m:t>
                    </m:r>
                    <m:r>
                      <w:rPr>
                        <w:rFonts w:ascii="Cambria Math" w:hAnsi="Cambria Math"/>
                        <w:sz w:val="22"/>
                        <w:szCs w:val="22"/>
                        <w:lang w:val="en-GB" w:bidi="en-US"/>
                      </w:rPr>
                      <m:t>)</m:t>
                    </m:r>
                  </m:sub>
                </m:sSub>
              </m:den>
            </m:f>
          </m:e>
        </m:d>
      </m:oMath>
      <w:r w:rsidR="005946AD" w:rsidRPr="002A436C">
        <w:rPr>
          <w:sz w:val="22"/>
          <w:szCs w:val="22"/>
          <w:lang w:val="en-GB" w:bidi="en-US"/>
        </w:rPr>
        <w:tab/>
      </w:r>
      <w:r w:rsidR="005946AD" w:rsidRPr="002A436C">
        <w:rPr>
          <w:sz w:val="22"/>
          <w:szCs w:val="22"/>
          <w:lang w:val="en-GB" w:bidi="en-US"/>
        </w:rPr>
        <w:tab/>
      </w:r>
      <w:r w:rsidR="005946AD" w:rsidRPr="002A436C">
        <w:rPr>
          <w:sz w:val="22"/>
          <w:szCs w:val="22"/>
          <w:lang w:val="en-GB" w:bidi="en-US"/>
        </w:rPr>
        <w:tab/>
      </w:r>
      <w:r w:rsidR="005946AD" w:rsidRPr="002A436C">
        <w:rPr>
          <w:sz w:val="22"/>
          <w:szCs w:val="22"/>
          <w:lang w:val="en-GB" w:bidi="en-US"/>
        </w:rPr>
        <w:tab/>
        <w:t>(S1)</w:t>
      </w:r>
    </w:p>
    <w:p w:rsidR="005946AD" w:rsidRPr="002A436C" w:rsidRDefault="005946AD">
      <w:pPr>
        <w:spacing w:line="360" w:lineRule="auto"/>
        <w:jc w:val="both"/>
        <w:rPr>
          <w:sz w:val="22"/>
          <w:szCs w:val="22"/>
          <w:lang w:val="en-GB" w:bidi="en-US"/>
        </w:rPr>
      </w:pPr>
    </w:p>
    <w:p w:rsidR="005946AD" w:rsidRPr="002A436C" w:rsidRDefault="005946AD">
      <w:pPr>
        <w:spacing w:line="360" w:lineRule="auto"/>
        <w:jc w:val="both"/>
        <w:rPr>
          <w:sz w:val="22"/>
          <w:szCs w:val="22"/>
          <w:lang w:val="en-GB" w:bidi="en-US"/>
        </w:rPr>
      </w:pPr>
      <w:r w:rsidRPr="002A436C">
        <w:rPr>
          <w:sz w:val="22"/>
          <w:szCs w:val="22"/>
          <w:lang w:val="en-GB" w:bidi="en-US"/>
        </w:rPr>
        <w:t>Here &lt;</w:t>
      </w:r>
      <w:r w:rsidRPr="002A436C">
        <w:rPr>
          <w:i/>
          <w:sz w:val="22"/>
          <w:szCs w:val="22"/>
          <w:lang w:val="en-GB" w:bidi="en-US"/>
        </w:rPr>
        <w:t>f</w:t>
      </w:r>
      <w:r w:rsidRPr="002A436C">
        <w:rPr>
          <w:sz w:val="22"/>
          <w:szCs w:val="22"/>
          <w:lang w:val="en-GB" w:bidi="en-US"/>
        </w:rPr>
        <w:t xml:space="preserve">&gt; is the mean rupture force, </w:t>
      </w:r>
      <w:r w:rsidRPr="002A436C">
        <w:rPr>
          <w:i/>
          <w:sz w:val="22"/>
          <w:szCs w:val="22"/>
          <w:lang w:val="en-GB" w:bidi="en-US"/>
        </w:rPr>
        <w:t>f</w:t>
      </w:r>
      <w:r w:rsidRPr="002A436C">
        <w:rPr>
          <w:sz w:val="22"/>
          <w:szCs w:val="22"/>
          <w:vertAlign w:val="subscript"/>
          <w:lang w:val="en-GB" w:bidi="en-US"/>
        </w:rPr>
        <w:t>β</w:t>
      </w:r>
      <w:r w:rsidRPr="002A436C">
        <w:rPr>
          <w:sz w:val="22"/>
          <w:szCs w:val="22"/>
          <w:lang w:val="en-GB" w:bidi="en-US"/>
        </w:rPr>
        <w:t xml:space="preserve"> = k</w:t>
      </w:r>
      <w:r w:rsidRPr="002A436C">
        <w:rPr>
          <w:sz w:val="22"/>
          <w:szCs w:val="22"/>
          <w:vertAlign w:val="subscript"/>
          <w:lang w:val="en-GB" w:bidi="en-US"/>
        </w:rPr>
        <w:t>B</w:t>
      </w:r>
      <w:r w:rsidRPr="002A436C">
        <w:rPr>
          <w:sz w:val="22"/>
          <w:szCs w:val="22"/>
          <w:lang w:val="en-GB" w:bidi="en-US"/>
        </w:rPr>
        <w:t>T/x</w:t>
      </w:r>
      <w:r w:rsidRPr="002A436C">
        <w:rPr>
          <w:sz w:val="22"/>
          <w:szCs w:val="22"/>
          <w:vertAlign w:val="subscript"/>
          <w:lang w:val="en-GB" w:bidi="en-US"/>
        </w:rPr>
        <w:t>t</w:t>
      </w:r>
      <w:r w:rsidRPr="002A436C">
        <w:rPr>
          <w:sz w:val="22"/>
          <w:szCs w:val="22"/>
          <w:lang w:val="en-GB" w:bidi="en-US"/>
        </w:rPr>
        <w:t xml:space="preserve"> is the thermal force scale, k</w:t>
      </w:r>
      <w:r w:rsidRPr="002A436C">
        <w:rPr>
          <w:sz w:val="22"/>
          <w:szCs w:val="22"/>
          <w:vertAlign w:val="subscript"/>
          <w:lang w:val="en-GB" w:bidi="en-US"/>
        </w:rPr>
        <w:t>B</w:t>
      </w:r>
      <w:r w:rsidRPr="002A436C">
        <w:rPr>
          <w:sz w:val="22"/>
          <w:szCs w:val="22"/>
          <w:lang w:val="en-GB" w:bidi="en-US"/>
        </w:rPr>
        <w:t>T is the Boltzmann constant multiplied by the temperature, γ = 0.577… is Euler’s constant and r is the loading rate. Values of the parameters x</w:t>
      </w:r>
      <w:r w:rsidRPr="002A436C">
        <w:rPr>
          <w:sz w:val="22"/>
          <w:szCs w:val="22"/>
          <w:vertAlign w:val="subscript"/>
          <w:lang w:val="en-GB" w:bidi="en-US"/>
        </w:rPr>
        <w:t>t</w:t>
      </w:r>
      <w:r w:rsidRPr="002A436C">
        <w:rPr>
          <w:sz w:val="22"/>
          <w:szCs w:val="22"/>
          <w:lang w:val="en-GB" w:bidi="en-US"/>
        </w:rPr>
        <w:t>, k</w:t>
      </w:r>
      <w:r w:rsidRPr="002A436C">
        <w:rPr>
          <w:sz w:val="22"/>
          <w:szCs w:val="22"/>
          <w:vertAlign w:val="subscript"/>
          <w:lang w:val="en-GB" w:bidi="en-US"/>
        </w:rPr>
        <w:t xml:space="preserve">u(f) </w:t>
      </w:r>
      <w:r w:rsidRPr="002A436C">
        <w:rPr>
          <w:sz w:val="22"/>
          <w:szCs w:val="22"/>
          <w:lang w:val="en-GB" w:bidi="en-US"/>
        </w:rPr>
        <w:t xml:space="preserve">(the unbinding constant at </w:t>
      </w:r>
      <w:r w:rsidRPr="002A436C">
        <w:rPr>
          <w:i/>
          <w:sz w:val="22"/>
          <w:szCs w:val="22"/>
          <w:lang w:val="en-GB" w:bidi="en-US"/>
        </w:rPr>
        <w:t>f</w:t>
      </w:r>
      <w:r w:rsidRPr="002A436C">
        <w:rPr>
          <w:sz w:val="22"/>
          <w:szCs w:val="22"/>
          <w:lang w:val="en-GB" w:bidi="en-US"/>
        </w:rPr>
        <w:t xml:space="preserve">) and </w:t>
      </w:r>
      <w:r w:rsidRPr="002A436C">
        <w:rPr>
          <w:i/>
          <w:sz w:val="22"/>
          <w:szCs w:val="22"/>
          <w:lang w:val="en-GB" w:bidi="en-US"/>
        </w:rPr>
        <w:t>f</w:t>
      </w:r>
      <w:r w:rsidRPr="002A436C">
        <w:rPr>
          <w:sz w:val="22"/>
          <w:szCs w:val="22"/>
          <w:vertAlign w:val="subscript"/>
          <w:lang w:val="en-GB" w:bidi="en-US"/>
        </w:rPr>
        <w:t>eq</w:t>
      </w:r>
      <w:r w:rsidRPr="002A436C">
        <w:rPr>
          <w:sz w:val="22"/>
          <w:szCs w:val="22"/>
          <w:lang w:val="en-GB" w:bidi="en-US"/>
        </w:rPr>
        <w:t xml:space="preserve"> were obtained from the fit of equation S1 to the data, while k</w:t>
      </w:r>
      <w:r w:rsidRPr="002A436C">
        <w:rPr>
          <w:sz w:val="22"/>
          <w:szCs w:val="22"/>
          <w:vertAlign w:val="subscript"/>
          <w:lang w:val="en-GB" w:bidi="en-US"/>
        </w:rPr>
        <w:t>off</w:t>
      </w:r>
      <w:r w:rsidRPr="002A436C">
        <w:rPr>
          <w:sz w:val="22"/>
          <w:szCs w:val="22"/>
          <w:lang w:val="en-GB" w:bidi="en-US"/>
        </w:rPr>
        <w:t xml:space="preserve"> was obtained from the value of k</w:t>
      </w:r>
      <w:r w:rsidRPr="002A436C">
        <w:rPr>
          <w:sz w:val="22"/>
          <w:szCs w:val="22"/>
          <w:vertAlign w:val="subscript"/>
          <w:lang w:val="en-GB" w:bidi="en-US"/>
        </w:rPr>
        <w:t>u(f)</w:t>
      </w:r>
      <w:r w:rsidRPr="002A436C">
        <w:rPr>
          <w:sz w:val="22"/>
          <w:szCs w:val="22"/>
          <w:lang w:val="en-GB" w:bidi="en-US"/>
        </w:rPr>
        <w:t xml:space="preserve"> and equation S2:</w:t>
      </w:r>
    </w:p>
    <w:p w:rsidR="005946AD" w:rsidRPr="002A436C" w:rsidRDefault="005946AD">
      <w:pPr>
        <w:spacing w:line="360" w:lineRule="auto"/>
        <w:jc w:val="both"/>
        <w:rPr>
          <w:sz w:val="22"/>
          <w:szCs w:val="22"/>
          <w:lang w:val="en-GB" w:bidi="en-US"/>
        </w:rPr>
      </w:pPr>
    </w:p>
    <w:p w:rsidR="005946AD" w:rsidRPr="002A436C" w:rsidRDefault="002A436C" w:rsidP="002A436C">
      <w:pPr>
        <w:spacing w:line="360" w:lineRule="auto"/>
        <w:jc w:val="both"/>
        <w:rPr>
          <w:sz w:val="22"/>
          <w:szCs w:val="22"/>
          <w:lang w:val="en-GB" w:bidi="en-US"/>
        </w:rPr>
      </w:pPr>
      <m:oMath>
        <m:sSub>
          <m:sSubPr>
            <m:ctrlPr>
              <w:rPr>
                <w:rFonts w:ascii="Cambria Math" w:hAnsi="Cambria Math"/>
                <w:i/>
                <w:sz w:val="22"/>
                <w:szCs w:val="22"/>
                <w:lang w:val="en-GB" w:bidi="en-US"/>
              </w:rPr>
            </m:ctrlPr>
          </m:sSubPr>
          <m:e>
            <m:r>
              <w:rPr>
                <w:rFonts w:ascii="Cambria Math" w:hAnsi="Cambria Math"/>
                <w:sz w:val="22"/>
                <w:szCs w:val="22"/>
                <w:lang w:val="en-GB" w:bidi="en-US"/>
              </w:rPr>
              <m:t>k</m:t>
            </m:r>
          </m:e>
          <m:sub>
            <m:r>
              <w:rPr>
                <w:rFonts w:ascii="Cambria Math" w:hAnsi="Cambria Math"/>
                <w:sz w:val="22"/>
                <w:szCs w:val="22"/>
                <w:lang w:val="en-GB" w:bidi="en-US"/>
              </w:rPr>
              <m:t>off</m:t>
            </m:r>
          </m:sub>
        </m:sSub>
        <m:r>
          <w:rPr>
            <w:rFonts w:ascii="Cambria Math" w:hAnsi="Cambria Math"/>
            <w:sz w:val="22"/>
            <w:szCs w:val="22"/>
            <w:lang w:val="en-GB" w:bidi="en-US"/>
          </w:rPr>
          <m:t xml:space="preserve"> = </m:t>
        </m:r>
        <m:f>
          <m:fPr>
            <m:type m:val="skw"/>
            <m:ctrlPr>
              <w:rPr>
                <w:rFonts w:ascii="Cambria Math" w:hAnsi="Cambria Math"/>
                <w:i/>
                <w:sz w:val="22"/>
                <w:szCs w:val="22"/>
                <w:lang w:val="en-GB" w:bidi="en-US"/>
              </w:rPr>
            </m:ctrlPr>
          </m:fPr>
          <m:num>
            <m:sSub>
              <m:sSubPr>
                <m:ctrlPr>
                  <w:rPr>
                    <w:rFonts w:ascii="Cambria Math" w:hAnsi="Cambria Math"/>
                    <w:i/>
                    <w:sz w:val="22"/>
                    <w:szCs w:val="22"/>
                    <w:lang w:val="en-GB" w:bidi="en-US"/>
                  </w:rPr>
                </m:ctrlPr>
              </m:sSubPr>
              <m:e>
                <m:r>
                  <w:rPr>
                    <w:rFonts w:ascii="Cambria Math" w:hAnsi="Cambria Math"/>
                    <w:sz w:val="22"/>
                    <w:szCs w:val="22"/>
                    <w:lang w:val="en-GB" w:bidi="en-US"/>
                  </w:rPr>
                  <m:t>k</m:t>
                </m:r>
              </m:e>
              <m:sub>
                <m:r>
                  <w:rPr>
                    <w:rFonts w:ascii="Cambria Math" w:hAnsi="Cambria Math"/>
                    <w:sz w:val="22"/>
                    <w:szCs w:val="22"/>
                    <w:lang w:val="en-GB" w:bidi="en-US"/>
                  </w:rPr>
                  <m:t>u</m:t>
                </m:r>
                <m:r>
                  <w:rPr>
                    <w:rFonts w:ascii="Cambria Math" w:hAnsi="Cambria Math"/>
                    <w:sz w:val="22"/>
                    <w:szCs w:val="22"/>
                    <w:lang w:val="en-GB" w:bidi="en-US"/>
                  </w:rPr>
                  <m:t>(</m:t>
                </m:r>
                <m:r>
                  <w:rPr>
                    <w:rFonts w:ascii="Cambria Math" w:hAnsi="Cambria Math"/>
                    <w:sz w:val="22"/>
                    <w:szCs w:val="22"/>
                    <w:lang w:val="en-GB" w:bidi="en-US"/>
                  </w:rPr>
                  <m:t>f</m:t>
                </m:r>
                <m:r>
                  <w:rPr>
                    <w:rFonts w:ascii="Cambria Math" w:hAnsi="Cambria Math"/>
                    <w:sz w:val="22"/>
                    <w:szCs w:val="22"/>
                    <w:lang w:val="en-GB" w:bidi="en-US"/>
                  </w:rPr>
                  <m:t>)</m:t>
                </m:r>
              </m:sub>
            </m:sSub>
          </m:num>
          <m:den>
            <m:r>
              <w:rPr>
                <w:rFonts w:ascii="Cambria Math" w:hAnsi="Cambria Math"/>
                <w:sz w:val="22"/>
                <w:szCs w:val="22"/>
                <w:lang w:val="en-GB" w:bidi="en-US"/>
              </w:rPr>
              <m:t>exp</m:t>
            </m:r>
            <m:d>
              <m:dPr>
                <m:begChr m:val="["/>
                <m:endChr m:val="]"/>
                <m:ctrlPr>
                  <w:rPr>
                    <w:rFonts w:ascii="Cambria Math" w:hAnsi="Cambria Math"/>
                    <w:i/>
                    <w:sz w:val="22"/>
                    <w:szCs w:val="22"/>
                    <w:lang w:val="en-GB" w:bidi="en-US"/>
                  </w:rPr>
                </m:ctrlPr>
              </m:dPr>
              <m:e>
                <m:f>
                  <m:fPr>
                    <m:ctrlPr>
                      <w:rPr>
                        <w:rFonts w:ascii="Cambria Math" w:hAnsi="Cambria Math"/>
                        <w:i/>
                        <w:sz w:val="22"/>
                        <w:szCs w:val="22"/>
                        <w:lang w:val="en-GB" w:bidi="en-US"/>
                      </w:rPr>
                    </m:ctrlPr>
                  </m:fPr>
                  <m:num>
                    <m:d>
                      <m:dPr>
                        <m:ctrlPr>
                          <w:rPr>
                            <w:rFonts w:ascii="Cambria Math" w:hAnsi="Cambria Math"/>
                            <w:i/>
                            <w:sz w:val="22"/>
                            <w:szCs w:val="22"/>
                            <w:lang w:val="en-GB" w:bidi="en-US"/>
                          </w:rPr>
                        </m:ctrlPr>
                      </m:dPr>
                      <m:e>
                        <m:sSub>
                          <m:sSubPr>
                            <m:ctrlPr>
                              <w:rPr>
                                <w:rFonts w:ascii="Cambria Math" w:hAnsi="Cambria Math"/>
                                <w:i/>
                                <w:sz w:val="22"/>
                                <w:szCs w:val="22"/>
                                <w:lang w:val="en-GB" w:bidi="en-US"/>
                              </w:rPr>
                            </m:ctrlPr>
                          </m:sSubPr>
                          <m:e>
                            <m:r>
                              <w:rPr>
                                <w:rFonts w:ascii="Cambria Math" w:hAnsi="Cambria Math"/>
                                <w:sz w:val="22"/>
                                <w:szCs w:val="22"/>
                                <w:lang w:val="en-GB" w:bidi="en-US"/>
                              </w:rPr>
                              <m:t>f</m:t>
                            </m:r>
                          </m:e>
                          <m:sub>
                            <m:r>
                              <w:rPr>
                                <w:rFonts w:ascii="Cambria Math" w:hAnsi="Cambria Math"/>
                                <w:sz w:val="22"/>
                                <w:szCs w:val="22"/>
                                <w:lang w:val="en-GB" w:bidi="en-US"/>
                              </w:rPr>
                              <m:t>eq</m:t>
                            </m:r>
                          </m:sub>
                        </m:sSub>
                        <m:r>
                          <w:rPr>
                            <w:rFonts w:ascii="Cambria Math" w:hAnsi="Cambria Math"/>
                            <w:sz w:val="22"/>
                            <w:szCs w:val="22"/>
                            <w:lang w:val="en-GB" w:bidi="en-US"/>
                          </w:rPr>
                          <m:t xml:space="preserve"> - </m:t>
                        </m:r>
                        <m:f>
                          <m:fPr>
                            <m:ctrlPr>
                              <w:rPr>
                                <w:rFonts w:ascii="Cambria Math" w:hAnsi="Cambria Math"/>
                                <w:i/>
                                <w:sz w:val="22"/>
                                <w:szCs w:val="22"/>
                                <w:lang w:val="en-GB" w:bidi="en-US"/>
                              </w:rPr>
                            </m:ctrlPr>
                          </m:fPr>
                          <m:num>
                            <m:r>
                              <w:rPr>
                                <w:rFonts w:ascii="Cambria Math" w:hAnsi="Cambria Math"/>
                                <w:sz w:val="22"/>
                                <w:szCs w:val="22"/>
                                <w:lang w:val="en-GB" w:bidi="en-US"/>
                              </w:rPr>
                              <m:t>1</m:t>
                            </m:r>
                          </m:num>
                          <m:den>
                            <m:r>
                              <w:rPr>
                                <w:rFonts w:ascii="Cambria Math" w:hAnsi="Cambria Math"/>
                                <w:sz w:val="22"/>
                                <w:szCs w:val="22"/>
                                <w:lang w:val="en-GB" w:bidi="en-US"/>
                              </w:rPr>
                              <m:t>2</m:t>
                            </m:r>
                          </m:den>
                        </m:f>
                        <m:sSub>
                          <m:sSubPr>
                            <m:ctrlPr>
                              <w:rPr>
                                <w:rFonts w:ascii="Cambria Math" w:hAnsi="Cambria Math"/>
                                <w:i/>
                                <w:sz w:val="22"/>
                                <w:szCs w:val="22"/>
                                <w:lang w:val="en-GB" w:bidi="en-US"/>
                              </w:rPr>
                            </m:ctrlPr>
                          </m:sSubPr>
                          <m:e>
                            <m:r>
                              <w:rPr>
                                <w:rFonts w:ascii="Cambria Math" w:hAnsi="Cambria Math"/>
                                <w:sz w:val="22"/>
                                <w:szCs w:val="22"/>
                                <w:lang w:val="en-GB" w:bidi="en-US"/>
                              </w:rPr>
                              <m:t>k</m:t>
                            </m:r>
                          </m:e>
                          <m:sub>
                            <m:r>
                              <w:rPr>
                                <w:rFonts w:ascii="Cambria Math" w:hAnsi="Cambria Math"/>
                                <w:sz w:val="22"/>
                                <w:szCs w:val="22"/>
                                <w:lang w:val="en-GB" w:bidi="en-US"/>
                              </w:rPr>
                              <m:t>eff</m:t>
                            </m:r>
                            <m:r>
                              <w:rPr>
                                <w:rFonts w:ascii="Cambria Math" w:hAnsi="Cambria Math"/>
                                <w:sz w:val="22"/>
                                <w:szCs w:val="22"/>
                                <w:lang w:val="en-GB" w:bidi="en-US"/>
                              </w:rPr>
                              <m:t>.</m:t>
                            </m:r>
                          </m:sub>
                        </m:sSub>
                        <m:sSub>
                          <m:sSubPr>
                            <m:ctrlPr>
                              <w:rPr>
                                <w:rFonts w:ascii="Cambria Math" w:hAnsi="Cambria Math"/>
                                <w:i/>
                                <w:sz w:val="22"/>
                                <w:szCs w:val="22"/>
                                <w:lang w:val="en-GB" w:bidi="en-US"/>
                              </w:rPr>
                            </m:ctrlPr>
                          </m:sSubPr>
                          <m:e>
                            <m:r>
                              <w:rPr>
                                <w:rFonts w:ascii="Cambria Math" w:hAnsi="Cambria Math"/>
                                <w:sz w:val="22"/>
                                <w:szCs w:val="22"/>
                                <w:lang w:val="en-GB" w:bidi="en-US"/>
                              </w:rPr>
                              <m:t>x</m:t>
                            </m:r>
                          </m:e>
                          <m:sub>
                            <m:r>
                              <w:rPr>
                                <w:rFonts w:ascii="Cambria Math" w:hAnsi="Cambria Math"/>
                                <w:sz w:val="22"/>
                                <w:szCs w:val="22"/>
                                <w:lang w:val="en-GB" w:bidi="en-US"/>
                              </w:rPr>
                              <m:t>t</m:t>
                            </m:r>
                          </m:sub>
                        </m:sSub>
                      </m:e>
                    </m:d>
                  </m:num>
                  <m:den>
                    <m:sSub>
                      <m:sSubPr>
                        <m:ctrlPr>
                          <w:rPr>
                            <w:rFonts w:ascii="Cambria Math" w:hAnsi="Cambria Math"/>
                            <w:i/>
                            <w:sz w:val="22"/>
                            <w:szCs w:val="22"/>
                            <w:lang w:val="en-GB" w:bidi="en-US"/>
                          </w:rPr>
                        </m:ctrlPr>
                      </m:sSubPr>
                      <m:e>
                        <m:r>
                          <w:rPr>
                            <w:rFonts w:ascii="Cambria Math" w:hAnsi="Cambria Math"/>
                            <w:sz w:val="22"/>
                            <w:szCs w:val="22"/>
                            <w:lang w:val="en-GB" w:bidi="en-US"/>
                          </w:rPr>
                          <m:t>f</m:t>
                        </m:r>
                      </m:e>
                      <m:sub>
                        <m:r>
                          <w:rPr>
                            <w:rFonts w:ascii="Cambria Math" w:hAnsi="Cambria Math"/>
                            <w:sz w:val="22"/>
                            <w:szCs w:val="22"/>
                            <w:lang w:val="en-GB" w:bidi="en-US"/>
                          </w:rPr>
                          <m:t>β</m:t>
                        </m:r>
                      </m:sub>
                    </m:sSub>
                  </m:den>
                </m:f>
              </m:e>
            </m:d>
          </m:den>
        </m:f>
      </m:oMath>
      <w:r w:rsidR="005946AD" w:rsidRPr="002A436C">
        <w:rPr>
          <w:sz w:val="22"/>
          <w:szCs w:val="22"/>
          <w:lang w:val="en-GB" w:bidi="en-US"/>
        </w:rPr>
        <w:tab/>
      </w:r>
      <w:r w:rsidR="005946AD" w:rsidRPr="002A436C">
        <w:rPr>
          <w:sz w:val="22"/>
          <w:szCs w:val="22"/>
          <w:lang w:val="en-GB" w:bidi="en-US"/>
        </w:rPr>
        <w:tab/>
      </w:r>
      <w:r w:rsidR="005946AD" w:rsidRPr="002A436C">
        <w:rPr>
          <w:sz w:val="22"/>
          <w:szCs w:val="22"/>
          <w:lang w:val="en-GB" w:bidi="en-US"/>
        </w:rPr>
        <w:tab/>
      </w:r>
      <w:r w:rsidR="005946AD" w:rsidRPr="002A436C">
        <w:rPr>
          <w:sz w:val="22"/>
          <w:szCs w:val="22"/>
          <w:lang w:val="en-GB" w:bidi="en-US"/>
        </w:rPr>
        <w:tab/>
        <w:t>(S2)</w:t>
      </w:r>
    </w:p>
    <w:p w:rsidR="005946AD" w:rsidRPr="002A436C" w:rsidRDefault="005946AD">
      <w:pPr>
        <w:spacing w:line="360" w:lineRule="auto"/>
        <w:jc w:val="both"/>
        <w:rPr>
          <w:sz w:val="22"/>
          <w:szCs w:val="22"/>
          <w:lang w:val="en-GB" w:bidi="en-US"/>
        </w:rPr>
      </w:pPr>
    </w:p>
    <w:p w:rsidR="005946AD" w:rsidRPr="002A436C" w:rsidRDefault="005946AD">
      <w:pPr>
        <w:spacing w:line="360" w:lineRule="auto"/>
        <w:jc w:val="both"/>
        <w:rPr>
          <w:sz w:val="22"/>
          <w:szCs w:val="22"/>
          <w:lang w:val="en-GB" w:bidi="en-US"/>
        </w:rPr>
      </w:pPr>
      <w:r w:rsidRPr="002A436C">
        <w:rPr>
          <w:sz w:val="22"/>
          <w:szCs w:val="22"/>
          <w:lang w:val="en-GB" w:bidi="en-US"/>
        </w:rPr>
        <w:t>where k</w:t>
      </w:r>
      <w:r w:rsidRPr="002A436C">
        <w:rPr>
          <w:sz w:val="22"/>
          <w:szCs w:val="22"/>
          <w:vertAlign w:val="subscript"/>
          <w:lang w:val="en-GB" w:bidi="en-US"/>
        </w:rPr>
        <w:t>eff</w:t>
      </w:r>
      <w:r w:rsidRPr="002A436C">
        <w:rPr>
          <w:sz w:val="22"/>
          <w:szCs w:val="22"/>
          <w:lang w:val="en-GB" w:bidi="en-US"/>
        </w:rPr>
        <w:t xml:space="preserve"> is the effective spring constant of the system comprising the cantilever stiffness k</w:t>
      </w:r>
      <w:r w:rsidRPr="002A436C">
        <w:rPr>
          <w:sz w:val="22"/>
          <w:szCs w:val="22"/>
          <w:vertAlign w:val="subscript"/>
          <w:lang w:val="en-GB" w:bidi="en-US"/>
        </w:rPr>
        <w:t>c</w:t>
      </w:r>
      <w:r w:rsidRPr="002A436C">
        <w:rPr>
          <w:sz w:val="22"/>
          <w:szCs w:val="22"/>
          <w:lang w:val="en-GB" w:bidi="en-US"/>
        </w:rPr>
        <w:t xml:space="preserve"> and the linker stiffness k</w:t>
      </w:r>
      <w:r w:rsidRPr="002A436C">
        <w:rPr>
          <w:sz w:val="22"/>
          <w:szCs w:val="22"/>
          <w:vertAlign w:val="subscript"/>
          <w:lang w:val="en-GB" w:bidi="en-US"/>
        </w:rPr>
        <w:t>l</w:t>
      </w:r>
      <w:r w:rsidRPr="002A436C">
        <w:rPr>
          <w:sz w:val="22"/>
          <w:szCs w:val="22"/>
          <w:lang w:val="en-GB" w:bidi="en-US"/>
        </w:rPr>
        <w:t>; k</w:t>
      </w:r>
      <w:r w:rsidRPr="002A436C">
        <w:rPr>
          <w:sz w:val="22"/>
          <w:szCs w:val="22"/>
          <w:vertAlign w:val="subscript"/>
          <w:lang w:val="en-GB" w:bidi="en-US"/>
        </w:rPr>
        <w:t>eff</w:t>
      </w:r>
      <w:r w:rsidRPr="002A436C">
        <w:rPr>
          <w:sz w:val="22"/>
          <w:szCs w:val="22"/>
          <w:lang w:val="en-GB" w:bidi="en-US"/>
        </w:rPr>
        <w:t xml:space="preserve"> = k</w:t>
      </w:r>
      <w:r w:rsidRPr="002A436C">
        <w:rPr>
          <w:sz w:val="22"/>
          <w:szCs w:val="22"/>
          <w:vertAlign w:val="subscript"/>
          <w:lang w:val="en-GB" w:bidi="en-US"/>
        </w:rPr>
        <w:t>c</w:t>
      </w:r>
      <w:r w:rsidRPr="002A436C">
        <w:rPr>
          <w:sz w:val="22"/>
          <w:szCs w:val="22"/>
          <w:lang w:val="en-GB" w:bidi="en-US"/>
        </w:rPr>
        <w:t>.k</w:t>
      </w:r>
      <w:r w:rsidRPr="002A436C">
        <w:rPr>
          <w:sz w:val="22"/>
          <w:szCs w:val="22"/>
          <w:vertAlign w:val="subscript"/>
          <w:lang w:val="en-GB" w:bidi="en-US"/>
        </w:rPr>
        <w:t>l</w:t>
      </w:r>
      <w:r w:rsidRPr="002A436C">
        <w:rPr>
          <w:sz w:val="22"/>
          <w:szCs w:val="22"/>
          <w:lang w:val="en-GB" w:bidi="en-US"/>
        </w:rPr>
        <w:t>/(k</w:t>
      </w:r>
      <w:r w:rsidRPr="002A436C">
        <w:rPr>
          <w:sz w:val="22"/>
          <w:szCs w:val="22"/>
          <w:vertAlign w:val="subscript"/>
          <w:lang w:val="en-GB" w:bidi="en-US"/>
        </w:rPr>
        <w:t>c</w:t>
      </w:r>
      <w:r w:rsidRPr="002A436C">
        <w:rPr>
          <w:sz w:val="22"/>
          <w:szCs w:val="22"/>
          <w:lang w:val="en-GB" w:bidi="en-US"/>
        </w:rPr>
        <w:t>+k</w:t>
      </w:r>
      <w:r w:rsidRPr="002A436C">
        <w:rPr>
          <w:sz w:val="22"/>
          <w:szCs w:val="22"/>
          <w:vertAlign w:val="subscript"/>
          <w:lang w:val="en-GB" w:bidi="en-US"/>
        </w:rPr>
        <w:t>l</w:t>
      </w:r>
      <w:r w:rsidRPr="002A436C">
        <w:rPr>
          <w:sz w:val="22"/>
          <w:szCs w:val="22"/>
          <w:lang w:val="en-GB" w:bidi="en-US"/>
        </w:rPr>
        <w:t>). A value of 0.067 Nm</w:t>
      </w:r>
      <w:r w:rsidRPr="002A436C">
        <w:rPr>
          <w:sz w:val="22"/>
          <w:szCs w:val="22"/>
          <w:vertAlign w:val="superscript"/>
          <w:lang w:val="en-GB" w:bidi="en-US"/>
        </w:rPr>
        <w:t>-1</w:t>
      </w:r>
      <w:r w:rsidRPr="002A436C">
        <w:rPr>
          <w:sz w:val="22"/>
          <w:szCs w:val="22"/>
          <w:lang w:val="en-GB" w:bidi="en-US"/>
        </w:rPr>
        <w:t xml:space="preserve"> was used for the linker stiffness [S3]. From the values of </w:t>
      </w:r>
      <w:r w:rsidRPr="002A436C">
        <w:rPr>
          <w:i/>
          <w:sz w:val="22"/>
          <w:szCs w:val="22"/>
          <w:lang w:val="en-GB" w:bidi="en-US"/>
        </w:rPr>
        <w:t>f</w:t>
      </w:r>
      <w:r w:rsidRPr="002A436C">
        <w:rPr>
          <w:sz w:val="22"/>
          <w:szCs w:val="22"/>
          <w:vertAlign w:val="subscript"/>
          <w:lang w:val="en-GB" w:bidi="en-US"/>
        </w:rPr>
        <w:t>eq</w:t>
      </w:r>
      <w:r w:rsidRPr="002A436C">
        <w:rPr>
          <w:sz w:val="22"/>
          <w:szCs w:val="22"/>
          <w:lang w:val="en-GB" w:bidi="en-US"/>
        </w:rPr>
        <w:t xml:space="preserve"> and k</w:t>
      </w:r>
      <w:r w:rsidRPr="002A436C">
        <w:rPr>
          <w:sz w:val="22"/>
          <w:szCs w:val="22"/>
          <w:vertAlign w:val="subscript"/>
          <w:lang w:val="en-GB" w:bidi="en-US"/>
        </w:rPr>
        <w:t>eff</w:t>
      </w:r>
      <w:r w:rsidRPr="002A436C">
        <w:rPr>
          <w:sz w:val="22"/>
          <w:szCs w:val="22"/>
          <w:lang w:val="en-GB" w:bidi="en-US"/>
        </w:rPr>
        <w:t xml:space="preserve"> the value of ΔG</w:t>
      </w:r>
      <w:r w:rsidRPr="002A436C">
        <w:rPr>
          <w:sz w:val="22"/>
          <w:szCs w:val="22"/>
          <w:vertAlign w:val="subscript"/>
          <w:lang w:val="en-GB" w:bidi="en-US"/>
        </w:rPr>
        <w:t>bu</w:t>
      </w:r>
      <w:r w:rsidRPr="002A436C">
        <w:rPr>
          <w:sz w:val="22"/>
          <w:szCs w:val="22"/>
          <w:lang w:val="en-GB" w:bidi="en-US"/>
        </w:rPr>
        <w:t xml:space="preserve"> can be calculated using equation S3, using the terms already defined above:</w:t>
      </w:r>
    </w:p>
    <w:p w:rsidR="005946AD" w:rsidRPr="002A436C" w:rsidRDefault="005946AD" w:rsidP="002A436C">
      <w:pPr>
        <w:spacing w:line="360" w:lineRule="auto"/>
        <w:jc w:val="both"/>
        <w:rPr>
          <w:sz w:val="22"/>
          <w:szCs w:val="22"/>
          <w:lang w:val="en-GB" w:bidi="en-US"/>
        </w:rPr>
      </w:pPr>
      <w:r w:rsidRPr="002A436C">
        <w:rPr>
          <w:sz w:val="22"/>
          <w:szCs w:val="22"/>
          <w:lang w:val="en-GB" w:bidi="en-US"/>
        </w:rPr>
        <w:tab/>
      </w:r>
      <w:r w:rsidRPr="002A436C">
        <w:rPr>
          <w:sz w:val="22"/>
          <w:szCs w:val="22"/>
          <w:lang w:val="en-GB" w:bidi="en-US"/>
        </w:rPr>
        <w:tab/>
      </w:r>
      <w:r w:rsidRPr="002A436C">
        <w:rPr>
          <w:sz w:val="22"/>
          <w:szCs w:val="22"/>
          <w:lang w:val="en-GB" w:bidi="en-US"/>
        </w:rPr>
        <w:tab/>
      </w:r>
      <w:r w:rsidRPr="002A436C">
        <w:rPr>
          <w:sz w:val="22"/>
          <w:szCs w:val="22"/>
          <w:lang w:val="en-GB" w:bidi="en-US"/>
        </w:rPr>
        <w:tab/>
      </w:r>
      <m:oMath>
        <m:r>
          <w:rPr>
            <w:rFonts w:ascii="Cambria Math" w:hAnsi="Cambria Math"/>
            <w:sz w:val="22"/>
            <w:szCs w:val="22"/>
            <w:lang w:val="en-GB"/>
          </w:rPr>
          <m:t>∆</m:t>
        </m:r>
        <m:sSub>
          <m:sSubPr>
            <m:ctrlPr>
              <w:rPr>
                <w:rFonts w:ascii="Cambria Math" w:hAnsi="Cambria Math"/>
                <w:i/>
                <w:sz w:val="22"/>
                <w:szCs w:val="22"/>
                <w:lang w:val="en-GB"/>
              </w:rPr>
            </m:ctrlPr>
          </m:sSubPr>
          <m:e>
            <m:r>
              <w:rPr>
                <w:rFonts w:ascii="Cambria Math" w:hAnsi="Cambria Math"/>
                <w:sz w:val="22"/>
                <w:szCs w:val="22"/>
                <w:lang w:val="en-GB"/>
              </w:rPr>
              <m:t>G</m:t>
            </m:r>
          </m:e>
          <m:sub>
            <m:r>
              <w:rPr>
                <w:rFonts w:ascii="Cambria Math" w:hAnsi="Cambria Math"/>
                <w:sz w:val="22"/>
                <w:szCs w:val="22"/>
                <w:lang w:val="en-GB"/>
              </w:rPr>
              <m:t>bu</m:t>
            </m:r>
          </m:sub>
        </m:sSub>
        <m:r>
          <w:rPr>
            <w:rFonts w:ascii="Cambria Math" w:hAnsi="Cambria Math"/>
            <w:sz w:val="22"/>
            <w:szCs w:val="22"/>
            <w:lang w:val="en-GB"/>
          </w:rPr>
          <m:t>=</m:t>
        </m:r>
        <m:f>
          <m:fPr>
            <m:ctrlPr>
              <w:rPr>
                <w:rFonts w:ascii="Cambria Math" w:hAnsi="Cambria Math"/>
                <w:i/>
                <w:sz w:val="22"/>
                <w:szCs w:val="22"/>
                <w:lang w:val="en-GB"/>
              </w:rPr>
            </m:ctrlPr>
          </m:fPr>
          <m:num>
            <m:sSup>
              <m:sSupPr>
                <m:ctrlPr>
                  <w:rPr>
                    <w:rFonts w:ascii="Cambria Math" w:hAnsi="Cambria Math"/>
                    <w:i/>
                    <w:sz w:val="22"/>
                    <w:szCs w:val="22"/>
                    <w:lang w:val="en-GB"/>
                  </w:rPr>
                </m:ctrlPr>
              </m:sSupPr>
              <m:e>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sz w:val="22"/>
                            <w:szCs w:val="22"/>
                            <w:lang w:val="en-GB"/>
                          </w:rPr>
                          <m:t>f</m:t>
                        </m:r>
                      </m:e>
                      <m:sub>
                        <m:r>
                          <w:rPr>
                            <w:rFonts w:ascii="Cambria Math" w:hAnsi="Cambria Math"/>
                            <w:sz w:val="22"/>
                            <w:szCs w:val="22"/>
                            <w:lang w:val="en-GB"/>
                          </w:rPr>
                          <m:t>eq</m:t>
                        </m:r>
                      </m:sub>
                    </m:sSub>
                  </m:e>
                </m:d>
              </m:e>
              <m:sup>
                <m:r>
                  <w:rPr>
                    <w:rFonts w:ascii="Cambria Math" w:hAnsi="Cambria Math"/>
                    <w:sz w:val="22"/>
                    <w:szCs w:val="22"/>
                    <w:lang w:val="en-GB"/>
                  </w:rPr>
                  <m:t>2</m:t>
                </m:r>
              </m:sup>
            </m:sSup>
          </m:num>
          <m:den>
            <m:r>
              <w:rPr>
                <w:rFonts w:ascii="Cambria Math" w:hAnsi="Cambria Math"/>
                <w:sz w:val="22"/>
                <w:szCs w:val="22"/>
                <w:lang w:val="en-GB"/>
              </w:rPr>
              <m:t>2</m:t>
            </m:r>
            <m:sSub>
              <m:sSubPr>
                <m:ctrlPr>
                  <w:rPr>
                    <w:rFonts w:ascii="Cambria Math" w:hAnsi="Cambria Math"/>
                    <w:i/>
                    <w:sz w:val="22"/>
                    <w:szCs w:val="22"/>
                    <w:lang w:val="en-GB"/>
                  </w:rPr>
                </m:ctrlPr>
              </m:sSubPr>
              <m:e>
                <m:r>
                  <w:rPr>
                    <w:rFonts w:ascii="Cambria Math" w:hAnsi="Cambria Math"/>
                    <w:sz w:val="22"/>
                    <w:szCs w:val="22"/>
                    <w:lang w:val="en-GB"/>
                  </w:rPr>
                  <m:t>k</m:t>
                </m:r>
              </m:e>
              <m:sub>
                <m:r>
                  <w:rPr>
                    <w:rFonts w:ascii="Cambria Math" w:hAnsi="Cambria Math"/>
                    <w:sz w:val="22"/>
                    <w:szCs w:val="22"/>
                    <w:lang w:val="en-GB"/>
                  </w:rPr>
                  <m:t>eff</m:t>
                </m:r>
              </m:sub>
            </m:sSub>
          </m:den>
        </m:f>
      </m:oMath>
      <w:r w:rsidRPr="002A436C">
        <w:rPr>
          <w:sz w:val="22"/>
          <w:szCs w:val="22"/>
          <w:lang w:val="en-GB" w:bidi="en-US"/>
        </w:rPr>
        <w:tab/>
      </w:r>
      <w:r w:rsidRPr="002A436C">
        <w:rPr>
          <w:sz w:val="22"/>
          <w:szCs w:val="22"/>
          <w:lang w:val="en-GB" w:bidi="en-US"/>
        </w:rPr>
        <w:tab/>
      </w:r>
      <w:r w:rsidRPr="002A436C">
        <w:rPr>
          <w:sz w:val="22"/>
          <w:szCs w:val="22"/>
          <w:lang w:val="en-GB" w:bidi="en-US"/>
        </w:rPr>
        <w:tab/>
      </w:r>
      <w:r w:rsidRPr="002A436C">
        <w:rPr>
          <w:sz w:val="22"/>
          <w:szCs w:val="22"/>
          <w:lang w:val="en-GB" w:bidi="en-US"/>
        </w:rPr>
        <w:tab/>
      </w:r>
      <w:r w:rsidRPr="002A436C">
        <w:rPr>
          <w:sz w:val="22"/>
          <w:szCs w:val="22"/>
          <w:lang w:val="en-GB" w:bidi="en-US"/>
        </w:rPr>
        <w:tab/>
      </w:r>
      <w:r w:rsidRPr="002A436C">
        <w:rPr>
          <w:sz w:val="22"/>
          <w:szCs w:val="22"/>
          <w:lang w:val="en-GB" w:bidi="en-US"/>
        </w:rPr>
        <w:tab/>
        <w:t>(S3)</w:t>
      </w:r>
    </w:p>
    <w:p w:rsidR="005946AD" w:rsidRPr="002A436C" w:rsidRDefault="005946AD">
      <w:pPr>
        <w:spacing w:line="360" w:lineRule="auto"/>
        <w:jc w:val="both"/>
        <w:rPr>
          <w:sz w:val="22"/>
          <w:szCs w:val="22"/>
          <w:lang w:val="en-GB" w:bidi="en-US"/>
        </w:rPr>
      </w:pPr>
      <w:r w:rsidRPr="002A436C">
        <w:rPr>
          <w:sz w:val="22"/>
          <w:szCs w:val="22"/>
          <w:lang w:val="en-GB" w:bidi="en-US"/>
        </w:rPr>
        <w:tab/>
      </w:r>
      <w:r w:rsidRPr="002A436C">
        <w:rPr>
          <w:sz w:val="22"/>
          <w:szCs w:val="22"/>
          <w:lang w:val="en-GB" w:bidi="en-US"/>
        </w:rPr>
        <w:tab/>
      </w:r>
    </w:p>
    <w:p w:rsidR="005946AD" w:rsidRPr="002A436C" w:rsidRDefault="005946AD">
      <w:pPr>
        <w:spacing w:line="360" w:lineRule="auto"/>
        <w:jc w:val="both"/>
        <w:rPr>
          <w:sz w:val="22"/>
          <w:szCs w:val="22"/>
          <w:lang w:val="en-GB" w:bidi="en-US"/>
        </w:rPr>
      </w:pPr>
      <w:r w:rsidRPr="002A436C">
        <w:rPr>
          <w:sz w:val="22"/>
          <w:szCs w:val="22"/>
          <w:lang w:val="en-GB" w:bidi="en-US"/>
        </w:rPr>
        <w:t>Values of x</w:t>
      </w:r>
      <w:r w:rsidRPr="002A436C">
        <w:rPr>
          <w:sz w:val="22"/>
          <w:szCs w:val="22"/>
          <w:vertAlign w:val="subscript"/>
          <w:lang w:val="en-GB" w:bidi="en-US"/>
        </w:rPr>
        <w:t>t</w:t>
      </w:r>
      <w:r w:rsidRPr="002A436C">
        <w:rPr>
          <w:sz w:val="22"/>
          <w:szCs w:val="22"/>
          <w:lang w:val="en-GB" w:bidi="en-US"/>
        </w:rPr>
        <w:t>, k</w:t>
      </w:r>
      <w:r w:rsidRPr="002A436C">
        <w:rPr>
          <w:sz w:val="22"/>
          <w:szCs w:val="22"/>
          <w:vertAlign w:val="subscript"/>
          <w:lang w:val="en-GB" w:bidi="en-US"/>
        </w:rPr>
        <w:t>off</w:t>
      </w:r>
      <w:r w:rsidRPr="002A436C">
        <w:rPr>
          <w:sz w:val="22"/>
          <w:szCs w:val="22"/>
          <w:lang w:val="en-GB" w:bidi="en-US"/>
        </w:rPr>
        <w:t xml:space="preserve">, </w:t>
      </w:r>
      <w:r w:rsidRPr="002A436C">
        <w:rPr>
          <w:i/>
          <w:sz w:val="22"/>
          <w:szCs w:val="22"/>
          <w:lang w:val="en-GB" w:bidi="en-US"/>
        </w:rPr>
        <w:t>f</w:t>
      </w:r>
      <w:r w:rsidRPr="002A436C">
        <w:rPr>
          <w:sz w:val="22"/>
          <w:szCs w:val="22"/>
          <w:vertAlign w:val="subscript"/>
          <w:lang w:val="en-GB" w:bidi="en-US"/>
        </w:rPr>
        <w:t>eq</w:t>
      </w:r>
      <w:r w:rsidRPr="002A436C">
        <w:rPr>
          <w:sz w:val="22"/>
          <w:szCs w:val="22"/>
          <w:lang w:val="en-GB" w:bidi="en-US"/>
        </w:rPr>
        <w:t xml:space="preserve"> and ΔG</w:t>
      </w:r>
      <w:r w:rsidRPr="002A436C">
        <w:rPr>
          <w:sz w:val="22"/>
          <w:szCs w:val="22"/>
          <w:vertAlign w:val="subscript"/>
          <w:lang w:val="en-GB" w:bidi="en-US"/>
        </w:rPr>
        <w:t>bu</w:t>
      </w:r>
      <w:r w:rsidRPr="002A436C">
        <w:rPr>
          <w:sz w:val="22"/>
          <w:szCs w:val="22"/>
          <w:lang w:val="en-GB" w:bidi="en-US"/>
        </w:rPr>
        <w:t xml:space="preserve"> were found from the fits of equations S1-3 to the data and presented in </w:t>
      </w:r>
      <w:r w:rsidRPr="002A436C">
        <w:rPr>
          <w:b/>
          <w:sz w:val="22"/>
          <w:szCs w:val="22"/>
          <w:lang w:val="en-GB" w:bidi="en-US"/>
        </w:rPr>
        <w:t>Table S1</w:t>
      </w:r>
      <w:r w:rsidRPr="002A436C">
        <w:rPr>
          <w:sz w:val="22"/>
          <w:szCs w:val="22"/>
          <w:lang w:val="en-GB" w:bidi="en-US"/>
        </w:rPr>
        <w:t>.  For station 3, no dependence of &lt;</w:t>
      </w:r>
      <w:r w:rsidRPr="002A436C">
        <w:rPr>
          <w:i/>
          <w:sz w:val="22"/>
          <w:szCs w:val="22"/>
          <w:lang w:val="en-GB" w:bidi="en-US"/>
        </w:rPr>
        <w:t>f</w:t>
      </w:r>
      <w:r w:rsidRPr="002A436C">
        <w:rPr>
          <w:sz w:val="22"/>
          <w:szCs w:val="22"/>
          <w:lang w:val="en-GB" w:bidi="en-US"/>
        </w:rPr>
        <w:t>&gt; on r is observed so x</w:t>
      </w:r>
      <w:r w:rsidRPr="002A436C">
        <w:rPr>
          <w:sz w:val="22"/>
          <w:szCs w:val="22"/>
          <w:vertAlign w:val="subscript"/>
          <w:lang w:val="en-GB" w:bidi="en-US"/>
        </w:rPr>
        <w:t>β</w:t>
      </w:r>
      <w:r w:rsidRPr="002A436C">
        <w:rPr>
          <w:sz w:val="22"/>
          <w:szCs w:val="22"/>
          <w:lang w:val="en-GB" w:bidi="en-US"/>
        </w:rPr>
        <w:t xml:space="preserve"> and k</w:t>
      </w:r>
      <w:r w:rsidRPr="002A436C">
        <w:rPr>
          <w:sz w:val="22"/>
          <w:szCs w:val="22"/>
          <w:vertAlign w:val="subscript"/>
          <w:lang w:val="en-GB" w:bidi="en-US"/>
        </w:rPr>
        <w:t>off</w:t>
      </w:r>
      <w:r w:rsidRPr="002A436C">
        <w:rPr>
          <w:sz w:val="22"/>
          <w:szCs w:val="22"/>
          <w:lang w:val="en-GB" w:bidi="en-US"/>
        </w:rPr>
        <w:t xml:space="preserve"> cannot be calculated. </w:t>
      </w:r>
      <w:r w:rsidRPr="002A436C">
        <w:rPr>
          <w:b/>
          <w:sz w:val="22"/>
          <w:szCs w:val="22"/>
          <w:lang w:val="en-GB" w:bidi="en-US"/>
        </w:rPr>
        <w:t>Figure S4</w:t>
      </w:r>
      <w:r w:rsidRPr="002A436C">
        <w:rPr>
          <w:sz w:val="22"/>
          <w:szCs w:val="22"/>
          <w:lang w:val="en-GB" w:bidi="en-US"/>
        </w:rPr>
        <w:t xml:space="preserve"> shows the dynamic force spectra and fits to equation S1. In the cases where we are analysing SCFS data, the sliding force term ΔG</w:t>
      </w:r>
      <w:r w:rsidRPr="002A436C">
        <w:rPr>
          <w:sz w:val="22"/>
          <w:szCs w:val="22"/>
          <w:vertAlign w:val="subscript"/>
          <w:lang w:val="en-GB" w:bidi="en-US"/>
        </w:rPr>
        <w:t>sl</w:t>
      </w:r>
      <w:r w:rsidRPr="002A436C">
        <w:rPr>
          <w:sz w:val="22"/>
          <w:szCs w:val="22"/>
          <w:lang w:val="en-GB" w:bidi="en-US"/>
        </w:rPr>
        <w:t xml:space="preserve"> is identical to the term ΔG</w:t>
      </w:r>
      <w:r w:rsidRPr="002A436C">
        <w:rPr>
          <w:sz w:val="22"/>
          <w:szCs w:val="22"/>
          <w:vertAlign w:val="subscript"/>
          <w:lang w:val="en-GB" w:bidi="en-US"/>
        </w:rPr>
        <w:t>bu</w:t>
      </w:r>
      <w:r w:rsidRPr="002A436C">
        <w:rPr>
          <w:sz w:val="22"/>
          <w:szCs w:val="22"/>
          <w:lang w:val="en-GB" w:bidi="en-US"/>
        </w:rPr>
        <w:t xml:space="preserve"> used above.</w:t>
      </w:r>
    </w:p>
    <w:p w:rsidR="005946AD" w:rsidRPr="002A436C" w:rsidRDefault="005946AD">
      <w:pPr>
        <w:spacing w:line="360" w:lineRule="auto"/>
        <w:jc w:val="both"/>
        <w:rPr>
          <w:sz w:val="22"/>
          <w:szCs w:val="22"/>
          <w:lang w:val="en-GB" w:bidi="en-US"/>
        </w:rPr>
      </w:pPr>
    </w:p>
    <w:p w:rsidR="005946AD" w:rsidRPr="002A436C" w:rsidRDefault="005946AD">
      <w:pPr>
        <w:spacing w:line="360" w:lineRule="auto"/>
        <w:jc w:val="both"/>
        <w:rPr>
          <w:sz w:val="22"/>
          <w:szCs w:val="22"/>
          <w:lang w:val="en-GB" w:bidi="en-US"/>
        </w:rPr>
      </w:pPr>
      <w:r w:rsidRPr="002A436C">
        <w:rPr>
          <w:b/>
          <w:sz w:val="22"/>
          <w:szCs w:val="22"/>
          <w:lang w:val="en-GB" w:bidi="en-US"/>
        </w:rPr>
        <w:t>Table S1.</w:t>
      </w:r>
      <w:r w:rsidRPr="002A436C">
        <w:rPr>
          <w:sz w:val="22"/>
          <w:szCs w:val="22"/>
          <w:lang w:val="en-GB" w:bidi="en-US"/>
        </w:rPr>
        <w:t xml:space="preserve"> Fitted parameter values for the F-N-Y fit to the dynamic force spectra for stations 1, 2, 4 and 5. </w:t>
      </w:r>
    </w:p>
    <w:tbl>
      <w:tblPr>
        <w:tblW w:w="8376" w:type="dxa"/>
        <w:tblInd w:w="108" w:type="dxa"/>
        <w:tblLook w:val="04A0" w:firstRow="1" w:lastRow="0" w:firstColumn="1" w:lastColumn="0" w:noHBand="0" w:noVBand="1"/>
      </w:tblPr>
      <w:tblGrid>
        <w:gridCol w:w="933"/>
        <w:gridCol w:w="1008"/>
        <w:gridCol w:w="897"/>
        <w:gridCol w:w="1074"/>
        <w:gridCol w:w="1737"/>
        <w:gridCol w:w="1280"/>
        <w:gridCol w:w="1447"/>
      </w:tblGrid>
      <w:tr w:rsidR="005946AD" w:rsidRPr="009B194B" w:rsidTr="009B194B">
        <w:trPr>
          <w:trHeight w:val="453"/>
        </w:trPr>
        <w:tc>
          <w:tcPr>
            <w:tcW w:w="933" w:type="dxa"/>
            <w:tcBorders>
              <w:top w:val="single" w:sz="4" w:space="0" w:color="auto"/>
              <w:left w:val="nil"/>
              <w:bottom w:val="single" w:sz="8" w:space="0" w:color="auto"/>
              <w:right w:val="nil"/>
            </w:tcBorders>
            <w:shd w:val="clear" w:color="auto" w:fill="auto"/>
            <w:vAlign w:val="center"/>
            <w:hideMark/>
          </w:tcPr>
          <w:p w:rsidR="005946AD" w:rsidRPr="002A436C" w:rsidRDefault="005946AD" w:rsidP="002A436C">
            <w:pPr>
              <w:spacing w:line="360" w:lineRule="auto"/>
              <w:jc w:val="both"/>
              <w:rPr>
                <w:b/>
                <w:bCs/>
                <w:sz w:val="22"/>
                <w:szCs w:val="22"/>
                <w:lang w:val="en-GB" w:bidi="en-US"/>
              </w:rPr>
            </w:pPr>
            <w:r w:rsidRPr="002A436C">
              <w:rPr>
                <w:b/>
                <w:bCs/>
                <w:sz w:val="22"/>
                <w:szCs w:val="22"/>
                <w:lang w:val="en-GB" w:bidi="en-US"/>
              </w:rPr>
              <w:t>Station</w:t>
            </w:r>
          </w:p>
        </w:tc>
        <w:tc>
          <w:tcPr>
            <w:tcW w:w="1008" w:type="dxa"/>
            <w:tcBorders>
              <w:top w:val="single" w:sz="4" w:space="0" w:color="auto"/>
              <w:left w:val="nil"/>
              <w:bottom w:val="single" w:sz="8" w:space="0" w:color="auto"/>
              <w:right w:val="nil"/>
            </w:tcBorders>
            <w:shd w:val="clear" w:color="auto" w:fill="auto"/>
            <w:vAlign w:val="center"/>
            <w:hideMark/>
          </w:tcPr>
          <w:p w:rsidR="005946AD" w:rsidRPr="002A436C" w:rsidRDefault="005946AD" w:rsidP="002A436C">
            <w:pPr>
              <w:spacing w:line="360" w:lineRule="auto"/>
              <w:jc w:val="both"/>
              <w:rPr>
                <w:b/>
                <w:bCs/>
                <w:sz w:val="22"/>
                <w:szCs w:val="22"/>
                <w:lang w:val="en-GB" w:bidi="en-US"/>
              </w:rPr>
            </w:pPr>
            <w:r w:rsidRPr="002A436C">
              <w:rPr>
                <w:b/>
                <w:bCs/>
                <w:sz w:val="22"/>
                <w:szCs w:val="22"/>
                <w:lang w:val="en-GB" w:bidi="en-US"/>
              </w:rPr>
              <w:t>Bead</w:t>
            </w:r>
          </w:p>
        </w:tc>
        <w:tc>
          <w:tcPr>
            <w:tcW w:w="897" w:type="dxa"/>
            <w:tcBorders>
              <w:top w:val="single" w:sz="4" w:space="0" w:color="auto"/>
              <w:left w:val="nil"/>
              <w:bottom w:val="single" w:sz="8" w:space="0" w:color="auto"/>
              <w:right w:val="nil"/>
            </w:tcBorders>
            <w:shd w:val="clear" w:color="auto" w:fill="auto"/>
            <w:vAlign w:val="center"/>
            <w:hideMark/>
          </w:tcPr>
          <w:p w:rsidR="005946AD" w:rsidRPr="002A436C" w:rsidRDefault="005946AD" w:rsidP="002A436C">
            <w:pPr>
              <w:spacing w:line="360" w:lineRule="auto"/>
              <w:jc w:val="both"/>
              <w:rPr>
                <w:b/>
                <w:bCs/>
                <w:sz w:val="22"/>
                <w:szCs w:val="22"/>
                <w:lang w:val="en-GB" w:bidi="en-US"/>
              </w:rPr>
            </w:pPr>
            <w:r w:rsidRPr="002A436C">
              <w:rPr>
                <w:b/>
                <w:bCs/>
                <w:sz w:val="22"/>
                <w:szCs w:val="22"/>
                <w:lang w:val="en-GB" w:bidi="en-US"/>
              </w:rPr>
              <w:t>k</w:t>
            </w:r>
            <w:r w:rsidRPr="002A436C">
              <w:rPr>
                <w:b/>
                <w:bCs/>
                <w:sz w:val="22"/>
                <w:szCs w:val="22"/>
                <w:vertAlign w:val="subscript"/>
                <w:lang w:val="en-GB" w:bidi="en-US"/>
              </w:rPr>
              <w:t>off</w:t>
            </w:r>
            <w:r w:rsidRPr="002A436C">
              <w:rPr>
                <w:b/>
                <w:bCs/>
                <w:sz w:val="22"/>
                <w:szCs w:val="22"/>
                <w:lang w:val="en-GB" w:bidi="en-US"/>
              </w:rPr>
              <w:t xml:space="preserve"> (/s)</w:t>
            </w:r>
          </w:p>
        </w:tc>
        <w:tc>
          <w:tcPr>
            <w:tcW w:w="1074" w:type="dxa"/>
            <w:tcBorders>
              <w:top w:val="single" w:sz="12" w:space="0" w:color="auto"/>
              <w:left w:val="nil"/>
              <w:bottom w:val="single" w:sz="8" w:space="0" w:color="auto"/>
              <w:right w:val="nil"/>
            </w:tcBorders>
            <w:shd w:val="clear" w:color="auto" w:fill="auto"/>
            <w:vAlign w:val="center"/>
            <w:hideMark/>
          </w:tcPr>
          <w:p w:rsidR="005946AD" w:rsidRPr="002A436C" w:rsidRDefault="005946AD" w:rsidP="002A436C">
            <w:pPr>
              <w:spacing w:line="360" w:lineRule="auto"/>
              <w:jc w:val="both"/>
              <w:rPr>
                <w:b/>
                <w:bCs/>
                <w:sz w:val="22"/>
                <w:szCs w:val="22"/>
                <w:lang w:val="en-GB" w:bidi="en-US"/>
              </w:rPr>
            </w:pPr>
            <w:r w:rsidRPr="002A436C">
              <w:rPr>
                <w:b/>
                <w:bCs/>
                <w:sz w:val="22"/>
                <w:szCs w:val="22"/>
                <w:lang w:val="en-GB" w:bidi="en-US"/>
              </w:rPr>
              <w:t>x</w:t>
            </w:r>
            <w:r w:rsidRPr="002A436C">
              <w:rPr>
                <w:b/>
                <w:bCs/>
                <w:sz w:val="22"/>
                <w:szCs w:val="22"/>
                <w:vertAlign w:val="subscript"/>
                <w:lang w:val="en-GB" w:bidi="en-US"/>
              </w:rPr>
              <w:t>t</w:t>
            </w:r>
            <w:r w:rsidRPr="002A436C">
              <w:rPr>
                <w:b/>
                <w:bCs/>
                <w:sz w:val="22"/>
                <w:szCs w:val="22"/>
                <w:lang w:val="en-GB" w:bidi="en-US"/>
              </w:rPr>
              <w:t xml:space="preserve"> (nm)</w:t>
            </w:r>
          </w:p>
        </w:tc>
        <w:tc>
          <w:tcPr>
            <w:tcW w:w="1737" w:type="dxa"/>
            <w:tcBorders>
              <w:top w:val="single" w:sz="4" w:space="0" w:color="auto"/>
              <w:left w:val="nil"/>
              <w:bottom w:val="single" w:sz="8" w:space="0" w:color="auto"/>
              <w:right w:val="nil"/>
            </w:tcBorders>
            <w:shd w:val="clear" w:color="auto" w:fill="auto"/>
            <w:vAlign w:val="center"/>
            <w:hideMark/>
          </w:tcPr>
          <w:p w:rsidR="005946AD" w:rsidRPr="002A436C" w:rsidRDefault="005946AD" w:rsidP="002A436C">
            <w:pPr>
              <w:spacing w:line="360" w:lineRule="auto"/>
              <w:jc w:val="both"/>
              <w:rPr>
                <w:b/>
                <w:bCs/>
                <w:sz w:val="22"/>
                <w:szCs w:val="22"/>
                <w:lang w:val="en-GB" w:bidi="en-US"/>
              </w:rPr>
            </w:pPr>
            <w:r w:rsidRPr="002A436C">
              <w:rPr>
                <w:b/>
                <w:bCs/>
                <w:i/>
                <w:sz w:val="22"/>
                <w:szCs w:val="22"/>
                <w:lang w:val="en-GB" w:bidi="en-US"/>
              </w:rPr>
              <w:t>f</w:t>
            </w:r>
            <w:r w:rsidRPr="002A436C">
              <w:rPr>
                <w:b/>
                <w:bCs/>
                <w:sz w:val="22"/>
                <w:szCs w:val="22"/>
                <w:vertAlign w:val="subscript"/>
                <w:lang w:val="en-GB" w:bidi="en-US"/>
              </w:rPr>
              <w:t>eq</w:t>
            </w:r>
            <w:r w:rsidRPr="002A436C">
              <w:rPr>
                <w:b/>
                <w:bCs/>
                <w:sz w:val="22"/>
                <w:szCs w:val="22"/>
                <w:lang w:val="en-GB" w:bidi="en-US"/>
              </w:rPr>
              <w:t xml:space="preserve"> ± sd (pN)</w:t>
            </w:r>
          </w:p>
        </w:tc>
        <w:tc>
          <w:tcPr>
            <w:tcW w:w="1280" w:type="dxa"/>
            <w:tcBorders>
              <w:top w:val="single" w:sz="4" w:space="0" w:color="auto"/>
              <w:left w:val="nil"/>
              <w:bottom w:val="single" w:sz="8" w:space="0" w:color="auto"/>
              <w:right w:val="nil"/>
            </w:tcBorders>
            <w:shd w:val="clear" w:color="auto" w:fill="auto"/>
            <w:vAlign w:val="center"/>
            <w:hideMark/>
          </w:tcPr>
          <w:p w:rsidR="005946AD" w:rsidRPr="002A436C" w:rsidRDefault="005946AD" w:rsidP="002A436C">
            <w:pPr>
              <w:spacing w:line="360" w:lineRule="auto"/>
              <w:jc w:val="both"/>
              <w:rPr>
                <w:b/>
                <w:bCs/>
                <w:sz w:val="22"/>
                <w:szCs w:val="22"/>
                <w:lang w:val="en-GB" w:bidi="en-US"/>
              </w:rPr>
            </w:pPr>
            <w:r w:rsidRPr="002A436C">
              <w:rPr>
                <w:b/>
                <w:bCs/>
                <w:sz w:val="22"/>
                <w:szCs w:val="22"/>
                <w:lang w:val="en-GB" w:bidi="en-US"/>
              </w:rPr>
              <w:t>k</w:t>
            </w:r>
            <w:r w:rsidRPr="002A436C">
              <w:rPr>
                <w:b/>
                <w:bCs/>
                <w:sz w:val="22"/>
                <w:szCs w:val="22"/>
                <w:vertAlign w:val="subscript"/>
                <w:lang w:val="en-GB" w:bidi="en-US"/>
              </w:rPr>
              <w:t>c</w:t>
            </w:r>
            <w:r w:rsidRPr="002A436C">
              <w:rPr>
                <w:b/>
                <w:bCs/>
                <w:sz w:val="22"/>
                <w:szCs w:val="22"/>
                <w:lang w:val="en-GB" w:bidi="en-US"/>
              </w:rPr>
              <w:t xml:space="preserve"> (pN/nm)</w:t>
            </w:r>
          </w:p>
        </w:tc>
        <w:tc>
          <w:tcPr>
            <w:tcW w:w="1447" w:type="dxa"/>
            <w:tcBorders>
              <w:top w:val="single" w:sz="4" w:space="0" w:color="auto"/>
              <w:left w:val="nil"/>
              <w:bottom w:val="single" w:sz="8" w:space="0" w:color="auto"/>
              <w:right w:val="nil"/>
            </w:tcBorders>
            <w:shd w:val="clear" w:color="auto" w:fill="auto"/>
            <w:vAlign w:val="center"/>
            <w:hideMark/>
          </w:tcPr>
          <w:p w:rsidR="005946AD" w:rsidRPr="002A436C" w:rsidRDefault="005946AD" w:rsidP="002A436C">
            <w:pPr>
              <w:spacing w:line="360" w:lineRule="auto"/>
              <w:ind w:right="-94"/>
              <w:jc w:val="both"/>
              <w:rPr>
                <w:b/>
                <w:bCs/>
                <w:sz w:val="22"/>
                <w:szCs w:val="22"/>
                <w:lang w:val="en-GB" w:bidi="en-US"/>
              </w:rPr>
            </w:pPr>
            <w:r w:rsidRPr="002A436C">
              <w:rPr>
                <w:b/>
                <w:bCs/>
                <w:sz w:val="22"/>
                <w:szCs w:val="22"/>
                <w:lang w:val="en-GB" w:bidi="en-US"/>
              </w:rPr>
              <w:t>ΔG</w:t>
            </w:r>
            <w:r w:rsidRPr="002A436C">
              <w:rPr>
                <w:b/>
                <w:bCs/>
                <w:sz w:val="22"/>
                <w:szCs w:val="22"/>
                <w:vertAlign w:val="subscript"/>
                <w:lang w:val="en-GB" w:bidi="en-US"/>
              </w:rPr>
              <w:t>bu</w:t>
            </w:r>
            <w:r w:rsidRPr="002A436C">
              <w:rPr>
                <w:b/>
                <w:bCs/>
                <w:sz w:val="22"/>
                <w:szCs w:val="22"/>
                <w:lang w:val="en-GB" w:bidi="en-US"/>
              </w:rPr>
              <w:t xml:space="preserve"> ± sd</w:t>
            </w:r>
          </w:p>
          <w:p w:rsidR="005946AD" w:rsidRPr="002A436C" w:rsidRDefault="005946AD" w:rsidP="002A436C">
            <w:pPr>
              <w:spacing w:line="360" w:lineRule="auto"/>
              <w:ind w:right="-94"/>
              <w:jc w:val="both"/>
              <w:rPr>
                <w:b/>
                <w:bCs/>
                <w:sz w:val="22"/>
                <w:szCs w:val="22"/>
                <w:lang w:val="en-GB" w:bidi="en-US"/>
              </w:rPr>
            </w:pPr>
            <w:r w:rsidRPr="002A436C">
              <w:rPr>
                <w:b/>
                <w:bCs/>
                <w:sz w:val="22"/>
                <w:szCs w:val="22"/>
                <w:lang w:val="en-GB" w:bidi="en-US"/>
              </w:rPr>
              <w:t>(kJ/mol)</w:t>
            </w:r>
          </w:p>
        </w:tc>
      </w:tr>
      <w:tr w:rsidR="005946AD" w:rsidRPr="009B194B" w:rsidTr="009B194B">
        <w:trPr>
          <w:trHeight w:val="405"/>
        </w:trPr>
        <w:tc>
          <w:tcPr>
            <w:tcW w:w="933" w:type="dxa"/>
            <w:vMerge w:val="restart"/>
            <w:tcBorders>
              <w:top w:val="nil"/>
              <w:left w:val="nil"/>
              <w:bottom w:val="single" w:sz="8" w:space="0" w:color="000000"/>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1</w:t>
            </w:r>
          </w:p>
        </w:tc>
        <w:tc>
          <w:tcPr>
            <w:tcW w:w="1008" w:type="dxa"/>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α-CD</w:t>
            </w:r>
          </w:p>
        </w:tc>
        <w:tc>
          <w:tcPr>
            <w:tcW w:w="897" w:type="dxa"/>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rFonts w:eastAsia="Times New Roman"/>
                <w:color w:val="000000"/>
                <w:sz w:val="22"/>
                <w:szCs w:val="22"/>
                <w:lang w:val="en-GB"/>
              </w:rPr>
              <w:t>8.4</w:t>
            </w:r>
          </w:p>
        </w:tc>
        <w:tc>
          <w:tcPr>
            <w:tcW w:w="1074" w:type="dxa"/>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rFonts w:eastAsia="Times New Roman"/>
                <w:color w:val="000000"/>
                <w:sz w:val="22"/>
                <w:szCs w:val="22"/>
                <w:lang w:val="en-GB"/>
              </w:rPr>
              <w:t>0.10</w:t>
            </w:r>
          </w:p>
        </w:tc>
        <w:tc>
          <w:tcPr>
            <w:tcW w:w="1737" w:type="dxa"/>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98 ± 8</w:t>
            </w:r>
          </w:p>
        </w:tc>
        <w:tc>
          <w:tcPr>
            <w:tcW w:w="1280" w:type="dxa"/>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25</w:t>
            </w:r>
          </w:p>
        </w:tc>
        <w:tc>
          <w:tcPr>
            <w:tcW w:w="1447" w:type="dxa"/>
            <w:tcBorders>
              <w:top w:val="nil"/>
              <w:left w:val="nil"/>
              <w:bottom w:val="nil"/>
              <w:right w:val="nil"/>
            </w:tcBorders>
            <w:shd w:val="clear" w:color="auto" w:fill="auto"/>
            <w:vAlign w:val="center"/>
            <w:hideMark/>
          </w:tcPr>
          <w:p w:rsidR="005946AD" w:rsidRPr="002A436C" w:rsidRDefault="005946AD" w:rsidP="002A436C">
            <w:pPr>
              <w:spacing w:line="360" w:lineRule="auto"/>
              <w:ind w:right="-94"/>
              <w:jc w:val="both"/>
              <w:rPr>
                <w:sz w:val="22"/>
                <w:szCs w:val="22"/>
                <w:lang w:val="en-GB" w:bidi="en-US"/>
              </w:rPr>
            </w:pPr>
            <w:r w:rsidRPr="002A436C">
              <w:rPr>
                <w:sz w:val="22"/>
                <w:szCs w:val="22"/>
                <w:lang w:val="en-GB" w:bidi="en-US"/>
              </w:rPr>
              <w:t>159 ± 17</w:t>
            </w:r>
          </w:p>
        </w:tc>
      </w:tr>
      <w:tr w:rsidR="005946AD" w:rsidRPr="009B194B" w:rsidTr="009B194B">
        <w:trPr>
          <w:trHeight w:val="333"/>
        </w:trPr>
        <w:tc>
          <w:tcPr>
            <w:tcW w:w="933" w:type="dxa"/>
            <w:vMerge/>
            <w:tcBorders>
              <w:top w:val="nil"/>
              <w:left w:val="nil"/>
              <w:bottom w:val="single" w:sz="8" w:space="0" w:color="000000"/>
              <w:right w:val="nil"/>
            </w:tcBorders>
            <w:vAlign w:val="center"/>
            <w:hideMark/>
          </w:tcPr>
          <w:p w:rsidR="005946AD" w:rsidRPr="002A436C" w:rsidRDefault="005946AD" w:rsidP="002A436C">
            <w:pPr>
              <w:spacing w:line="360" w:lineRule="auto"/>
              <w:jc w:val="both"/>
              <w:rPr>
                <w:sz w:val="22"/>
                <w:szCs w:val="22"/>
                <w:lang w:val="en-GB" w:bidi="en-US"/>
              </w:rPr>
            </w:pPr>
          </w:p>
        </w:tc>
        <w:tc>
          <w:tcPr>
            <w:tcW w:w="1008" w:type="dxa"/>
            <w:tcBorders>
              <w:top w:val="nil"/>
              <w:left w:val="nil"/>
              <w:bottom w:val="single" w:sz="8" w:space="0" w:color="auto"/>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β-CD</w:t>
            </w:r>
          </w:p>
        </w:tc>
        <w:tc>
          <w:tcPr>
            <w:tcW w:w="897" w:type="dxa"/>
            <w:tcBorders>
              <w:top w:val="nil"/>
              <w:left w:val="nil"/>
              <w:bottom w:val="single" w:sz="8" w:space="0" w:color="auto"/>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rFonts w:eastAsia="Times New Roman"/>
                <w:color w:val="000000"/>
                <w:sz w:val="22"/>
                <w:szCs w:val="22"/>
                <w:lang w:val="en-GB"/>
              </w:rPr>
              <w:t>14.4</w:t>
            </w:r>
          </w:p>
        </w:tc>
        <w:tc>
          <w:tcPr>
            <w:tcW w:w="1074" w:type="dxa"/>
            <w:tcBorders>
              <w:top w:val="nil"/>
              <w:left w:val="nil"/>
              <w:bottom w:val="single" w:sz="8" w:space="0" w:color="auto"/>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rFonts w:eastAsia="Times New Roman"/>
                <w:color w:val="000000"/>
                <w:sz w:val="22"/>
                <w:szCs w:val="22"/>
                <w:lang w:val="en-GB"/>
              </w:rPr>
              <w:t>0.08</w:t>
            </w:r>
          </w:p>
        </w:tc>
        <w:tc>
          <w:tcPr>
            <w:tcW w:w="1737" w:type="dxa"/>
            <w:tcBorders>
              <w:top w:val="nil"/>
              <w:left w:val="nil"/>
              <w:bottom w:val="single" w:sz="8" w:space="0" w:color="auto"/>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86 ± 23</w:t>
            </w:r>
          </w:p>
        </w:tc>
        <w:tc>
          <w:tcPr>
            <w:tcW w:w="1280" w:type="dxa"/>
            <w:tcBorders>
              <w:top w:val="nil"/>
              <w:left w:val="nil"/>
              <w:bottom w:val="single" w:sz="8" w:space="0" w:color="auto"/>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22</w:t>
            </w:r>
          </w:p>
        </w:tc>
        <w:tc>
          <w:tcPr>
            <w:tcW w:w="1447" w:type="dxa"/>
            <w:tcBorders>
              <w:top w:val="nil"/>
              <w:left w:val="nil"/>
              <w:bottom w:val="single" w:sz="8" w:space="0" w:color="auto"/>
              <w:right w:val="nil"/>
            </w:tcBorders>
            <w:shd w:val="clear" w:color="auto" w:fill="auto"/>
            <w:vAlign w:val="center"/>
            <w:hideMark/>
          </w:tcPr>
          <w:p w:rsidR="005946AD" w:rsidRPr="002A436C" w:rsidRDefault="005946AD" w:rsidP="002A436C">
            <w:pPr>
              <w:spacing w:line="360" w:lineRule="auto"/>
              <w:ind w:right="-94"/>
              <w:jc w:val="both"/>
              <w:rPr>
                <w:sz w:val="22"/>
                <w:szCs w:val="22"/>
                <w:lang w:val="en-GB" w:bidi="en-US"/>
              </w:rPr>
            </w:pPr>
            <w:r w:rsidRPr="002A436C">
              <w:rPr>
                <w:sz w:val="22"/>
                <w:szCs w:val="22"/>
                <w:lang w:val="en-GB" w:bidi="en-US"/>
              </w:rPr>
              <w:t>134 ± 26</w:t>
            </w:r>
          </w:p>
        </w:tc>
      </w:tr>
      <w:tr w:rsidR="005946AD" w:rsidRPr="009B194B" w:rsidTr="009B194B">
        <w:trPr>
          <w:trHeight w:val="314"/>
        </w:trPr>
        <w:tc>
          <w:tcPr>
            <w:tcW w:w="933" w:type="dxa"/>
            <w:vMerge w:val="restart"/>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2</w:t>
            </w:r>
          </w:p>
        </w:tc>
        <w:tc>
          <w:tcPr>
            <w:tcW w:w="1008" w:type="dxa"/>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α-CD</w:t>
            </w:r>
          </w:p>
        </w:tc>
        <w:tc>
          <w:tcPr>
            <w:tcW w:w="897" w:type="dxa"/>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rFonts w:eastAsia="Times New Roman"/>
                <w:color w:val="000000"/>
                <w:sz w:val="22"/>
                <w:szCs w:val="22"/>
                <w:lang w:val="en-GB"/>
              </w:rPr>
              <w:t>14.6</w:t>
            </w:r>
          </w:p>
        </w:tc>
        <w:tc>
          <w:tcPr>
            <w:tcW w:w="1074" w:type="dxa"/>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rFonts w:eastAsia="Times New Roman"/>
                <w:color w:val="000000"/>
                <w:sz w:val="22"/>
                <w:szCs w:val="22"/>
                <w:lang w:val="en-GB"/>
              </w:rPr>
              <w:t>0.08</w:t>
            </w:r>
          </w:p>
        </w:tc>
        <w:tc>
          <w:tcPr>
            <w:tcW w:w="1737" w:type="dxa"/>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76 ± 6</w:t>
            </w:r>
          </w:p>
        </w:tc>
        <w:tc>
          <w:tcPr>
            <w:tcW w:w="1280" w:type="dxa"/>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25</w:t>
            </w:r>
          </w:p>
        </w:tc>
        <w:tc>
          <w:tcPr>
            <w:tcW w:w="1447" w:type="dxa"/>
            <w:tcBorders>
              <w:top w:val="nil"/>
              <w:left w:val="nil"/>
              <w:bottom w:val="nil"/>
              <w:right w:val="nil"/>
            </w:tcBorders>
            <w:shd w:val="clear" w:color="auto" w:fill="auto"/>
            <w:vAlign w:val="center"/>
            <w:hideMark/>
          </w:tcPr>
          <w:p w:rsidR="005946AD" w:rsidRPr="002A436C" w:rsidRDefault="005946AD" w:rsidP="002A436C">
            <w:pPr>
              <w:spacing w:line="360" w:lineRule="auto"/>
              <w:ind w:right="-94"/>
              <w:jc w:val="both"/>
              <w:rPr>
                <w:sz w:val="22"/>
                <w:szCs w:val="22"/>
                <w:lang w:val="en-GB" w:bidi="en-US"/>
              </w:rPr>
            </w:pPr>
            <w:r w:rsidRPr="002A436C">
              <w:rPr>
                <w:sz w:val="22"/>
                <w:szCs w:val="22"/>
                <w:lang w:val="en-GB" w:bidi="en-US"/>
              </w:rPr>
              <w:t>95 ± 13</w:t>
            </w:r>
          </w:p>
        </w:tc>
      </w:tr>
      <w:tr w:rsidR="005946AD" w:rsidRPr="009B194B" w:rsidTr="009B194B">
        <w:trPr>
          <w:trHeight w:val="333"/>
        </w:trPr>
        <w:tc>
          <w:tcPr>
            <w:tcW w:w="933" w:type="dxa"/>
            <w:vMerge/>
            <w:tcBorders>
              <w:top w:val="nil"/>
              <w:left w:val="nil"/>
              <w:bottom w:val="nil"/>
              <w:right w:val="nil"/>
            </w:tcBorders>
            <w:vAlign w:val="center"/>
            <w:hideMark/>
          </w:tcPr>
          <w:p w:rsidR="005946AD" w:rsidRPr="002A436C" w:rsidRDefault="005946AD" w:rsidP="002A436C">
            <w:pPr>
              <w:spacing w:line="360" w:lineRule="auto"/>
              <w:jc w:val="both"/>
              <w:rPr>
                <w:sz w:val="22"/>
                <w:szCs w:val="22"/>
                <w:lang w:val="en-GB" w:bidi="en-US"/>
              </w:rPr>
            </w:pPr>
          </w:p>
        </w:tc>
        <w:tc>
          <w:tcPr>
            <w:tcW w:w="1008" w:type="dxa"/>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β-CD</w:t>
            </w:r>
          </w:p>
        </w:tc>
        <w:tc>
          <w:tcPr>
            <w:tcW w:w="897" w:type="dxa"/>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rFonts w:eastAsia="Times New Roman"/>
                <w:color w:val="000000"/>
                <w:sz w:val="22"/>
                <w:szCs w:val="22"/>
                <w:lang w:val="en-GB"/>
              </w:rPr>
              <w:t>26.1</w:t>
            </w:r>
          </w:p>
        </w:tc>
        <w:tc>
          <w:tcPr>
            <w:tcW w:w="1074" w:type="dxa"/>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rFonts w:eastAsia="Times New Roman"/>
                <w:color w:val="000000"/>
                <w:sz w:val="22"/>
                <w:szCs w:val="22"/>
                <w:lang w:val="en-GB"/>
              </w:rPr>
              <w:t>0.08</w:t>
            </w:r>
          </w:p>
        </w:tc>
        <w:tc>
          <w:tcPr>
            <w:tcW w:w="1737" w:type="dxa"/>
            <w:tcBorders>
              <w:top w:val="nil"/>
              <w:left w:val="nil"/>
              <w:bottom w:val="single" w:sz="8" w:space="0" w:color="auto"/>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63 ± 12</w:t>
            </w:r>
          </w:p>
        </w:tc>
        <w:tc>
          <w:tcPr>
            <w:tcW w:w="1280" w:type="dxa"/>
            <w:tcBorders>
              <w:top w:val="nil"/>
              <w:left w:val="nil"/>
              <w:bottom w:val="single" w:sz="8" w:space="0" w:color="auto"/>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22</w:t>
            </w:r>
          </w:p>
        </w:tc>
        <w:tc>
          <w:tcPr>
            <w:tcW w:w="1447" w:type="dxa"/>
            <w:tcBorders>
              <w:top w:val="nil"/>
              <w:left w:val="nil"/>
              <w:bottom w:val="single" w:sz="8" w:space="0" w:color="auto"/>
              <w:right w:val="nil"/>
            </w:tcBorders>
            <w:shd w:val="clear" w:color="auto" w:fill="auto"/>
            <w:vAlign w:val="center"/>
            <w:hideMark/>
          </w:tcPr>
          <w:p w:rsidR="005946AD" w:rsidRPr="002A436C" w:rsidRDefault="005946AD" w:rsidP="002A436C">
            <w:pPr>
              <w:spacing w:line="360" w:lineRule="auto"/>
              <w:ind w:right="-94"/>
              <w:jc w:val="both"/>
              <w:rPr>
                <w:sz w:val="22"/>
                <w:szCs w:val="22"/>
                <w:lang w:val="en-GB" w:bidi="en-US"/>
              </w:rPr>
            </w:pPr>
            <w:r w:rsidRPr="002A436C">
              <w:rPr>
                <w:sz w:val="22"/>
                <w:szCs w:val="22"/>
                <w:lang w:val="en-GB" w:bidi="en-US"/>
              </w:rPr>
              <w:t>72 ± 14</w:t>
            </w:r>
          </w:p>
        </w:tc>
      </w:tr>
      <w:tr w:rsidR="005946AD" w:rsidRPr="009B194B" w:rsidTr="009B194B">
        <w:trPr>
          <w:trHeight w:val="314"/>
        </w:trPr>
        <w:tc>
          <w:tcPr>
            <w:tcW w:w="933" w:type="dxa"/>
            <w:vMerge w:val="restart"/>
            <w:tcBorders>
              <w:top w:val="single" w:sz="8" w:space="0" w:color="auto"/>
              <w:left w:val="nil"/>
              <w:bottom w:val="single" w:sz="8" w:space="0" w:color="000000"/>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3</w:t>
            </w:r>
          </w:p>
        </w:tc>
        <w:tc>
          <w:tcPr>
            <w:tcW w:w="1008" w:type="dxa"/>
            <w:tcBorders>
              <w:top w:val="single" w:sz="8" w:space="0" w:color="auto"/>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α-CD</w:t>
            </w:r>
          </w:p>
        </w:tc>
        <w:tc>
          <w:tcPr>
            <w:tcW w:w="897" w:type="dxa"/>
            <w:tcBorders>
              <w:top w:val="single" w:sz="8" w:space="0" w:color="auto"/>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rFonts w:eastAsia="Times New Roman"/>
                <w:color w:val="000000"/>
                <w:sz w:val="22"/>
                <w:szCs w:val="22"/>
                <w:lang w:val="en-GB"/>
              </w:rPr>
              <w:t>-</w:t>
            </w:r>
          </w:p>
        </w:tc>
        <w:tc>
          <w:tcPr>
            <w:tcW w:w="1074" w:type="dxa"/>
            <w:tcBorders>
              <w:top w:val="single" w:sz="8" w:space="0" w:color="auto"/>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rFonts w:eastAsia="Times New Roman"/>
                <w:color w:val="000000"/>
                <w:sz w:val="22"/>
                <w:szCs w:val="22"/>
                <w:lang w:val="en-GB"/>
              </w:rPr>
              <w:t>-</w:t>
            </w:r>
          </w:p>
        </w:tc>
        <w:tc>
          <w:tcPr>
            <w:tcW w:w="1737" w:type="dxa"/>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29 ± 4 - 37 ± 3</w:t>
            </w:r>
          </w:p>
        </w:tc>
        <w:tc>
          <w:tcPr>
            <w:tcW w:w="1280" w:type="dxa"/>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14-25</w:t>
            </w:r>
          </w:p>
        </w:tc>
        <w:tc>
          <w:tcPr>
            <w:tcW w:w="1447" w:type="dxa"/>
            <w:tcBorders>
              <w:top w:val="nil"/>
              <w:left w:val="nil"/>
              <w:bottom w:val="nil"/>
              <w:right w:val="nil"/>
            </w:tcBorders>
            <w:shd w:val="clear" w:color="auto" w:fill="auto"/>
            <w:vAlign w:val="center"/>
            <w:hideMark/>
          </w:tcPr>
          <w:p w:rsidR="005946AD" w:rsidRPr="002A436C" w:rsidRDefault="005946AD" w:rsidP="002A436C">
            <w:pPr>
              <w:spacing w:line="360" w:lineRule="auto"/>
              <w:ind w:right="-94"/>
              <w:jc w:val="both"/>
              <w:rPr>
                <w:sz w:val="22"/>
                <w:szCs w:val="22"/>
                <w:lang w:val="en-GB" w:bidi="en-US"/>
              </w:rPr>
            </w:pPr>
            <w:r w:rsidRPr="002A436C">
              <w:rPr>
                <w:sz w:val="22"/>
                <w:szCs w:val="22"/>
                <w:lang w:val="en-GB" w:bidi="en-US"/>
              </w:rPr>
              <w:t>22 ± 4 - 23 ± 4</w:t>
            </w:r>
          </w:p>
        </w:tc>
      </w:tr>
      <w:tr w:rsidR="005946AD" w:rsidRPr="009B194B" w:rsidTr="009B194B">
        <w:trPr>
          <w:trHeight w:val="333"/>
        </w:trPr>
        <w:tc>
          <w:tcPr>
            <w:tcW w:w="933" w:type="dxa"/>
            <w:vMerge/>
            <w:tcBorders>
              <w:top w:val="single" w:sz="8" w:space="0" w:color="auto"/>
              <w:left w:val="nil"/>
              <w:bottom w:val="single" w:sz="8" w:space="0" w:color="000000"/>
              <w:right w:val="nil"/>
            </w:tcBorders>
            <w:vAlign w:val="center"/>
            <w:hideMark/>
          </w:tcPr>
          <w:p w:rsidR="005946AD" w:rsidRPr="002A436C" w:rsidRDefault="005946AD" w:rsidP="002A436C">
            <w:pPr>
              <w:spacing w:line="360" w:lineRule="auto"/>
              <w:jc w:val="both"/>
              <w:rPr>
                <w:sz w:val="22"/>
                <w:szCs w:val="22"/>
                <w:lang w:val="en-GB" w:bidi="en-US"/>
              </w:rPr>
            </w:pPr>
          </w:p>
        </w:tc>
        <w:tc>
          <w:tcPr>
            <w:tcW w:w="1008" w:type="dxa"/>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β-CD</w:t>
            </w:r>
          </w:p>
        </w:tc>
        <w:tc>
          <w:tcPr>
            <w:tcW w:w="897" w:type="dxa"/>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rFonts w:eastAsia="Times New Roman"/>
                <w:color w:val="000000"/>
                <w:sz w:val="22"/>
                <w:szCs w:val="22"/>
                <w:lang w:val="en-GB"/>
              </w:rPr>
              <w:t>-</w:t>
            </w:r>
          </w:p>
        </w:tc>
        <w:tc>
          <w:tcPr>
            <w:tcW w:w="1074" w:type="dxa"/>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rFonts w:eastAsia="Times New Roman"/>
                <w:color w:val="000000"/>
                <w:sz w:val="22"/>
                <w:szCs w:val="22"/>
                <w:lang w:val="en-GB"/>
              </w:rPr>
              <w:t>-</w:t>
            </w:r>
          </w:p>
        </w:tc>
        <w:tc>
          <w:tcPr>
            <w:tcW w:w="1737" w:type="dxa"/>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34 ± 5</w:t>
            </w:r>
          </w:p>
        </w:tc>
        <w:tc>
          <w:tcPr>
            <w:tcW w:w="1280" w:type="dxa"/>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22</w:t>
            </w:r>
          </w:p>
        </w:tc>
        <w:tc>
          <w:tcPr>
            <w:tcW w:w="1447" w:type="dxa"/>
            <w:tcBorders>
              <w:top w:val="nil"/>
              <w:left w:val="nil"/>
              <w:bottom w:val="nil"/>
              <w:right w:val="nil"/>
            </w:tcBorders>
            <w:shd w:val="clear" w:color="auto" w:fill="auto"/>
            <w:vAlign w:val="center"/>
            <w:hideMark/>
          </w:tcPr>
          <w:p w:rsidR="005946AD" w:rsidRPr="002A436C" w:rsidRDefault="005946AD" w:rsidP="002A436C">
            <w:pPr>
              <w:spacing w:line="360" w:lineRule="auto"/>
              <w:ind w:right="-94"/>
              <w:jc w:val="both"/>
              <w:rPr>
                <w:sz w:val="22"/>
                <w:szCs w:val="22"/>
                <w:lang w:val="en-GB" w:bidi="en-US"/>
              </w:rPr>
            </w:pPr>
            <w:r w:rsidRPr="002A436C">
              <w:rPr>
                <w:sz w:val="22"/>
                <w:szCs w:val="22"/>
                <w:lang w:val="en-GB" w:bidi="en-US"/>
              </w:rPr>
              <w:t>21 ± 6</w:t>
            </w:r>
          </w:p>
        </w:tc>
      </w:tr>
      <w:tr w:rsidR="005946AD" w:rsidRPr="009B194B" w:rsidTr="009B194B">
        <w:trPr>
          <w:trHeight w:val="295"/>
        </w:trPr>
        <w:tc>
          <w:tcPr>
            <w:tcW w:w="933" w:type="dxa"/>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4 [e]</w:t>
            </w:r>
          </w:p>
        </w:tc>
        <w:tc>
          <w:tcPr>
            <w:tcW w:w="1008" w:type="dxa"/>
            <w:tcBorders>
              <w:top w:val="single" w:sz="8" w:space="0" w:color="auto"/>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α-CD</w:t>
            </w:r>
          </w:p>
        </w:tc>
        <w:tc>
          <w:tcPr>
            <w:tcW w:w="897" w:type="dxa"/>
            <w:tcBorders>
              <w:top w:val="single" w:sz="8" w:space="0" w:color="auto"/>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rFonts w:eastAsia="Times New Roman"/>
                <w:color w:val="000000"/>
                <w:sz w:val="22"/>
                <w:szCs w:val="22"/>
                <w:lang w:val="en-GB"/>
              </w:rPr>
              <w:t>28.9</w:t>
            </w:r>
          </w:p>
        </w:tc>
        <w:tc>
          <w:tcPr>
            <w:tcW w:w="1074" w:type="dxa"/>
            <w:tcBorders>
              <w:top w:val="single" w:sz="8" w:space="0" w:color="auto"/>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rFonts w:eastAsia="Times New Roman"/>
                <w:color w:val="000000"/>
                <w:sz w:val="22"/>
                <w:szCs w:val="22"/>
                <w:lang w:val="en-GB"/>
              </w:rPr>
              <w:t>0.09</w:t>
            </w:r>
          </w:p>
        </w:tc>
        <w:tc>
          <w:tcPr>
            <w:tcW w:w="1737" w:type="dxa"/>
            <w:tcBorders>
              <w:top w:val="single" w:sz="8" w:space="0" w:color="auto"/>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45 ± 5</w:t>
            </w:r>
          </w:p>
        </w:tc>
        <w:tc>
          <w:tcPr>
            <w:tcW w:w="1280" w:type="dxa"/>
            <w:tcBorders>
              <w:top w:val="single" w:sz="8" w:space="0" w:color="auto"/>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14</w:t>
            </w:r>
          </w:p>
        </w:tc>
        <w:tc>
          <w:tcPr>
            <w:tcW w:w="1447" w:type="dxa"/>
            <w:tcBorders>
              <w:top w:val="single" w:sz="8" w:space="0" w:color="auto"/>
              <w:left w:val="nil"/>
              <w:bottom w:val="nil"/>
              <w:right w:val="nil"/>
            </w:tcBorders>
            <w:shd w:val="clear" w:color="auto" w:fill="auto"/>
            <w:vAlign w:val="center"/>
            <w:hideMark/>
          </w:tcPr>
          <w:p w:rsidR="005946AD" w:rsidRPr="002A436C" w:rsidRDefault="005946AD" w:rsidP="002A436C">
            <w:pPr>
              <w:spacing w:line="360" w:lineRule="auto"/>
              <w:ind w:right="-94"/>
              <w:jc w:val="both"/>
              <w:rPr>
                <w:sz w:val="22"/>
                <w:szCs w:val="22"/>
                <w:lang w:val="en-GB" w:bidi="en-US"/>
              </w:rPr>
            </w:pPr>
            <w:r w:rsidRPr="002A436C">
              <w:rPr>
                <w:sz w:val="22"/>
                <w:szCs w:val="22"/>
                <w:lang w:val="en-GB" w:bidi="en-US"/>
              </w:rPr>
              <w:t>54 ± 12</w:t>
            </w:r>
          </w:p>
        </w:tc>
      </w:tr>
      <w:tr w:rsidR="005946AD" w:rsidRPr="009B194B" w:rsidTr="009B194B">
        <w:trPr>
          <w:trHeight w:val="295"/>
        </w:trPr>
        <w:tc>
          <w:tcPr>
            <w:tcW w:w="933" w:type="dxa"/>
            <w:tcBorders>
              <w:top w:val="single" w:sz="8" w:space="0" w:color="auto"/>
              <w:left w:val="nil"/>
              <w:bottom w:val="single" w:sz="8" w:space="0" w:color="auto"/>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5 [e]</w:t>
            </w:r>
          </w:p>
        </w:tc>
        <w:tc>
          <w:tcPr>
            <w:tcW w:w="1008" w:type="dxa"/>
            <w:tcBorders>
              <w:top w:val="single" w:sz="8" w:space="0" w:color="auto"/>
              <w:left w:val="nil"/>
              <w:bottom w:val="single" w:sz="8" w:space="0" w:color="auto"/>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α-CD</w:t>
            </w:r>
          </w:p>
        </w:tc>
        <w:tc>
          <w:tcPr>
            <w:tcW w:w="897" w:type="dxa"/>
            <w:tcBorders>
              <w:top w:val="single" w:sz="8" w:space="0" w:color="auto"/>
              <w:left w:val="nil"/>
              <w:bottom w:val="single" w:sz="8" w:space="0" w:color="auto"/>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rFonts w:eastAsia="Times New Roman"/>
                <w:color w:val="000000"/>
                <w:sz w:val="22"/>
                <w:szCs w:val="22"/>
                <w:lang w:val="en-GB"/>
              </w:rPr>
              <w:t>23.1</w:t>
            </w:r>
          </w:p>
        </w:tc>
        <w:tc>
          <w:tcPr>
            <w:tcW w:w="1074" w:type="dxa"/>
            <w:tcBorders>
              <w:top w:val="single" w:sz="8" w:space="0" w:color="auto"/>
              <w:left w:val="nil"/>
              <w:bottom w:val="single" w:sz="8" w:space="0" w:color="auto"/>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rFonts w:eastAsia="Times New Roman"/>
                <w:color w:val="000000"/>
                <w:sz w:val="22"/>
                <w:szCs w:val="22"/>
                <w:lang w:val="en-GB"/>
              </w:rPr>
              <w:t>0.10</w:t>
            </w:r>
          </w:p>
        </w:tc>
        <w:tc>
          <w:tcPr>
            <w:tcW w:w="1737" w:type="dxa"/>
            <w:tcBorders>
              <w:top w:val="single" w:sz="8" w:space="0" w:color="auto"/>
              <w:left w:val="nil"/>
              <w:bottom w:val="single" w:sz="8" w:space="0" w:color="auto"/>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46 ± 7</w:t>
            </w:r>
          </w:p>
        </w:tc>
        <w:tc>
          <w:tcPr>
            <w:tcW w:w="1280" w:type="dxa"/>
            <w:tcBorders>
              <w:top w:val="single" w:sz="8" w:space="0" w:color="auto"/>
              <w:left w:val="nil"/>
              <w:bottom w:val="single" w:sz="8" w:space="0" w:color="auto"/>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16</w:t>
            </w:r>
          </w:p>
        </w:tc>
        <w:tc>
          <w:tcPr>
            <w:tcW w:w="1447" w:type="dxa"/>
            <w:tcBorders>
              <w:top w:val="single" w:sz="8" w:space="0" w:color="auto"/>
              <w:left w:val="nil"/>
              <w:bottom w:val="single" w:sz="8" w:space="0" w:color="auto"/>
              <w:right w:val="nil"/>
            </w:tcBorders>
            <w:shd w:val="clear" w:color="auto" w:fill="auto"/>
            <w:vAlign w:val="center"/>
            <w:hideMark/>
          </w:tcPr>
          <w:p w:rsidR="005946AD" w:rsidRPr="002A436C" w:rsidRDefault="005946AD" w:rsidP="002A436C">
            <w:pPr>
              <w:spacing w:line="360" w:lineRule="auto"/>
              <w:ind w:right="-94"/>
              <w:jc w:val="both"/>
              <w:rPr>
                <w:sz w:val="22"/>
                <w:szCs w:val="22"/>
                <w:lang w:val="en-GB" w:bidi="en-US"/>
              </w:rPr>
            </w:pPr>
            <w:r w:rsidRPr="002A436C">
              <w:rPr>
                <w:sz w:val="22"/>
                <w:szCs w:val="22"/>
                <w:lang w:val="en-GB" w:bidi="en-US"/>
              </w:rPr>
              <w:t>52 ± 15</w:t>
            </w:r>
          </w:p>
        </w:tc>
      </w:tr>
    </w:tbl>
    <w:p w:rsidR="005946AD" w:rsidRPr="002A436C" w:rsidRDefault="005946AD">
      <w:pPr>
        <w:spacing w:line="360" w:lineRule="auto"/>
        <w:jc w:val="both"/>
        <w:rPr>
          <w:sz w:val="22"/>
          <w:szCs w:val="22"/>
          <w:lang w:val="en-GB" w:bidi="en-US"/>
        </w:rPr>
      </w:pPr>
    </w:p>
    <w:p w:rsidR="005946AD" w:rsidRPr="002A436C" w:rsidRDefault="005946AD">
      <w:pPr>
        <w:spacing w:line="360" w:lineRule="auto"/>
        <w:jc w:val="both"/>
        <w:rPr>
          <w:sz w:val="22"/>
          <w:szCs w:val="22"/>
          <w:lang w:val="en-GB" w:bidi="en-US"/>
        </w:rPr>
      </w:pPr>
    </w:p>
    <w:p w:rsidR="005946AD" w:rsidRPr="002A436C" w:rsidRDefault="005946AD">
      <w:pPr>
        <w:spacing w:line="360" w:lineRule="auto"/>
        <w:jc w:val="both"/>
        <w:rPr>
          <w:sz w:val="22"/>
          <w:szCs w:val="22"/>
          <w:lang w:val="en-GB" w:bidi="en-US"/>
        </w:rPr>
      </w:pPr>
      <w:r w:rsidRPr="002A436C">
        <w:rPr>
          <w:sz w:val="22"/>
          <w:szCs w:val="22"/>
          <w:lang w:val="en-GB" w:bidi="en-US"/>
        </w:rPr>
        <w:t xml:space="preserve">Equation S4 is the result of rearranging equation S1 [S5], so that we can conveniently test the validity of S1 graphically by plotting the terms in the equation against each other; a linear fit with a gradient close to 1 implies the validity of equation S1. </w:t>
      </w:r>
      <w:r w:rsidRPr="002A436C">
        <w:rPr>
          <w:b/>
          <w:sz w:val="22"/>
          <w:szCs w:val="22"/>
          <w:lang w:val="en-GB" w:bidi="en-US"/>
        </w:rPr>
        <w:t>Figure S5</w:t>
      </w:r>
      <w:r w:rsidRPr="002A436C">
        <w:rPr>
          <w:sz w:val="22"/>
          <w:szCs w:val="22"/>
          <w:lang w:val="en-GB" w:bidi="en-US"/>
        </w:rPr>
        <w:t xml:space="preserve"> shows this plot for stations 1, 2, 4 and 5.</w:t>
      </w:r>
    </w:p>
    <w:p w:rsidR="005946AD" w:rsidRPr="002A436C" w:rsidRDefault="005946AD">
      <w:pPr>
        <w:spacing w:line="360" w:lineRule="auto"/>
        <w:jc w:val="both"/>
        <w:rPr>
          <w:sz w:val="22"/>
          <w:szCs w:val="22"/>
          <w:lang w:val="en-GB"/>
        </w:rPr>
      </w:pPr>
    </w:p>
    <w:p w:rsidR="005946AD" w:rsidRPr="002A436C" w:rsidRDefault="002A436C" w:rsidP="002A436C">
      <w:pPr>
        <w:spacing w:line="360" w:lineRule="auto"/>
        <w:jc w:val="both"/>
        <w:rPr>
          <w:sz w:val="22"/>
          <w:szCs w:val="22"/>
          <w:lang w:val="en-GB"/>
        </w:rPr>
      </w:pPr>
      <m:oMath>
        <m:sSup>
          <m:sSupPr>
            <m:ctrlPr>
              <w:rPr>
                <w:rFonts w:ascii="Cambria Math" w:hAnsi="Cambria Math"/>
                <w:i/>
                <w:sz w:val="22"/>
                <w:szCs w:val="22"/>
                <w:lang w:val="en-GB"/>
              </w:rPr>
            </m:ctrlPr>
          </m:sSupPr>
          <m:e>
            <m:r>
              <w:rPr>
                <w:rFonts w:ascii="Cambria Math" w:hAnsi="Cambria Math"/>
                <w:sz w:val="22"/>
                <w:szCs w:val="22"/>
                <w:lang w:val="en-GB"/>
              </w:rPr>
              <m:t>e</m:t>
            </m:r>
          </m:e>
          <m:sup>
            <m:r>
              <w:rPr>
                <w:rFonts w:ascii="Cambria Math" w:hAnsi="Cambria Math"/>
                <w:sz w:val="22"/>
                <w:szCs w:val="22"/>
                <w:lang w:val="en-GB"/>
              </w:rPr>
              <m:t>-</m:t>
            </m:r>
            <m:r>
              <w:rPr>
                <w:rFonts w:ascii="Cambria Math" w:hAnsi="Cambria Math"/>
                <w:sz w:val="22"/>
                <w:szCs w:val="22"/>
                <w:lang w:val="en-GB"/>
              </w:rPr>
              <m:t>γ</m:t>
            </m:r>
          </m:sup>
        </m:sSup>
        <m:r>
          <w:rPr>
            <w:rFonts w:ascii="Cambria Math" w:hAnsi="Cambria Math"/>
            <w:sz w:val="22"/>
            <w:szCs w:val="22"/>
            <w:lang w:val="en-GB"/>
          </w:rPr>
          <m:t>.</m:t>
        </m:r>
        <m:r>
          <w:rPr>
            <w:rFonts w:ascii="Cambria Math" w:hAnsi="Cambria Math"/>
            <w:sz w:val="22"/>
            <w:szCs w:val="22"/>
            <w:lang w:val="en-GB"/>
          </w:rPr>
          <m:t>R</m:t>
        </m:r>
        <m:d>
          <m:dPr>
            <m:ctrlPr>
              <w:rPr>
                <w:rFonts w:ascii="Cambria Math" w:hAnsi="Cambria Math"/>
                <w:i/>
                <w:sz w:val="22"/>
                <w:szCs w:val="22"/>
                <w:lang w:val="en-GB"/>
              </w:rPr>
            </m:ctrlPr>
          </m:dPr>
          <m:e>
            <m:r>
              <w:rPr>
                <w:rFonts w:ascii="Cambria Math" w:hAnsi="Cambria Math"/>
                <w:sz w:val="22"/>
                <w:szCs w:val="22"/>
                <w:lang w:val="en-GB"/>
              </w:rPr>
              <m:t>0</m:t>
            </m:r>
          </m:e>
        </m:d>
        <m:r>
          <w:rPr>
            <w:rFonts w:ascii="Cambria Math" w:hAnsi="Cambria Math"/>
            <w:sz w:val="22"/>
            <w:szCs w:val="22"/>
            <w:lang w:val="en-GB"/>
          </w:rPr>
          <m:t xml:space="preserve"> ≅ </m:t>
        </m:r>
        <m:sSup>
          <m:sSupPr>
            <m:ctrlPr>
              <w:rPr>
                <w:rFonts w:ascii="Cambria Math" w:hAnsi="Cambria Math"/>
                <w:i/>
                <w:sz w:val="22"/>
                <w:szCs w:val="22"/>
                <w:lang w:val="en-GB"/>
              </w:rPr>
            </m:ctrlPr>
          </m:sSupPr>
          <m:e>
            <m:r>
              <w:rPr>
                <w:rFonts w:ascii="Cambria Math" w:hAnsi="Cambria Math"/>
                <w:sz w:val="22"/>
                <w:szCs w:val="22"/>
                <w:lang w:val="en-GB"/>
              </w:rPr>
              <m:t>e</m:t>
            </m:r>
          </m:e>
          <m:sup>
            <m:f>
              <m:fPr>
                <m:type m:val="skw"/>
                <m:ctrlPr>
                  <w:rPr>
                    <w:rFonts w:ascii="Cambria Math" w:hAnsi="Cambria Math"/>
                    <w:i/>
                    <w:sz w:val="22"/>
                    <w:szCs w:val="22"/>
                    <w:lang w:val="en-GB"/>
                  </w:rPr>
                </m:ctrlPr>
              </m:fPr>
              <m:num>
                <m:d>
                  <m:dPr>
                    <m:begChr m:val="〈"/>
                    <m:endChr m:val="〉"/>
                    <m:ctrlPr>
                      <w:rPr>
                        <w:rFonts w:ascii="Cambria Math" w:hAnsi="Cambria Math"/>
                        <w:i/>
                        <w:sz w:val="22"/>
                        <w:szCs w:val="22"/>
                        <w:lang w:val="en-GB"/>
                      </w:rPr>
                    </m:ctrlPr>
                  </m:dPr>
                  <m:e>
                    <m:r>
                      <w:rPr>
                        <w:rFonts w:ascii="Cambria Math" w:hAnsi="Cambria Math"/>
                        <w:sz w:val="22"/>
                        <w:szCs w:val="22"/>
                        <w:lang w:val="en-GB"/>
                      </w:rPr>
                      <m:t>f</m:t>
                    </m:r>
                  </m:e>
                </m:d>
              </m:num>
              <m:den>
                <m:sSub>
                  <m:sSubPr>
                    <m:ctrlPr>
                      <w:rPr>
                        <w:rFonts w:ascii="Cambria Math" w:hAnsi="Cambria Math"/>
                        <w:i/>
                        <w:sz w:val="22"/>
                        <w:szCs w:val="22"/>
                        <w:lang w:val="en-GB" w:bidi="en-US"/>
                      </w:rPr>
                    </m:ctrlPr>
                  </m:sSubPr>
                  <m:e>
                    <m:r>
                      <w:rPr>
                        <w:rFonts w:ascii="Cambria Math" w:hAnsi="Cambria Math"/>
                        <w:sz w:val="22"/>
                        <w:szCs w:val="22"/>
                        <w:lang w:val="en-GB" w:bidi="en-US"/>
                      </w:rPr>
                      <m:t>f</m:t>
                    </m:r>
                  </m:e>
                  <m:sub>
                    <m:r>
                      <w:rPr>
                        <w:rFonts w:ascii="Cambria Math" w:hAnsi="Cambria Math"/>
                        <w:sz w:val="22"/>
                        <w:szCs w:val="22"/>
                        <w:lang w:val="en-GB" w:bidi="en-US"/>
                      </w:rPr>
                      <m:t>β</m:t>
                    </m:r>
                  </m:sub>
                </m:sSub>
              </m:den>
            </m:f>
            <m:r>
              <w:rPr>
                <w:rFonts w:ascii="Cambria Math" w:hAnsi="Cambria Math"/>
                <w:sz w:val="22"/>
                <w:szCs w:val="22"/>
                <w:lang w:val="en-GB"/>
              </w:rPr>
              <m:t xml:space="preserve"> - </m:t>
            </m:r>
          </m:sup>
        </m:sSup>
        <m:sSup>
          <m:sSupPr>
            <m:ctrlPr>
              <w:rPr>
                <w:rFonts w:ascii="Cambria Math" w:hAnsi="Cambria Math"/>
                <w:i/>
                <w:sz w:val="22"/>
                <w:szCs w:val="22"/>
                <w:lang w:val="en-GB"/>
              </w:rPr>
            </m:ctrlPr>
          </m:sSupPr>
          <m:e>
            <m:r>
              <w:rPr>
                <w:rFonts w:ascii="Cambria Math" w:hAnsi="Cambria Math"/>
                <w:sz w:val="22"/>
                <w:szCs w:val="22"/>
                <w:lang w:val="en-GB"/>
              </w:rPr>
              <m:t>e</m:t>
            </m:r>
          </m:e>
          <m:sup>
            <m:f>
              <m:fPr>
                <m:type m:val="skw"/>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sz w:val="22"/>
                        <w:szCs w:val="22"/>
                        <w:lang w:val="en-GB"/>
                      </w:rPr>
                      <m:t>f</m:t>
                    </m:r>
                  </m:e>
                  <m:sub>
                    <m:r>
                      <w:rPr>
                        <w:rFonts w:ascii="Cambria Math" w:hAnsi="Cambria Math"/>
                        <w:sz w:val="22"/>
                        <w:szCs w:val="22"/>
                        <w:lang w:val="en-GB"/>
                      </w:rPr>
                      <m:t>eq</m:t>
                    </m:r>
                  </m:sub>
                </m:sSub>
              </m:num>
              <m:den>
                <m:sSub>
                  <m:sSubPr>
                    <m:ctrlPr>
                      <w:rPr>
                        <w:rFonts w:ascii="Cambria Math" w:hAnsi="Cambria Math"/>
                        <w:i/>
                        <w:sz w:val="22"/>
                        <w:szCs w:val="22"/>
                        <w:lang w:val="en-GB" w:bidi="en-US"/>
                      </w:rPr>
                    </m:ctrlPr>
                  </m:sSubPr>
                  <m:e>
                    <m:r>
                      <w:rPr>
                        <w:rFonts w:ascii="Cambria Math" w:hAnsi="Cambria Math"/>
                        <w:sz w:val="22"/>
                        <w:szCs w:val="22"/>
                        <w:lang w:val="en-GB" w:bidi="en-US"/>
                      </w:rPr>
                      <m:t>f</m:t>
                    </m:r>
                  </m:e>
                  <m:sub>
                    <m:r>
                      <w:rPr>
                        <w:rFonts w:ascii="Cambria Math" w:hAnsi="Cambria Math"/>
                        <w:sz w:val="22"/>
                        <w:szCs w:val="22"/>
                        <w:lang w:val="en-GB" w:bidi="en-US"/>
                      </w:rPr>
                      <m:t>β</m:t>
                    </m:r>
                  </m:sub>
                </m:sSub>
              </m:den>
            </m:f>
            <m:r>
              <w:rPr>
                <w:rFonts w:ascii="Cambria Math" w:hAnsi="Cambria Math"/>
                <w:sz w:val="22"/>
                <w:szCs w:val="22"/>
                <w:lang w:val="en-GB"/>
              </w:rPr>
              <m:t xml:space="preserve"> </m:t>
            </m:r>
          </m:sup>
        </m:sSup>
      </m:oMath>
      <w:r w:rsidR="005946AD" w:rsidRPr="002A436C">
        <w:rPr>
          <w:sz w:val="22"/>
          <w:szCs w:val="22"/>
          <w:lang w:val="en-GB"/>
        </w:rPr>
        <w:t>,</w:t>
      </w:r>
      <w:r w:rsidR="005946AD" w:rsidRPr="002A436C">
        <w:rPr>
          <w:sz w:val="22"/>
          <w:szCs w:val="22"/>
          <w:lang w:val="en-GB"/>
        </w:rPr>
        <w:tab/>
      </w:r>
      <w:r w:rsidR="005946AD" w:rsidRPr="002A436C">
        <w:rPr>
          <w:sz w:val="22"/>
          <w:szCs w:val="22"/>
          <w:lang w:val="en-GB"/>
        </w:rPr>
        <w:tab/>
      </w:r>
      <w:r w:rsidR="005946AD" w:rsidRPr="002A436C">
        <w:rPr>
          <w:sz w:val="22"/>
          <w:szCs w:val="22"/>
          <w:lang w:val="en-GB"/>
        </w:rPr>
        <w:tab/>
      </w:r>
      <w:r w:rsidR="005946AD" w:rsidRPr="002A436C">
        <w:rPr>
          <w:sz w:val="22"/>
          <w:szCs w:val="22"/>
          <w:lang w:val="en-GB"/>
        </w:rPr>
        <w:tab/>
        <w:t>(S4)</w:t>
      </w:r>
    </w:p>
    <w:p w:rsidR="005946AD" w:rsidRPr="002A436C" w:rsidRDefault="005946AD" w:rsidP="002A436C">
      <w:pPr>
        <w:spacing w:line="360" w:lineRule="auto"/>
        <w:jc w:val="both"/>
        <w:rPr>
          <w:sz w:val="22"/>
          <w:szCs w:val="22"/>
          <w:lang w:val="en-GB"/>
        </w:rPr>
      </w:pPr>
    </w:p>
    <w:p w:rsidR="005946AD" w:rsidRPr="002A436C" w:rsidRDefault="005946AD" w:rsidP="002A436C">
      <w:pPr>
        <w:spacing w:line="360" w:lineRule="auto"/>
        <w:jc w:val="both"/>
        <w:rPr>
          <w:sz w:val="22"/>
          <w:szCs w:val="22"/>
          <w:lang w:val="en-GB"/>
        </w:rPr>
      </w:pPr>
      <m:oMath>
        <m:r>
          <w:rPr>
            <w:rFonts w:ascii="Cambria Math" w:hAnsi="Cambria Math"/>
            <w:sz w:val="22"/>
            <w:szCs w:val="22"/>
            <w:lang w:val="en-GB"/>
          </w:rPr>
          <m:t>R</m:t>
        </m:r>
        <m:d>
          <m:dPr>
            <m:ctrlPr>
              <w:rPr>
                <w:rFonts w:ascii="Cambria Math" w:hAnsi="Cambria Math"/>
                <w:i/>
                <w:sz w:val="22"/>
                <w:szCs w:val="22"/>
                <w:lang w:val="en-GB"/>
              </w:rPr>
            </m:ctrlPr>
          </m:dPr>
          <m:e>
            <m:r>
              <w:rPr>
                <w:rFonts w:ascii="Cambria Math" w:hAnsi="Cambria Math"/>
                <w:sz w:val="22"/>
                <w:szCs w:val="22"/>
                <w:lang w:val="en-GB"/>
              </w:rPr>
              <m:t>0</m:t>
            </m:r>
          </m:e>
        </m:d>
        <m:r>
          <w:rPr>
            <w:rFonts w:ascii="Cambria Math" w:hAnsi="Cambria Math"/>
            <w:sz w:val="22"/>
            <w:szCs w:val="22"/>
            <w:lang w:val="en-GB"/>
          </w:rPr>
          <m:t xml:space="preserve"> = </m:t>
        </m:r>
        <m:f>
          <m:fPr>
            <m:ctrlPr>
              <w:rPr>
                <w:rFonts w:ascii="Cambria Math" w:hAnsi="Cambria Math"/>
                <w:i/>
                <w:sz w:val="22"/>
                <w:szCs w:val="22"/>
                <w:lang w:val="en-GB" w:bidi="en-US"/>
              </w:rPr>
            </m:ctrlPr>
          </m:fPr>
          <m:num>
            <m:r>
              <w:rPr>
                <w:rFonts w:ascii="Cambria Math" w:hAnsi="Cambria Math"/>
                <w:sz w:val="22"/>
                <w:szCs w:val="22"/>
                <w:lang w:val="en-GB" w:bidi="en-US"/>
              </w:rPr>
              <m:t>r</m:t>
            </m:r>
          </m:num>
          <m:den>
            <m:sSub>
              <m:sSubPr>
                <m:ctrlPr>
                  <w:rPr>
                    <w:rFonts w:ascii="Cambria Math" w:hAnsi="Cambria Math"/>
                    <w:i/>
                    <w:sz w:val="22"/>
                    <w:szCs w:val="22"/>
                    <w:lang w:val="en-GB" w:bidi="en-US"/>
                  </w:rPr>
                </m:ctrlPr>
              </m:sSubPr>
              <m:e>
                <m:r>
                  <w:rPr>
                    <w:rFonts w:ascii="Cambria Math" w:hAnsi="Cambria Math"/>
                    <w:sz w:val="22"/>
                    <w:szCs w:val="22"/>
                    <w:lang w:val="en-GB" w:bidi="en-US"/>
                  </w:rPr>
                  <m:t>f</m:t>
                </m:r>
              </m:e>
              <m:sub>
                <m:r>
                  <w:rPr>
                    <w:rFonts w:ascii="Cambria Math" w:hAnsi="Cambria Math"/>
                    <w:sz w:val="22"/>
                    <w:szCs w:val="22"/>
                    <w:lang w:val="en-GB" w:bidi="en-US"/>
                  </w:rPr>
                  <m:t>β</m:t>
                </m:r>
              </m:sub>
            </m:sSub>
            <m:r>
              <w:rPr>
                <w:rFonts w:ascii="Cambria Math" w:hAnsi="Cambria Math"/>
                <w:sz w:val="22"/>
                <w:szCs w:val="22"/>
                <w:lang w:val="en-GB" w:bidi="en-US"/>
              </w:rPr>
              <m:t>.</m:t>
            </m:r>
            <m:sSub>
              <m:sSubPr>
                <m:ctrlPr>
                  <w:rPr>
                    <w:rFonts w:ascii="Cambria Math" w:hAnsi="Cambria Math"/>
                    <w:i/>
                    <w:sz w:val="22"/>
                    <w:szCs w:val="22"/>
                    <w:lang w:val="en-GB" w:bidi="en-US"/>
                  </w:rPr>
                </m:ctrlPr>
              </m:sSubPr>
              <m:e>
                <m:r>
                  <w:rPr>
                    <w:rFonts w:ascii="Cambria Math" w:hAnsi="Cambria Math"/>
                    <w:sz w:val="22"/>
                    <w:szCs w:val="22"/>
                    <w:lang w:val="en-GB" w:bidi="en-US"/>
                  </w:rPr>
                  <m:t>k</m:t>
                </m:r>
              </m:e>
              <m:sub>
                <m:r>
                  <w:rPr>
                    <w:rFonts w:ascii="Cambria Math" w:hAnsi="Cambria Math"/>
                    <w:sz w:val="22"/>
                    <w:szCs w:val="22"/>
                    <w:lang w:val="en-GB" w:bidi="en-US"/>
                  </w:rPr>
                  <m:t>off</m:t>
                </m:r>
              </m:sub>
            </m:sSub>
          </m:den>
        </m:f>
      </m:oMath>
      <w:r w:rsidRPr="002A436C">
        <w:rPr>
          <w:sz w:val="22"/>
          <w:szCs w:val="22"/>
          <w:lang w:val="en-GB" w:bidi="en-US"/>
        </w:rPr>
        <w:tab/>
        <w:t xml:space="preserve"> </w:t>
      </w:r>
      <w:r w:rsidRPr="002A436C">
        <w:rPr>
          <w:sz w:val="22"/>
          <w:szCs w:val="22"/>
          <w:lang w:val="en-GB" w:bidi="en-US"/>
        </w:rPr>
        <w:tab/>
      </w:r>
      <w:r w:rsidRPr="002A436C">
        <w:rPr>
          <w:sz w:val="22"/>
          <w:szCs w:val="22"/>
          <w:lang w:val="en-GB" w:bidi="en-US"/>
        </w:rPr>
        <w:tab/>
      </w:r>
      <w:r w:rsidRPr="002A436C">
        <w:rPr>
          <w:sz w:val="22"/>
          <w:szCs w:val="22"/>
          <w:lang w:val="en-GB" w:bidi="en-US"/>
        </w:rPr>
        <w:tab/>
      </w:r>
      <w:r w:rsidRPr="002A436C">
        <w:rPr>
          <w:sz w:val="22"/>
          <w:szCs w:val="22"/>
          <w:lang w:val="en-GB" w:bidi="en-US"/>
        </w:rPr>
        <w:tab/>
        <w:t>(S4a)</w:t>
      </w:r>
    </w:p>
    <w:p w:rsidR="005946AD" w:rsidRPr="002A436C" w:rsidRDefault="005946AD">
      <w:pPr>
        <w:spacing w:line="360" w:lineRule="auto"/>
        <w:jc w:val="both"/>
        <w:rPr>
          <w:sz w:val="22"/>
          <w:szCs w:val="22"/>
          <w:lang w:val="en-GB"/>
        </w:rPr>
      </w:pPr>
    </w:p>
    <w:p w:rsidR="005946AD" w:rsidRPr="002A436C" w:rsidRDefault="005946AD">
      <w:pPr>
        <w:spacing w:line="360" w:lineRule="auto"/>
        <w:jc w:val="both"/>
        <w:rPr>
          <w:sz w:val="22"/>
          <w:szCs w:val="22"/>
          <w:lang w:val="en-GB"/>
        </w:rPr>
      </w:pPr>
    </w:p>
    <w:p w:rsidR="005946AD" w:rsidRPr="002A436C" w:rsidRDefault="005946AD">
      <w:pPr>
        <w:spacing w:line="360" w:lineRule="auto"/>
        <w:jc w:val="both"/>
        <w:rPr>
          <w:sz w:val="22"/>
          <w:szCs w:val="22"/>
          <w:lang w:val="en-GB"/>
        </w:rPr>
      </w:pPr>
      <w:r w:rsidRPr="008A087E">
        <w:rPr>
          <w:noProof/>
          <w:sz w:val="22"/>
          <w:szCs w:val="22"/>
          <w:lang w:val="nb-NO" w:eastAsia="nb-NO"/>
        </w:rPr>
        <w:drawing>
          <wp:inline distT="0" distB="0" distL="0" distR="0" wp14:anchorId="1FC1F53D" wp14:editId="6EE9E585">
            <wp:extent cx="2800124" cy="26671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fig4.png"/>
                    <pic:cNvPicPr/>
                  </pic:nvPicPr>
                  <pic:blipFill>
                    <a:blip r:embed="rId15">
                      <a:extLst>
                        <a:ext uri="{28A0092B-C50C-407E-A947-70E740481C1C}">
                          <a14:useLocalDpi xmlns:a14="http://schemas.microsoft.com/office/drawing/2010/main" val="0"/>
                        </a:ext>
                      </a:extLst>
                    </a:blip>
                    <a:stretch>
                      <a:fillRect/>
                    </a:stretch>
                  </pic:blipFill>
                  <pic:spPr>
                    <a:xfrm>
                      <a:off x="0" y="0"/>
                      <a:ext cx="2800124" cy="2667158"/>
                    </a:xfrm>
                    <a:prstGeom prst="rect">
                      <a:avLst/>
                    </a:prstGeom>
                  </pic:spPr>
                </pic:pic>
              </a:graphicData>
            </a:graphic>
          </wp:inline>
        </w:drawing>
      </w:r>
    </w:p>
    <w:p w:rsidR="005946AD" w:rsidRPr="002A436C" w:rsidRDefault="005946AD">
      <w:pPr>
        <w:spacing w:line="360" w:lineRule="auto"/>
        <w:jc w:val="both"/>
        <w:rPr>
          <w:sz w:val="22"/>
          <w:szCs w:val="22"/>
          <w:lang w:val="en-GB"/>
        </w:rPr>
      </w:pPr>
      <w:r w:rsidRPr="002A436C">
        <w:rPr>
          <w:b/>
          <w:sz w:val="22"/>
          <w:szCs w:val="22"/>
          <w:lang w:val="en-GB"/>
        </w:rPr>
        <w:t>Figure S5.</w:t>
      </w:r>
      <w:r w:rsidRPr="002A436C">
        <w:rPr>
          <w:sz w:val="22"/>
          <w:szCs w:val="22"/>
          <w:lang w:val="en-GB"/>
        </w:rPr>
        <w:t xml:space="preserve"> Plot of the same data shown in Figure S4 (a-d and g-h), plotted in the natural coordinates of equation S1, showing the collapse of the data onto a straight line. The dashed line is a linear fit to the data, with slope = 0.82 </w:t>
      </w:r>
      <w:r w:rsidRPr="002A436C">
        <w:rPr>
          <w:sz w:val="22"/>
          <w:szCs w:val="22"/>
          <w:lang w:val="en-GB" w:bidi="en-US"/>
        </w:rPr>
        <w:t>(R</w:t>
      </w:r>
      <w:r w:rsidRPr="002A436C">
        <w:rPr>
          <w:sz w:val="22"/>
          <w:szCs w:val="22"/>
          <w:vertAlign w:val="superscript"/>
          <w:lang w:val="en-GB" w:bidi="en-US"/>
        </w:rPr>
        <w:t>2</w:t>
      </w:r>
      <w:r w:rsidRPr="002A436C">
        <w:rPr>
          <w:sz w:val="22"/>
          <w:szCs w:val="22"/>
          <w:lang w:val="en-GB" w:bidi="en-US"/>
        </w:rPr>
        <w:t xml:space="preserve"> = 0.97)</w:t>
      </w:r>
      <w:r w:rsidRPr="002A436C">
        <w:rPr>
          <w:sz w:val="22"/>
          <w:szCs w:val="22"/>
          <w:lang w:val="en-GB"/>
        </w:rPr>
        <w:t>.</w:t>
      </w:r>
    </w:p>
    <w:p w:rsidR="005946AD" w:rsidRPr="002A436C" w:rsidRDefault="005946AD">
      <w:pPr>
        <w:spacing w:line="360" w:lineRule="auto"/>
        <w:jc w:val="both"/>
        <w:rPr>
          <w:sz w:val="22"/>
          <w:szCs w:val="22"/>
          <w:lang w:val="en-GB"/>
        </w:rPr>
      </w:pPr>
    </w:p>
    <w:p w:rsidR="005946AD" w:rsidRPr="002A436C" w:rsidRDefault="005946AD">
      <w:pPr>
        <w:spacing w:line="360" w:lineRule="auto"/>
        <w:jc w:val="both"/>
        <w:outlineLvl w:val="0"/>
        <w:rPr>
          <w:b/>
          <w:sz w:val="22"/>
          <w:szCs w:val="22"/>
          <w:lang w:val="en-GB"/>
        </w:rPr>
      </w:pPr>
      <w:r w:rsidRPr="002A436C">
        <w:rPr>
          <w:b/>
          <w:sz w:val="22"/>
          <w:szCs w:val="22"/>
          <w:lang w:val="en-GB"/>
        </w:rPr>
        <w:t xml:space="preserve">1.3. Calculating </w:t>
      </w:r>
      <w:r w:rsidRPr="002A436C">
        <w:rPr>
          <w:b/>
          <w:sz w:val="22"/>
          <w:szCs w:val="22"/>
          <w:lang w:val="en-GB" w:bidi="en-US"/>
        </w:rPr>
        <w:t>ΔG</w:t>
      </w:r>
      <w:r w:rsidRPr="002A436C">
        <w:rPr>
          <w:b/>
          <w:sz w:val="22"/>
          <w:szCs w:val="22"/>
          <w:vertAlign w:val="subscript"/>
          <w:lang w:val="en-GB" w:bidi="en-US"/>
        </w:rPr>
        <w:t>bu</w:t>
      </w:r>
      <w:r w:rsidRPr="002A436C">
        <w:rPr>
          <w:b/>
          <w:sz w:val="22"/>
          <w:szCs w:val="22"/>
          <w:lang w:val="en-GB"/>
        </w:rPr>
        <w:t xml:space="preserve"> values for the data published by Auletta et al [S7]</w:t>
      </w:r>
    </w:p>
    <w:p w:rsidR="005946AD" w:rsidRPr="002A436C" w:rsidRDefault="005946AD">
      <w:pPr>
        <w:spacing w:line="360" w:lineRule="auto"/>
        <w:jc w:val="both"/>
        <w:rPr>
          <w:sz w:val="22"/>
          <w:szCs w:val="22"/>
          <w:lang w:val="en-GB"/>
        </w:rPr>
      </w:pPr>
    </w:p>
    <w:p w:rsidR="005946AD" w:rsidRPr="002A436C" w:rsidRDefault="005946AD">
      <w:pPr>
        <w:spacing w:line="360" w:lineRule="auto"/>
        <w:jc w:val="both"/>
        <w:rPr>
          <w:sz w:val="22"/>
          <w:szCs w:val="22"/>
          <w:lang w:val="en-GB"/>
        </w:rPr>
      </w:pPr>
      <w:r w:rsidRPr="002A436C">
        <w:rPr>
          <w:sz w:val="22"/>
          <w:szCs w:val="22"/>
          <w:lang w:val="en-GB"/>
        </w:rPr>
        <w:t xml:space="preserve">Auletta et al. (reference 31 in the main text) provide data on the observed rupture forces (and their lack of dependence on loading rate, implying that these are equilibrium forces) and a range of values for the spring constants of the probes used for their force measurements, so we are able to estimate values of </w:t>
      </w:r>
      <w:r w:rsidRPr="002A436C">
        <w:rPr>
          <w:sz w:val="22"/>
          <w:szCs w:val="22"/>
          <w:lang w:val="en-GB" w:bidi="en-US"/>
        </w:rPr>
        <w:t>ΔG</w:t>
      </w:r>
      <w:r w:rsidRPr="002A436C">
        <w:rPr>
          <w:sz w:val="22"/>
          <w:szCs w:val="22"/>
          <w:vertAlign w:val="subscript"/>
          <w:lang w:val="en-GB" w:bidi="en-US"/>
        </w:rPr>
        <w:t xml:space="preserve">bu </w:t>
      </w:r>
      <w:r w:rsidRPr="002A436C">
        <w:rPr>
          <w:sz w:val="22"/>
          <w:szCs w:val="22"/>
          <w:lang w:val="en-GB" w:bidi="en-US"/>
        </w:rPr>
        <w:t xml:space="preserve">for the rupture of complexes between the guest molecules they studied and </w:t>
      </w:r>
      <w:r w:rsidRPr="002A436C">
        <w:rPr>
          <w:sz w:val="22"/>
          <w:szCs w:val="22"/>
          <w:lang w:val="en-GB"/>
        </w:rPr>
        <w:t xml:space="preserve">β-CD using equation S3. </w:t>
      </w:r>
      <w:r w:rsidRPr="002A436C">
        <w:rPr>
          <w:b/>
          <w:sz w:val="22"/>
          <w:szCs w:val="22"/>
          <w:lang w:val="en-GB"/>
        </w:rPr>
        <w:t>Table S2</w:t>
      </w:r>
      <w:r w:rsidRPr="002A436C">
        <w:rPr>
          <w:sz w:val="22"/>
          <w:szCs w:val="22"/>
          <w:lang w:val="en-GB"/>
        </w:rPr>
        <w:t xml:space="preserve"> reports these values, together with the same calculations based on the estimated forces simulated by Qamar et al [S8] for the sliding of β-CD over purine and pyrimidine DNA nucleotides.</w:t>
      </w:r>
    </w:p>
    <w:p w:rsidR="005946AD" w:rsidRPr="002A436C" w:rsidRDefault="005946AD">
      <w:pPr>
        <w:spacing w:line="360" w:lineRule="auto"/>
        <w:jc w:val="both"/>
        <w:rPr>
          <w:sz w:val="22"/>
          <w:szCs w:val="22"/>
          <w:lang w:val="en-GB"/>
        </w:rPr>
      </w:pPr>
    </w:p>
    <w:p w:rsidR="005946AD" w:rsidRPr="002A436C" w:rsidRDefault="005946AD">
      <w:pPr>
        <w:spacing w:line="360" w:lineRule="auto"/>
        <w:jc w:val="both"/>
        <w:rPr>
          <w:b/>
          <w:sz w:val="22"/>
          <w:szCs w:val="22"/>
          <w:lang w:val="en-GB"/>
        </w:rPr>
      </w:pPr>
      <w:r w:rsidRPr="002A436C">
        <w:rPr>
          <w:b/>
          <w:sz w:val="22"/>
          <w:szCs w:val="22"/>
          <w:lang w:val="en-GB"/>
        </w:rPr>
        <w:t xml:space="preserve">Table S2. </w:t>
      </w:r>
      <w:r w:rsidRPr="002A436C">
        <w:rPr>
          <w:sz w:val="22"/>
          <w:szCs w:val="22"/>
          <w:lang w:val="en-GB"/>
        </w:rPr>
        <w:t xml:space="preserve">Calculated values of </w:t>
      </w:r>
      <w:r w:rsidRPr="002A436C">
        <w:rPr>
          <w:sz w:val="22"/>
          <w:szCs w:val="22"/>
          <w:lang w:val="en-GB" w:bidi="en-US"/>
        </w:rPr>
        <w:t>ΔG</w:t>
      </w:r>
      <w:r w:rsidRPr="002A436C">
        <w:rPr>
          <w:sz w:val="22"/>
          <w:szCs w:val="22"/>
          <w:vertAlign w:val="subscript"/>
          <w:lang w:val="en-GB" w:bidi="en-US"/>
        </w:rPr>
        <w:t>bu</w:t>
      </w:r>
      <w:r w:rsidRPr="002A436C">
        <w:rPr>
          <w:sz w:val="22"/>
          <w:szCs w:val="22"/>
          <w:lang w:val="en-GB" w:bidi="en-US"/>
        </w:rPr>
        <w:t xml:space="preserve"> using the reported values of </w:t>
      </w:r>
      <w:r w:rsidRPr="002A436C">
        <w:rPr>
          <w:i/>
          <w:sz w:val="22"/>
          <w:szCs w:val="22"/>
          <w:lang w:val="en-GB" w:bidi="en-US"/>
        </w:rPr>
        <w:t>f</w:t>
      </w:r>
      <w:r w:rsidRPr="002A436C">
        <w:rPr>
          <w:sz w:val="22"/>
          <w:szCs w:val="22"/>
          <w:vertAlign w:val="subscript"/>
          <w:lang w:val="en-GB" w:bidi="en-US"/>
        </w:rPr>
        <w:t>eq</w:t>
      </w:r>
      <w:r w:rsidRPr="002A436C">
        <w:rPr>
          <w:sz w:val="22"/>
          <w:szCs w:val="22"/>
          <w:lang w:val="en-GB" w:bidi="en-US"/>
        </w:rPr>
        <w:t xml:space="preserve"> and k</w:t>
      </w:r>
      <w:r w:rsidRPr="002A436C">
        <w:rPr>
          <w:sz w:val="22"/>
          <w:szCs w:val="22"/>
          <w:vertAlign w:val="subscript"/>
          <w:lang w:val="en-GB" w:bidi="en-US"/>
        </w:rPr>
        <w:t>c</w:t>
      </w:r>
      <w:r w:rsidRPr="002A436C">
        <w:rPr>
          <w:sz w:val="22"/>
          <w:szCs w:val="22"/>
          <w:lang w:val="en-GB" w:bidi="en-US"/>
        </w:rPr>
        <w:t xml:space="preserve"> (0.05-0.12 N/m) in Auletta et al [S7], and in Qamar et al (k</w:t>
      </w:r>
      <w:r w:rsidRPr="002A436C">
        <w:rPr>
          <w:sz w:val="22"/>
          <w:szCs w:val="22"/>
          <w:vertAlign w:val="subscript"/>
          <w:lang w:val="en-GB" w:bidi="en-US"/>
        </w:rPr>
        <w:t>c</w:t>
      </w:r>
      <w:r w:rsidRPr="002A436C">
        <w:rPr>
          <w:sz w:val="22"/>
          <w:szCs w:val="22"/>
          <w:lang w:val="en-GB" w:bidi="en-US"/>
        </w:rPr>
        <w:t xml:space="preserve"> = 0.3 N/m) [S8].</w:t>
      </w:r>
    </w:p>
    <w:tbl>
      <w:tblPr>
        <w:tblW w:w="6200" w:type="dxa"/>
        <w:jc w:val="center"/>
        <w:tblLook w:val="04A0" w:firstRow="1" w:lastRow="0" w:firstColumn="1" w:lastColumn="0" w:noHBand="0" w:noVBand="1"/>
      </w:tblPr>
      <w:tblGrid>
        <w:gridCol w:w="2065"/>
        <w:gridCol w:w="1837"/>
        <w:gridCol w:w="2298"/>
      </w:tblGrid>
      <w:tr w:rsidR="005946AD" w:rsidRPr="009B194B" w:rsidTr="009B194B">
        <w:trPr>
          <w:trHeight w:val="445"/>
          <w:jc w:val="center"/>
        </w:trPr>
        <w:tc>
          <w:tcPr>
            <w:tcW w:w="2065" w:type="dxa"/>
            <w:tcBorders>
              <w:top w:val="single" w:sz="4" w:space="0" w:color="auto"/>
              <w:left w:val="nil"/>
              <w:bottom w:val="single" w:sz="12" w:space="0" w:color="auto"/>
              <w:right w:val="nil"/>
            </w:tcBorders>
            <w:shd w:val="clear" w:color="auto" w:fill="auto"/>
            <w:vAlign w:val="center"/>
            <w:hideMark/>
          </w:tcPr>
          <w:p w:rsidR="005946AD" w:rsidRPr="002A436C" w:rsidRDefault="005946AD" w:rsidP="002A436C">
            <w:pPr>
              <w:spacing w:line="360" w:lineRule="auto"/>
              <w:jc w:val="both"/>
              <w:rPr>
                <w:b/>
                <w:bCs/>
                <w:sz w:val="22"/>
                <w:szCs w:val="22"/>
                <w:lang w:val="en-GB" w:bidi="en-US"/>
              </w:rPr>
            </w:pPr>
            <w:r w:rsidRPr="002A436C">
              <w:rPr>
                <w:b/>
                <w:bCs/>
                <w:sz w:val="22"/>
                <w:szCs w:val="22"/>
                <w:lang w:val="en-GB" w:bidi="en-US"/>
              </w:rPr>
              <w:t>Guest</w:t>
            </w:r>
          </w:p>
        </w:tc>
        <w:tc>
          <w:tcPr>
            <w:tcW w:w="1837" w:type="dxa"/>
            <w:tcBorders>
              <w:top w:val="single" w:sz="4" w:space="0" w:color="auto"/>
              <w:left w:val="nil"/>
              <w:bottom w:val="single" w:sz="12" w:space="0" w:color="auto"/>
              <w:right w:val="nil"/>
            </w:tcBorders>
            <w:shd w:val="clear" w:color="auto" w:fill="auto"/>
            <w:vAlign w:val="center"/>
            <w:hideMark/>
          </w:tcPr>
          <w:p w:rsidR="005946AD" w:rsidRPr="002A436C" w:rsidRDefault="005946AD" w:rsidP="002A436C">
            <w:pPr>
              <w:spacing w:line="360" w:lineRule="auto"/>
              <w:jc w:val="both"/>
              <w:rPr>
                <w:b/>
                <w:bCs/>
                <w:sz w:val="22"/>
                <w:szCs w:val="22"/>
                <w:lang w:val="en-GB" w:bidi="en-US"/>
              </w:rPr>
            </w:pPr>
            <w:r w:rsidRPr="002A436C">
              <w:rPr>
                <w:b/>
                <w:bCs/>
                <w:i/>
                <w:sz w:val="22"/>
                <w:szCs w:val="22"/>
                <w:lang w:val="en-GB" w:bidi="en-US"/>
              </w:rPr>
              <w:t>f</w:t>
            </w:r>
            <w:r w:rsidRPr="002A436C">
              <w:rPr>
                <w:b/>
                <w:bCs/>
                <w:sz w:val="22"/>
                <w:szCs w:val="22"/>
                <w:vertAlign w:val="subscript"/>
                <w:lang w:val="en-GB" w:bidi="en-US"/>
              </w:rPr>
              <w:t>eq</w:t>
            </w:r>
            <w:r w:rsidRPr="002A436C">
              <w:rPr>
                <w:b/>
                <w:bCs/>
                <w:sz w:val="22"/>
                <w:szCs w:val="22"/>
                <w:lang w:val="en-GB" w:bidi="en-US"/>
              </w:rPr>
              <w:t xml:space="preserve"> ± sd (pN)</w:t>
            </w:r>
          </w:p>
        </w:tc>
        <w:tc>
          <w:tcPr>
            <w:tcW w:w="2298" w:type="dxa"/>
            <w:tcBorders>
              <w:top w:val="single" w:sz="4" w:space="0" w:color="auto"/>
              <w:left w:val="nil"/>
              <w:bottom w:val="single" w:sz="12" w:space="0" w:color="auto"/>
              <w:right w:val="nil"/>
            </w:tcBorders>
            <w:shd w:val="clear" w:color="auto" w:fill="auto"/>
            <w:vAlign w:val="center"/>
            <w:hideMark/>
          </w:tcPr>
          <w:p w:rsidR="005946AD" w:rsidRPr="002A436C" w:rsidRDefault="005946AD" w:rsidP="002A436C">
            <w:pPr>
              <w:spacing w:line="360" w:lineRule="auto"/>
              <w:ind w:right="-420"/>
              <w:jc w:val="both"/>
              <w:rPr>
                <w:b/>
                <w:bCs/>
                <w:sz w:val="22"/>
                <w:szCs w:val="22"/>
                <w:lang w:val="en-GB" w:bidi="en-US"/>
              </w:rPr>
            </w:pPr>
            <w:r w:rsidRPr="002A436C">
              <w:rPr>
                <w:b/>
                <w:bCs/>
                <w:sz w:val="22"/>
                <w:szCs w:val="22"/>
                <w:lang w:val="en-GB" w:bidi="en-US"/>
              </w:rPr>
              <w:t>ΔG</w:t>
            </w:r>
            <w:r w:rsidRPr="002A436C">
              <w:rPr>
                <w:b/>
                <w:bCs/>
                <w:sz w:val="22"/>
                <w:szCs w:val="22"/>
                <w:vertAlign w:val="subscript"/>
                <w:lang w:val="en-GB" w:bidi="en-US"/>
              </w:rPr>
              <w:t>bu</w:t>
            </w:r>
            <w:r w:rsidRPr="002A436C">
              <w:rPr>
                <w:b/>
                <w:bCs/>
                <w:sz w:val="22"/>
                <w:szCs w:val="22"/>
                <w:lang w:val="en-GB" w:bidi="en-US"/>
              </w:rPr>
              <w:t xml:space="preserve"> ± sd (kJ/mol)</w:t>
            </w:r>
          </w:p>
        </w:tc>
      </w:tr>
      <w:tr w:rsidR="005946AD" w:rsidRPr="009B194B" w:rsidTr="009B194B">
        <w:trPr>
          <w:trHeight w:val="398"/>
          <w:jc w:val="center"/>
        </w:trPr>
        <w:tc>
          <w:tcPr>
            <w:tcW w:w="2065" w:type="dxa"/>
            <w:tcBorders>
              <w:top w:val="single" w:sz="12" w:space="0" w:color="auto"/>
              <w:left w:val="nil"/>
              <w:right w:val="nil"/>
            </w:tcBorders>
            <w:shd w:val="clear" w:color="auto" w:fill="auto"/>
            <w:vAlign w:val="center"/>
            <w:hideMark/>
          </w:tcPr>
          <w:p w:rsidR="005946AD" w:rsidRPr="002A436C" w:rsidRDefault="005946AD" w:rsidP="002A436C">
            <w:pPr>
              <w:jc w:val="both"/>
              <w:rPr>
                <w:rFonts w:eastAsia="Times New Roman"/>
                <w:sz w:val="22"/>
                <w:szCs w:val="22"/>
                <w:lang w:val="en-GB"/>
              </w:rPr>
            </w:pPr>
            <w:r w:rsidRPr="002A436C">
              <w:rPr>
                <w:rFonts w:eastAsia="Times New Roman"/>
                <w:sz w:val="22"/>
                <w:szCs w:val="22"/>
                <w:lang w:val="en-GB"/>
              </w:rPr>
              <w:t>anilyl</w:t>
            </w:r>
          </w:p>
        </w:tc>
        <w:tc>
          <w:tcPr>
            <w:tcW w:w="1837" w:type="dxa"/>
            <w:tcBorders>
              <w:top w:val="single" w:sz="12" w:space="0" w:color="auto"/>
              <w:left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39 ± 15</w:t>
            </w:r>
          </w:p>
        </w:tc>
        <w:tc>
          <w:tcPr>
            <w:tcW w:w="2298" w:type="dxa"/>
            <w:tcBorders>
              <w:top w:val="single" w:sz="12" w:space="0" w:color="auto"/>
              <w:left w:val="nil"/>
              <w:right w:val="nil"/>
            </w:tcBorders>
            <w:shd w:val="clear" w:color="auto" w:fill="auto"/>
            <w:vAlign w:val="center"/>
            <w:hideMark/>
          </w:tcPr>
          <w:p w:rsidR="005946AD" w:rsidRPr="002A436C" w:rsidRDefault="005946AD" w:rsidP="002A436C">
            <w:pPr>
              <w:spacing w:line="360" w:lineRule="auto"/>
              <w:ind w:right="-686"/>
              <w:jc w:val="both"/>
              <w:rPr>
                <w:sz w:val="22"/>
                <w:szCs w:val="22"/>
                <w:lang w:val="en-GB" w:bidi="en-US"/>
              </w:rPr>
            </w:pPr>
            <w:r w:rsidRPr="002A436C">
              <w:rPr>
                <w:sz w:val="22"/>
                <w:szCs w:val="22"/>
                <w:lang w:val="en-GB" w:bidi="en-US"/>
              </w:rPr>
              <w:t>12.7 ± 9.5</w:t>
            </w:r>
          </w:p>
        </w:tc>
      </w:tr>
      <w:tr w:rsidR="005946AD" w:rsidRPr="009B194B" w:rsidTr="009B194B">
        <w:trPr>
          <w:trHeight w:val="308"/>
          <w:jc w:val="center"/>
        </w:trPr>
        <w:tc>
          <w:tcPr>
            <w:tcW w:w="2065" w:type="dxa"/>
            <w:tcBorders>
              <w:top w:val="nil"/>
              <w:left w:val="nil"/>
              <w:bottom w:val="nil"/>
              <w:right w:val="nil"/>
            </w:tcBorders>
            <w:shd w:val="clear" w:color="auto" w:fill="auto"/>
            <w:vAlign w:val="center"/>
            <w:hideMark/>
          </w:tcPr>
          <w:p w:rsidR="005946AD" w:rsidRPr="002A436C" w:rsidRDefault="005946AD" w:rsidP="002A436C">
            <w:pPr>
              <w:jc w:val="both"/>
              <w:rPr>
                <w:rFonts w:eastAsia="Times New Roman"/>
                <w:sz w:val="22"/>
                <w:szCs w:val="22"/>
                <w:lang w:val="en-GB"/>
              </w:rPr>
            </w:pPr>
            <w:r w:rsidRPr="002A436C">
              <w:rPr>
                <w:rFonts w:eastAsia="Times New Roman"/>
                <w:sz w:val="22"/>
                <w:szCs w:val="22"/>
                <w:lang w:val="en-GB"/>
              </w:rPr>
              <w:t>toluidyl</w:t>
            </w:r>
          </w:p>
        </w:tc>
        <w:tc>
          <w:tcPr>
            <w:tcW w:w="1837" w:type="dxa"/>
            <w:tcBorders>
              <w:top w:val="nil"/>
              <w:left w:val="nil"/>
              <w:bottom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45 ± 15</w:t>
            </w:r>
          </w:p>
        </w:tc>
        <w:tc>
          <w:tcPr>
            <w:tcW w:w="2298" w:type="dxa"/>
            <w:tcBorders>
              <w:top w:val="nil"/>
              <w:left w:val="nil"/>
              <w:bottom w:val="nil"/>
              <w:right w:val="nil"/>
            </w:tcBorders>
            <w:shd w:val="clear" w:color="auto" w:fill="auto"/>
            <w:vAlign w:val="center"/>
            <w:hideMark/>
          </w:tcPr>
          <w:p w:rsidR="005946AD" w:rsidRPr="002A436C" w:rsidRDefault="005946AD" w:rsidP="002A436C">
            <w:pPr>
              <w:spacing w:line="360" w:lineRule="auto"/>
              <w:ind w:right="-686"/>
              <w:jc w:val="both"/>
              <w:rPr>
                <w:sz w:val="22"/>
                <w:szCs w:val="22"/>
                <w:lang w:val="en-GB" w:bidi="en-US"/>
              </w:rPr>
            </w:pPr>
            <w:r w:rsidRPr="002A436C">
              <w:rPr>
                <w:sz w:val="22"/>
                <w:szCs w:val="22"/>
                <w:lang w:val="en-GB" w:bidi="en-US"/>
              </w:rPr>
              <w:t>16.9 ± 10.9</w:t>
            </w:r>
          </w:p>
        </w:tc>
      </w:tr>
      <w:tr w:rsidR="005946AD" w:rsidRPr="009B194B" w:rsidTr="009B194B">
        <w:trPr>
          <w:trHeight w:val="308"/>
          <w:jc w:val="center"/>
        </w:trPr>
        <w:tc>
          <w:tcPr>
            <w:tcW w:w="2065" w:type="dxa"/>
            <w:tcBorders>
              <w:left w:val="nil"/>
              <w:right w:val="nil"/>
            </w:tcBorders>
            <w:shd w:val="clear" w:color="auto" w:fill="auto"/>
            <w:vAlign w:val="center"/>
            <w:hideMark/>
          </w:tcPr>
          <w:p w:rsidR="005946AD" w:rsidRPr="002A436C" w:rsidRDefault="005946AD" w:rsidP="002A436C">
            <w:pPr>
              <w:jc w:val="both"/>
              <w:rPr>
                <w:rFonts w:eastAsia="Times New Roman"/>
                <w:sz w:val="22"/>
                <w:szCs w:val="22"/>
                <w:lang w:val="en-GB"/>
              </w:rPr>
            </w:pPr>
            <w:r w:rsidRPr="002A436C">
              <w:rPr>
                <w:rFonts w:eastAsia="Times New Roman"/>
                <w:sz w:val="22"/>
                <w:szCs w:val="22"/>
                <w:lang w:val="en-GB"/>
              </w:rPr>
              <w:t>ferrocenyl</w:t>
            </w:r>
          </w:p>
        </w:tc>
        <w:tc>
          <w:tcPr>
            <w:tcW w:w="1837" w:type="dxa"/>
            <w:tcBorders>
              <w:left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55 ± 10</w:t>
            </w:r>
          </w:p>
        </w:tc>
        <w:tc>
          <w:tcPr>
            <w:tcW w:w="2298" w:type="dxa"/>
            <w:tcBorders>
              <w:left w:val="nil"/>
              <w:right w:val="nil"/>
            </w:tcBorders>
            <w:shd w:val="clear" w:color="auto" w:fill="auto"/>
            <w:vAlign w:val="center"/>
            <w:hideMark/>
          </w:tcPr>
          <w:p w:rsidR="005946AD" w:rsidRPr="002A436C" w:rsidRDefault="005946AD" w:rsidP="002A436C">
            <w:pPr>
              <w:spacing w:line="360" w:lineRule="auto"/>
              <w:ind w:right="-686"/>
              <w:jc w:val="both"/>
              <w:rPr>
                <w:sz w:val="22"/>
                <w:szCs w:val="22"/>
                <w:lang w:val="en-GB" w:bidi="en-US"/>
              </w:rPr>
            </w:pPr>
            <w:r w:rsidRPr="002A436C">
              <w:rPr>
                <w:sz w:val="22"/>
                <w:szCs w:val="22"/>
                <w:lang w:val="en-GB" w:bidi="en-US"/>
              </w:rPr>
              <w:t>25.3 ± 8.9</w:t>
            </w:r>
          </w:p>
        </w:tc>
      </w:tr>
      <w:tr w:rsidR="005946AD" w:rsidRPr="009B194B" w:rsidTr="009B194B">
        <w:trPr>
          <w:trHeight w:val="290"/>
          <w:jc w:val="center"/>
        </w:trPr>
        <w:tc>
          <w:tcPr>
            <w:tcW w:w="2065" w:type="dxa"/>
            <w:tcBorders>
              <w:left w:val="nil"/>
              <w:right w:val="nil"/>
            </w:tcBorders>
            <w:shd w:val="clear" w:color="auto" w:fill="auto"/>
            <w:vAlign w:val="center"/>
            <w:hideMark/>
          </w:tcPr>
          <w:p w:rsidR="005946AD" w:rsidRPr="002A436C" w:rsidRDefault="005946AD" w:rsidP="002A436C">
            <w:pPr>
              <w:jc w:val="both"/>
              <w:rPr>
                <w:rFonts w:eastAsia="Times New Roman"/>
                <w:sz w:val="22"/>
                <w:szCs w:val="22"/>
                <w:lang w:val="en-GB"/>
              </w:rPr>
            </w:pPr>
            <w:r w:rsidRPr="002A436C">
              <w:rPr>
                <w:rFonts w:eastAsia="Times New Roman"/>
                <w:sz w:val="22"/>
                <w:szCs w:val="22"/>
                <w:lang w:val="en-GB"/>
              </w:rPr>
              <w:t>tert-butylphenyl</w:t>
            </w:r>
          </w:p>
        </w:tc>
        <w:tc>
          <w:tcPr>
            <w:tcW w:w="1837" w:type="dxa"/>
            <w:tcBorders>
              <w:left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89 ± 15</w:t>
            </w:r>
          </w:p>
        </w:tc>
        <w:tc>
          <w:tcPr>
            <w:tcW w:w="2298" w:type="dxa"/>
            <w:tcBorders>
              <w:left w:val="nil"/>
              <w:right w:val="nil"/>
            </w:tcBorders>
            <w:shd w:val="clear" w:color="auto" w:fill="auto"/>
            <w:vAlign w:val="center"/>
            <w:hideMark/>
          </w:tcPr>
          <w:p w:rsidR="005946AD" w:rsidRPr="002A436C" w:rsidRDefault="005946AD" w:rsidP="002A436C">
            <w:pPr>
              <w:spacing w:line="360" w:lineRule="auto"/>
              <w:ind w:right="-686"/>
              <w:jc w:val="both"/>
              <w:rPr>
                <w:sz w:val="22"/>
                <w:szCs w:val="22"/>
                <w:lang w:val="en-GB" w:bidi="en-US"/>
              </w:rPr>
            </w:pPr>
            <w:r w:rsidRPr="002A436C">
              <w:rPr>
                <w:sz w:val="22"/>
                <w:szCs w:val="22"/>
                <w:lang w:val="en-GB" w:bidi="en-US"/>
              </w:rPr>
              <w:t>66.1 ± 30.9</w:t>
            </w:r>
          </w:p>
        </w:tc>
      </w:tr>
      <w:tr w:rsidR="005946AD" w:rsidRPr="009B194B" w:rsidTr="009B194B">
        <w:trPr>
          <w:trHeight w:val="290"/>
          <w:jc w:val="center"/>
        </w:trPr>
        <w:tc>
          <w:tcPr>
            <w:tcW w:w="2065" w:type="dxa"/>
            <w:tcBorders>
              <w:left w:val="nil"/>
              <w:right w:val="nil"/>
            </w:tcBorders>
            <w:shd w:val="clear" w:color="auto" w:fill="auto"/>
            <w:vAlign w:val="center"/>
            <w:hideMark/>
          </w:tcPr>
          <w:p w:rsidR="005946AD" w:rsidRPr="002A436C" w:rsidRDefault="005946AD" w:rsidP="002A436C">
            <w:pPr>
              <w:jc w:val="both"/>
              <w:rPr>
                <w:rFonts w:eastAsia="Times New Roman"/>
                <w:sz w:val="22"/>
                <w:szCs w:val="22"/>
                <w:lang w:val="en-GB"/>
              </w:rPr>
            </w:pPr>
            <w:r w:rsidRPr="002A436C">
              <w:rPr>
                <w:rFonts w:eastAsia="Times New Roman"/>
                <w:sz w:val="22"/>
                <w:szCs w:val="22"/>
                <w:lang w:val="en-GB"/>
              </w:rPr>
              <w:t>adamantyl</w:t>
            </w:r>
          </w:p>
        </w:tc>
        <w:tc>
          <w:tcPr>
            <w:tcW w:w="1837" w:type="dxa"/>
            <w:tcBorders>
              <w:left w:val="nil"/>
              <w:right w:val="nil"/>
            </w:tcBorders>
            <w:shd w:val="clear" w:color="auto" w:fill="auto"/>
            <w:vAlign w:val="center"/>
            <w:hideMark/>
          </w:tcPr>
          <w:p w:rsidR="005946AD" w:rsidRPr="002A436C" w:rsidRDefault="005946AD" w:rsidP="002A436C">
            <w:pPr>
              <w:spacing w:line="360" w:lineRule="auto"/>
              <w:jc w:val="both"/>
              <w:rPr>
                <w:sz w:val="22"/>
                <w:szCs w:val="22"/>
                <w:lang w:val="en-GB" w:bidi="en-US"/>
              </w:rPr>
            </w:pPr>
            <w:r w:rsidRPr="002A436C">
              <w:rPr>
                <w:sz w:val="22"/>
                <w:szCs w:val="22"/>
                <w:lang w:val="en-GB" w:bidi="en-US"/>
              </w:rPr>
              <w:t>102 ± 15</w:t>
            </w:r>
          </w:p>
        </w:tc>
        <w:tc>
          <w:tcPr>
            <w:tcW w:w="2298" w:type="dxa"/>
            <w:tcBorders>
              <w:left w:val="nil"/>
              <w:right w:val="nil"/>
            </w:tcBorders>
            <w:shd w:val="clear" w:color="auto" w:fill="auto"/>
            <w:vAlign w:val="center"/>
            <w:hideMark/>
          </w:tcPr>
          <w:p w:rsidR="005946AD" w:rsidRPr="002A436C" w:rsidRDefault="005946AD" w:rsidP="002A436C">
            <w:pPr>
              <w:spacing w:line="360" w:lineRule="auto"/>
              <w:ind w:right="-686"/>
              <w:jc w:val="both"/>
              <w:rPr>
                <w:sz w:val="22"/>
                <w:szCs w:val="22"/>
                <w:lang w:val="en-GB" w:bidi="en-US"/>
              </w:rPr>
            </w:pPr>
            <w:r w:rsidRPr="002A436C">
              <w:rPr>
                <w:sz w:val="22"/>
                <w:szCs w:val="22"/>
                <w:lang w:val="en-GB" w:bidi="en-US"/>
              </w:rPr>
              <w:t>86.8 ± 24.7</w:t>
            </w:r>
          </w:p>
        </w:tc>
      </w:tr>
      <w:tr w:rsidR="005946AD" w:rsidRPr="009B194B" w:rsidTr="009B194B">
        <w:trPr>
          <w:trHeight w:val="290"/>
          <w:jc w:val="center"/>
        </w:trPr>
        <w:tc>
          <w:tcPr>
            <w:tcW w:w="2065" w:type="dxa"/>
            <w:tcBorders>
              <w:left w:val="nil"/>
              <w:right w:val="nil"/>
            </w:tcBorders>
            <w:shd w:val="clear" w:color="auto" w:fill="auto"/>
            <w:vAlign w:val="center"/>
          </w:tcPr>
          <w:p w:rsidR="005946AD" w:rsidRPr="002A436C" w:rsidRDefault="005946AD" w:rsidP="002A436C">
            <w:pPr>
              <w:jc w:val="both"/>
              <w:rPr>
                <w:rFonts w:eastAsia="Times New Roman"/>
                <w:sz w:val="22"/>
                <w:szCs w:val="22"/>
                <w:lang w:val="en-GB"/>
              </w:rPr>
            </w:pPr>
            <w:r w:rsidRPr="002A436C">
              <w:rPr>
                <w:rFonts w:eastAsia="Times New Roman"/>
                <w:sz w:val="22"/>
                <w:szCs w:val="22"/>
                <w:lang w:val="en-GB"/>
              </w:rPr>
              <w:t>purines</w:t>
            </w:r>
          </w:p>
        </w:tc>
        <w:tc>
          <w:tcPr>
            <w:tcW w:w="1837" w:type="dxa"/>
            <w:tcBorders>
              <w:left w:val="nil"/>
              <w:right w:val="nil"/>
            </w:tcBorders>
            <w:shd w:val="clear" w:color="auto" w:fill="auto"/>
            <w:vAlign w:val="center"/>
          </w:tcPr>
          <w:p w:rsidR="005946AD" w:rsidRPr="002A436C" w:rsidRDefault="005946AD" w:rsidP="002A436C">
            <w:pPr>
              <w:spacing w:line="360" w:lineRule="auto"/>
              <w:jc w:val="both"/>
              <w:rPr>
                <w:sz w:val="22"/>
                <w:szCs w:val="22"/>
                <w:lang w:val="en-GB" w:bidi="en-US"/>
              </w:rPr>
            </w:pPr>
            <w:r w:rsidRPr="002A436C">
              <w:rPr>
                <w:sz w:val="22"/>
                <w:szCs w:val="22"/>
                <w:lang w:val="en-GB" w:bidi="en-US"/>
              </w:rPr>
              <w:t>75</w:t>
            </w:r>
          </w:p>
        </w:tc>
        <w:tc>
          <w:tcPr>
            <w:tcW w:w="2298" w:type="dxa"/>
            <w:tcBorders>
              <w:left w:val="nil"/>
              <w:right w:val="nil"/>
            </w:tcBorders>
            <w:shd w:val="clear" w:color="auto" w:fill="auto"/>
            <w:vAlign w:val="center"/>
          </w:tcPr>
          <w:p w:rsidR="005946AD" w:rsidRPr="002A436C" w:rsidRDefault="005946AD" w:rsidP="002A436C">
            <w:pPr>
              <w:spacing w:line="360" w:lineRule="auto"/>
              <w:ind w:right="-686"/>
              <w:jc w:val="both"/>
              <w:rPr>
                <w:sz w:val="22"/>
                <w:szCs w:val="22"/>
                <w:lang w:val="en-GB" w:bidi="en-US"/>
              </w:rPr>
            </w:pPr>
            <w:r w:rsidRPr="002A436C">
              <w:rPr>
                <w:sz w:val="22"/>
                <w:szCs w:val="22"/>
                <w:lang w:val="en-GB" w:bidi="en-US"/>
              </w:rPr>
              <w:t>31</w:t>
            </w:r>
          </w:p>
        </w:tc>
      </w:tr>
      <w:tr w:rsidR="005946AD" w:rsidRPr="009B194B" w:rsidTr="009B194B">
        <w:trPr>
          <w:trHeight w:val="290"/>
          <w:jc w:val="center"/>
        </w:trPr>
        <w:tc>
          <w:tcPr>
            <w:tcW w:w="2065" w:type="dxa"/>
            <w:tcBorders>
              <w:left w:val="nil"/>
              <w:bottom w:val="single" w:sz="12" w:space="0" w:color="auto"/>
              <w:right w:val="nil"/>
            </w:tcBorders>
            <w:shd w:val="clear" w:color="auto" w:fill="auto"/>
            <w:vAlign w:val="center"/>
          </w:tcPr>
          <w:p w:rsidR="005946AD" w:rsidRPr="002A436C" w:rsidRDefault="005946AD" w:rsidP="002A436C">
            <w:pPr>
              <w:jc w:val="both"/>
              <w:rPr>
                <w:rFonts w:eastAsia="Times New Roman"/>
                <w:sz w:val="22"/>
                <w:szCs w:val="22"/>
                <w:lang w:val="en-GB"/>
              </w:rPr>
            </w:pPr>
            <w:r w:rsidRPr="002A436C">
              <w:rPr>
                <w:rFonts w:eastAsia="Times New Roman"/>
                <w:sz w:val="22"/>
                <w:szCs w:val="22"/>
                <w:lang w:val="en-GB"/>
              </w:rPr>
              <w:t>pyrimidines</w:t>
            </w:r>
          </w:p>
        </w:tc>
        <w:tc>
          <w:tcPr>
            <w:tcW w:w="1837" w:type="dxa"/>
            <w:tcBorders>
              <w:left w:val="nil"/>
              <w:bottom w:val="single" w:sz="12" w:space="0" w:color="auto"/>
              <w:right w:val="nil"/>
            </w:tcBorders>
            <w:shd w:val="clear" w:color="auto" w:fill="auto"/>
            <w:vAlign w:val="center"/>
          </w:tcPr>
          <w:p w:rsidR="005946AD" w:rsidRPr="002A436C" w:rsidRDefault="005946AD" w:rsidP="002A436C">
            <w:pPr>
              <w:spacing w:line="360" w:lineRule="auto"/>
              <w:jc w:val="both"/>
              <w:rPr>
                <w:sz w:val="22"/>
                <w:szCs w:val="22"/>
                <w:lang w:val="en-GB" w:bidi="en-US"/>
              </w:rPr>
            </w:pPr>
            <w:r w:rsidRPr="002A436C">
              <w:rPr>
                <w:sz w:val="22"/>
                <w:szCs w:val="22"/>
                <w:lang w:val="en-GB" w:bidi="en-US"/>
              </w:rPr>
              <w:t>78</w:t>
            </w:r>
          </w:p>
        </w:tc>
        <w:tc>
          <w:tcPr>
            <w:tcW w:w="2298" w:type="dxa"/>
            <w:tcBorders>
              <w:left w:val="nil"/>
              <w:bottom w:val="single" w:sz="12" w:space="0" w:color="auto"/>
              <w:right w:val="nil"/>
            </w:tcBorders>
            <w:shd w:val="clear" w:color="auto" w:fill="auto"/>
            <w:vAlign w:val="center"/>
          </w:tcPr>
          <w:p w:rsidR="005946AD" w:rsidRPr="002A436C" w:rsidRDefault="005946AD" w:rsidP="002A436C">
            <w:pPr>
              <w:spacing w:line="360" w:lineRule="auto"/>
              <w:ind w:right="-686"/>
              <w:jc w:val="both"/>
              <w:rPr>
                <w:sz w:val="22"/>
                <w:szCs w:val="22"/>
                <w:lang w:val="en-GB" w:bidi="en-US"/>
              </w:rPr>
            </w:pPr>
            <w:r w:rsidRPr="002A436C">
              <w:rPr>
                <w:sz w:val="22"/>
                <w:szCs w:val="22"/>
                <w:lang w:val="en-GB" w:bidi="en-US"/>
              </w:rPr>
              <w:t>33</w:t>
            </w:r>
          </w:p>
        </w:tc>
      </w:tr>
    </w:tbl>
    <w:p w:rsidR="005946AD" w:rsidRPr="002A436C" w:rsidRDefault="005946AD">
      <w:pPr>
        <w:spacing w:line="360" w:lineRule="auto"/>
        <w:jc w:val="both"/>
        <w:rPr>
          <w:sz w:val="22"/>
          <w:szCs w:val="22"/>
          <w:lang w:val="en-GB"/>
        </w:rPr>
      </w:pPr>
    </w:p>
    <w:p w:rsidR="005946AD" w:rsidRPr="002A436C" w:rsidRDefault="005946AD">
      <w:pPr>
        <w:spacing w:line="360" w:lineRule="auto"/>
        <w:jc w:val="both"/>
        <w:rPr>
          <w:sz w:val="22"/>
          <w:szCs w:val="22"/>
          <w:lang w:val="en-GB"/>
        </w:rPr>
      </w:pPr>
    </w:p>
    <w:p w:rsidR="005946AD" w:rsidRPr="002A436C" w:rsidRDefault="005946AD" w:rsidP="002A436C">
      <w:pPr>
        <w:jc w:val="both"/>
        <w:rPr>
          <w:b/>
          <w:sz w:val="22"/>
          <w:szCs w:val="22"/>
          <w:lang w:val="en-GB"/>
        </w:rPr>
      </w:pPr>
      <w:r w:rsidRPr="002A436C">
        <w:rPr>
          <w:b/>
          <w:sz w:val="22"/>
          <w:szCs w:val="22"/>
          <w:lang w:val="en-GB"/>
        </w:rPr>
        <w:t>2. UV Measurements of Equilibrium constant K</w:t>
      </w:r>
    </w:p>
    <w:p w:rsidR="005946AD" w:rsidRPr="002A436C" w:rsidRDefault="005946AD">
      <w:pPr>
        <w:spacing w:line="360" w:lineRule="auto"/>
        <w:jc w:val="both"/>
        <w:rPr>
          <w:i/>
          <w:sz w:val="22"/>
          <w:szCs w:val="22"/>
          <w:lang w:val="en-GB"/>
        </w:rPr>
      </w:pPr>
    </w:p>
    <w:p w:rsidR="005946AD" w:rsidRPr="002A436C" w:rsidRDefault="005946AD">
      <w:pPr>
        <w:spacing w:line="360" w:lineRule="auto"/>
        <w:jc w:val="both"/>
        <w:rPr>
          <w:sz w:val="22"/>
          <w:szCs w:val="22"/>
          <w:lang w:val="en-GB"/>
        </w:rPr>
      </w:pPr>
      <w:r w:rsidRPr="002A436C">
        <w:rPr>
          <w:sz w:val="22"/>
          <w:szCs w:val="22"/>
          <w:lang w:val="en-GB"/>
        </w:rPr>
        <w:t xml:space="preserve">In order to explore the nature of the relationship between the observed free energy of sliding and the equilibrium constant K for host:guest complexation we collected values of K for the host:guest complexes studied. Literature values are reported for stations 2, 3, 4 and 5 with α- and β-CD (references 22-25 in the main text). To the best of our knowledge the equilibrium constants for the host:guest complex between station 1 and α- and β-CDs have not previously been reported, so we measured K for stations 1 and 2 using the UV spectroscopic method presented below. All values of log K are presented in </w:t>
      </w:r>
      <w:r w:rsidRPr="002A436C">
        <w:rPr>
          <w:b/>
          <w:sz w:val="22"/>
          <w:szCs w:val="22"/>
          <w:lang w:val="en-GB"/>
        </w:rPr>
        <w:t>Table 1</w:t>
      </w:r>
      <w:r w:rsidRPr="002A436C">
        <w:rPr>
          <w:sz w:val="22"/>
          <w:szCs w:val="22"/>
          <w:lang w:val="en-GB"/>
        </w:rPr>
        <w:t xml:space="preserve"> in the main text.</w:t>
      </w:r>
    </w:p>
    <w:p w:rsidR="005946AD" w:rsidRPr="002A436C" w:rsidRDefault="005946AD">
      <w:pPr>
        <w:spacing w:line="360" w:lineRule="auto"/>
        <w:jc w:val="both"/>
        <w:rPr>
          <w:sz w:val="22"/>
          <w:szCs w:val="22"/>
          <w:lang w:val="en-GB"/>
        </w:rPr>
      </w:pPr>
    </w:p>
    <w:p w:rsidR="005946AD" w:rsidRPr="002A436C" w:rsidRDefault="005946AD">
      <w:pPr>
        <w:spacing w:line="360" w:lineRule="auto"/>
        <w:jc w:val="both"/>
        <w:rPr>
          <w:sz w:val="22"/>
          <w:szCs w:val="22"/>
          <w:lang w:val="en-GB"/>
        </w:rPr>
      </w:pPr>
      <w:r w:rsidRPr="002A436C">
        <w:rPr>
          <w:sz w:val="22"/>
          <w:szCs w:val="22"/>
          <w:lang w:val="en-GB"/>
        </w:rPr>
        <w:t>We employed a spectroscopic method that takes advantage of the red shift in the wavelength of maximum absorption (λ</w:t>
      </w:r>
      <w:r w:rsidRPr="002A436C">
        <w:rPr>
          <w:sz w:val="22"/>
          <w:szCs w:val="22"/>
          <w:vertAlign w:val="subscript"/>
          <w:lang w:val="en-GB"/>
        </w:rPr>
        <w:t>max</w:t>
      </w:r>
      <w:r w:rsidRPr="002A436C">
        <w:rPr>
          <w:sz w:val="22"/>
          <w:szCs w:val="22"/>
          <w:lang w:val="en-GB"/>
        </w:rPr>
        <w:t>) and corresponding increase in molar absorption coefficient (ε) that is observed when an aromatic group is included in a CD host in aqueous conditions [S9]. UV spectra are obtained for solutions with a fixed guest concentration [G] and a varied host concentration [CD], and the absorbances at λ</w:t>
      </w:r>
      <w:r w:rsidRPr="002A436C">
        <w:rPr>
          <w:sz w:val="22"/>
          <w:szCs w:val="22"/>
          <w:vertAlign w:val="subscript"/>
          <w:lang w:val="en-GB"/>
        </w:rPr>
        <w:t xml:space="preserve">max </w:t>
      </w:r>
      <w:r w:rsidRPr="002A436C">
        <w:rPr>
          <w:sz w:val="22"/>
          <w:szCs w:val="22"/>
          <w:lang w:val="en-GB"/>
        </w:rPr>
        <w:t xml:space="preserve">of the uncomplexed guest and at a background wavelength away from the peak in absorbance are recorded. Initially, in order to most closely replicate the situation addressed by the AFM experiments, we sought to measure the complexation of CD with PEG-tethered stations 1 and 2. In each case we observed no, or very little, shift in the UV spectra, suggesting that no complexation between the CDs and stations 1 or 2 occurred. This may be because the CDs preferentially complexed with the PEG, and since PEG lacks chromophores detectable by UV-vis spectroscopy no signal was observed. When, instead, stations 1 and 2 were introduced to CD alone, we observed shifts in the spectra as shown in </w:t>
      </w:r>
      <w:r w:rsidRPr="002A436C">
        <w:rPr>
          <w:b/>
          <w:sz w:val="22"/>
          <w:szCs w:val="22"/>
          <w:lang w:val="en-GB"/>
        </w:rPr>
        <w:t>Figure S6</w:t>
      </w:r>
      <w:r w:rsidRPr="002A436C">
        <w:rPr>
          <w:sz w:val="22"/>
          <w:szCs w:val="22"/>
          <w:lang w:val="en-GB"/>
        </w:rPr>
        <w:t>. Where such a system exhibits a 1:1 stoichiometry with the host CD, the equilibrium constant K can be evaluated using equation S5:</w:t>
      </w:r>
    </w:p>
    <w:p w:rsidR="005946AD" w:rsidRPr="002A436C" w:rsidRDefault="005946AD">
      <w:pPr>
        <w:spacing w:line="360" w:lineRule="auto"/>
        <w:jc w:val="both"/>
        <w:rPr>
          <w:sz w:val="22"/>
          <w:szCs w:val="22"/>
          <w:lang w:val="en-GB"/>
        </w:rPr>
      </w:pPr>
    </w:p>
    <w:p w:rsidR="005946AD" w:rsidRPr="002A436C" w:rsidRDefault="005946AD" w:rsidP="002A436C">
      <w:pPr>
        <w:spacing w:line="360" w:lineRule="auto"/>
        <w:jc w:val="both"/>
        <w:rPr>
          <w:sz w:val="22"/>
          <w:szCs w:val="22"/>
          <w:lang w:val="en-GB"/>
        </w:rPr>
      </w:pPr>
      <w:r w:rsidRPr="002A436C">
        <w:rPr>
          <w:sz w:val="22"/>
          <w:szCs w:val="22"/>
          <w:lang w:val="en-GB"/>
        </w:rPr>
        <w:tab/>
      </w:r>
      <w:r w:rsidRPr="002A436C">
        <w:rPr>
          <w:sz w:val="22"/>
          <w:szCs w:val="22"/>
          <w:lang w:val="en-GB"/>
        </w:rPr>
        <w:tab/>
      </w:r>
      <w:r w:rsidRPr="002A436C">
        <w:rPr>
          <w:sz w:val="22"/>
          <w:szCs w:val="22"/>
          <w:lang w:val="en-GB"/>
        </w:rPr>
        <w:tab/>
      </w:r>
      <w:r w:rsidRPr="002A436C">
        <w:rPr>
          <w:sz w:val="22"/>
          <w:szCs w:val="22"/>
          <w:lang w:val="en-GB"/>
        </w:rPr>
        <w:tab/>
      </w:r>
      <m:oMath>
        <m:r>
          <w:rPr>
            <w:rFonts w:ascii="Cambria Math" w:hAnsi="Cambria Math"/>
            <w:lang w:val="en-GB"/>
          </w:rPr>
          <m:t xml:space="preserve">K = </m:t>
        </m:r>
        <m:f>
          <m:fPr>
            <m:ctrlPr>
              <w:rPr>
                <w:rFonts w:ascii="Cambria Math" w:hAnsi="Cambria Math"/>
                <w:i/>
                <w:lang w:val="en-GB" w:bidi="en-US"/>
              </w:rPr>
            </m:ctrlPr>
          </m:fPr>
          <m:num>
            <m:r>
              <w:rPr>
                <w:rFonts w:ascii="Cambria Math" w:hAnsi="Cambria Math"/>
                <w:lang w:val="en-GB" w:bidi="en-US"/>
              </w:rPr>
              <m:t>[CD</m:t>
            </m:r>
            <m:r>
              <w:rPr>
                <w:rFonts w:ascii="Cambria Math" w:hAnsi="Cambria Math" w:hint="eastAsia"/>
                <w:lang w:val="en-GB" w:bidi="en-US"/>
              </w:rPr>
              <m:t>・</m:t>
            </m:r>
            <m:r>
              <w:rPr>
                <w:rFonts w:ascii="Cambria Math" w:hAnsi="Cambria Math"/>
                <w:lang w:val="en-GB" w:bidi="en-US"/>
              </w:rPr>
              <m:t>G]</m:t>
            </m:r>
          </m:num>
          <m:den>
            <m:d>
              <m:dPr>
                <m:begChr m:val="["/>
                <m:endChr m:val="]"/>
                <m:ctrlPr>
                  <w:rPr>
                    <w:rFonts w:ascii="Cambria Math" w:hAnsi="Cambria Math"/>
                    <w:i/>
                    <w:lang w:val="en-GB" w:bidi="en-US"/>
                  </w:rPr>
                </m:ctrlPr>
              </m:dPr>
              <m:e>
                <m:r>
                  <w:rPr>
                    <w:rFonts w:ascii="Cambria Math" w:hAnsi="Cambria Math"/>
                    <w:lang w:val="en-GB" w:bidi="en-US"/>
                  </w:rPr>
                  <m:t>CD</m:t>
                </m:r>
              </m:e>
            </m:d>
            <m:r>
              <w:rPr>
                <w:rFonts w:ascii="Cambria Math" w:hAnsi="Cambria Math"/>
                <w:lang w:val="en-GB" w:bidi="en-US"/>
              </w:rPr>
              <m:t>.[G]</m:t>
            </m:r>
          </m:den>
        </m:f>
      </m:oMath>
      <w:r w:rsidRPr="002A436C">
        <w:rPr>
          <w:sz w:val="22"/>
          <w:szCs w:val="22"/>
          <w:lang w:val="en-GB" w:bidi="en-US"/>
        </w:rPr>
        <w:tab/>
      </w:r>
      <w:r w:rsidRPr="002A436C">
        <w:rPr>
          <w:sz w:val="22"/>
          <w:szCs w:val="22"/>
          <w:lang w:val="en-GB" w:bidi="en-US"/>
        </w:rPr>
        <w:tab/>
      </w:r>
      <w:r w:rsidRPr="002A436C">
        <w:rPr>
          <w:sz w:val="22"/>
          <w:szCs w:val="22"/>
          <w:lang w:val="en-GB" w:bidi="en-US"/>
        </w:rPr>
        <w:tab/>
      </w:r>
      <w:r w:rsidRPr="002A436C">
        <w:rPr>
          <w:sz w:val="22"/>
          <w:szCs w:val="22"/>
          <w:lang w:val="en-GB" w:bidi="en-US"/>
        </w:rPr>
        <w:tab/>
      </w:r>
      <w:r w:rsidRPr="002A436C">
        <w:rPr>
          <w:sz w:val="22"/>
          <w:szCs w:val="22"/>
          <w:lang w:val="en-GB" w:bidi="en-US"/>
        </w:rPr>
        <w:tab/>
      </w:r>
      <w:r w:rsidRPr="002A436C">
        <w:rPr>
          <w:sz w:val="22"/>
          <w:szCs w:val="22"/>
          <w:lang w:val="en-GB" w:bidi="en-US"/>
        </w:rPr>
        <w:tab/>
        <w:t>(S5)</w:t>
      </w:r>
    </w:p>
    <w:p w:rsidR="005946AD" w:rsidRPr="002A436C" w:rsidRDefault="005946AD">
      <w:pPr>
        <w:spacing w:line="360" w:lineRule="auto"/>
        <w:jc w:val="both"/>
        <w:rPr>
          <w:sz w:val="22"/>
          <w:szCs w:val="22"/>
          <w:lang w:val="en-GB"/>
        </w:rPr>
      </w:pPr>
    </w:p>
    <w:p w:rsidR="005946AD" w:rsidRPr="002A436C" w:rsidRDefault="005946AD">
      <w:pPr>
        <w:spacing w:line="360" w:lineRule="auto"/>
        <w:jc w:val="both"/>
        <w:rPr>
          <w:sz w:val="22"/>
          <w:szCs w:val="22"/>
          <w:lang w:val="en-GB"/>
        </w:rPr>
      </w:pPr>
      <w:r w:rsidRPr="002A436C">
        <w:rPr>
          <w:sz w:val="22"/>
          <w:szCs w:val="22"/>
          <w:lang w:val="en-GB"/>
        </w:rPr>
        <w:t>Using the well-known Benesi-Hildebrand method [S10], we see that equation S6 describes a linear relationship between 1/</w:t>
      </w:r>
      <w:r w:rsidRPr="002A436C">
        <w:rPr>
          <w:sz w:val="22"/>
          <w:szCs w:val="22"/>
          <w:lang w:val="en-GB" w:bidi="en-US"/>
        </w:rPr>
        <w:t>Δ</w:t>
      </w:r>
      <w:r w:rsidRPr="002A436C">
        <w:rPr>
          <w:sz w:val="22"/>
          <w:szCs w:val="22"/>
          <w:lang w:val="en-GB"/>
        </w:rPr>
        <w:t>A</w:t>
      </w:r>
      <w:r w:rsidRPr="002A436C">
        <w:rPr>
          <w:sz w:val="22"/>
          <w:szCs w:val="22"/>
          <w:vertAlign w:val="subscript"/>
          <w:lang w:val="en-GB"/>
        </w:rPr>
        <w:t>i</w:t>
      </w:r>
      <w:r w:rsidRPr="002A436C">
        <w:rPr>
          <w:sz w:val="22"/>
          <w:szCs w:val="22"/>
          <w:lang w:val="en-GB"/>
        </w:rPr>
        <w:t xml:space="preserve"> and 1/[CD], with a slope of 1/(</w:t>
      </w:r>
      <w:r w:rsidRPr="002A436C">
        <w:rPr>
          <w:sz w:val="22"/>
          <w:szCs w:val="22"/>
          <w:lang w:val="en-GB" w:bidi="en-US"/>
        </w:rPr>
        <w:t>Δ</w:t>
      </w:r>
      <w:r w:rsidRPr="002A436C">
        <w:rPr>
          <w:sz w:val="22"/>
          <w:szCs w:val="22"/>
          <w:lang w:val="en-GB"/>
        </w:rPr>
        <w:t>A.K) and an intercept of 1/</w:t>
      </w:r>
      <w:r w:rsidRPr="002A436C">
        <w:rPr>
          <w:sz w:val="22"/>
          <w:szCs w:val="22"/>
          <w:lang w:val="en-GB" w:bidi="en-US"/>
        </w:rPr>
        <w:t>Δ</w:t>
      </w:r>
      <w:r w:rsidRPr="002A436C">
        <w:rPr>
          <w:sz w:val="22"/>
          <w:szCs w:val="22"/>
          <w:lang w:val="en-GB"/>
        </w:rPr>
        <w:t xml:space="preserve">A, so that the ratio of intercept to slope yields K. Here, </w:t>
      </w:r>
      <w:r w:rsidRPr="002A436C">
        <w:rPr>
          <w:sz w:val="22"/>
          <w:szCs w:val="22"/>
          <w:lang w:val="en-GB" w:bidi="en-US"/>
        </w:rPr>
        <w:t>Δ</w:t>
      </w:r>
      <w:r w:rsidRPr="002A436C">
        <w:rPr>
          <w:sz w:val="22"/>
          <w:szCs w:val="22"/>
          <w:lang w:val="en-GB"/>
        </w:rPr>
        <w:t>A</w:t>
      </w:r>
      <w:r w:rsidRPr="002A436C">
        <w:rPr>
          <w:sz w:val="22"/>
          <w:szCs w:val="22"/>
          <w:vertAlign w:val="subscript"/>
          <w:lang w:val="en-GB"/>
        </w:rPr>
        <w:t>i</w:t>
      </w:r>
      <w:r w:rsidRPr="002A436C">
        <w:rPr>
          <w:sz w:val="22"/>
          <w:szCs w:val="22"/>
          <w:lang w:val="en-GB"/>
        </w:rPr>
        <w:t xml:space="preserve"> is the difference in absorption at λ</w:t>
      </w:r>
      <w:r w:rsidRPr="002A436C">
        <w:rPr>
          <w:sz w:val="22"/>
          <w:szCs w:val="22"/>
          <w:vertAlign w:val="subscript"/>
          <w:lang w:val="en-GB"/>
        </w:rPr>
        <w:t>max</w:t>
      </w:r>
      <w:r w:rsidRPr="002A436C">
        <w:rPr>
          <w:sz w:val="22"/>
          <w:szCs w:val="22"/>
          <w:lang w:val="en-GB"/>
        </w:rPr>
        <w:t xml:space="preserve"> between the guest alone and the guest:host complex and </w:t>
      </w:r>
      <w:r w:rsidRPr="002A436C">
        <w:rPr>
          <w:sz w:val="22"/>
          <w:szCs w:val="22"/>
          <w:lang w:val="en-GB" w:bidi="en-US"/>
        </w:rPr>
        <w:t>Δ</w:t>
      </w:r>
      <w:r w:rsidRPr="002A436C">
        <w:rPr>
          <w:sz w:val="22"/>
          <w:szCs w:val="22"/>
          <w:lang w:val="en-GB"/>
        </w:rPr>
        <w:t xml:space="preserve">A is </w:t>
      </w:r>
      <w:r w:rsidRPr="002A436C">
        <w:rPr>
          <w:sz w:val="22"/>
          <w:szCs w:val="22"/>
          <w:lang w:val="en-GB" w:bidi="en-US"/>
        </w:rPr>
        <w:t>Δ</w:t>
      </w:r>
      <w:r w:rsidRPr="002A436C">
        <w:rPr>
          <w:sz w:val="22"/>
          <w:szCs w:val="22"/>
          <w:lang w:val="en-GB"/>
        </w:rPr>
        <w:t xml:space="preserve">ε.b.[G], where </w:t>
      </w:r>
      <w:r w:rsidRPr="002A436C">
        <w:rPr>
          <w:sz w:val="22"/>
          <w:szCs w:val="22"/>
          <w:lang w:val="en-GB" w:bidi="en-US"/>
        </w:rPr>
        <w:t>Δ</w:t>
      </w:r>
      <w:r w:rsidRPr="002A436C">
        <w:rPr>
          <w:sz w:val="22"/>
          <w:szCs w:val="22"/>
          <w:lang w:val="en-GB"/>
        </w:rPr>
        <w:t>ε = ε</w:t>
      </w:r>
      <w:r w:rsidRPr="002A436C">
        <w:rPr>
          <w:rFonts w:hint="eastAsia"/>
          <w:sz w:val="22"/>
          <w:szCs w:val="22"/>
          <w:vertAlign w:val="subscript"/>
          <w:lang w:val="en-GB"/>
        </w:rPr>
        <w:t>∞</w:t>
      </w:r>
      <w:r w:rsidRPr="002A436C">
        <w:rPr>
          <w:sz w:val="22"/>
          <w:szCs w:val="22"/>
          <w:lang w:val="en-GB"/>
        </w:rPr>
        <w:t xml:space="preserve"> – ε</w:t>
      </w:r>
      <w:r w:rsidRPr="002A436C">
        <w:rPr>
          <w:sz w:val="22"/>
          <w:szCs w:val="22"/>
          <w:vertAlign w:val="subscript"/>
          <w:lang w:val="en-GB"/>
        </w:rPr>
        <w:t>0</w:t>
      </w:r>
      <w:r w:rsidRPr="002A436C">
        <w:rPr>
          <w:sz w:val="22"/>
          <w:szCs w:val="22"/>
          <w:lang w:val="en-GB"/>
        </w:rPr>
        <w:t xml:space="preserve"> (difference in molar absorption coefficients for the complex and the guest alone) and b = path length of the UV cell.</w:t>
      </w:r>
    </w:p>
    <w:p w:rsidR="005946AD" w:rsidRPr="002A436C" w:rsidRDefault="005946AD">
      <w:pPr>
        <w:spacing w:line="360" w:lineRule="auto"/>
        <w:jc w:val="both"/>
        <w:rPr>
          <w:sz w:val="22"/>
          <w:szCs w:val="22"/>
          <w:lang w:val="en-GB"/>
        </w:rPr>
      </w:pPr>
    </w:p>
    <w:p w:rsidR="005946AD" w:rsidRPr="002A436C" w:rsidRDefault="002A436C">
      <w:pPr>
        <w:spacing w:line="360" w:lineRule="auto"/>
        <w:ind w:left="2160" w:firstLine="720"/>
        <w:jc w:val="both"/>
        <w:rPr>
          <w:sz w:val="22"/>
          <w:szCs w:val="22"/>
          <w:lang w:val="en-GB"/>
        </w:rPr>
      </w:pPr>
      <m:oMath>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m:t>
                </m:r>
                <m:r>
                  <w:rPr>
                    <w:rFonts w:ascii="Cambria Math" w:hAnsi="Cambria Math"/>
                    <w:lang w:val="en-GB"/>
                  </w:rPr>
                  <m:t>A</m:t>
                </m:r>
              </m:e>
              <m:sub>
                <m:r>
                  <w:rPr>
                    <w:rFonts w:ascii="Cambria Math" w:hAnsi="Cambria Math"/>
                    <w:lang w:val="en-GB"/>
                  </w:rPr>
                  <m:t>i</m:t>
                </m:r>
              </m:sub>
            </m:sSub>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m:t>
            </m:r>
            <m:r>
              <w:rPr>
                <w:rFonts w:ascii="Cambria Math" w:hAnsi="Cambria Math"/>
                <w:lang w:val="en-GB"/>
              </w:rPr>
              <m:t>A</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m:t>
            </m:r>
            <m:r>
              <w:rPr>
                <w:rFonts w:ascii="Cambria Math" w:hAnsi="Cambria Math"/>
                <w:lang w:val="en-GB"/>
              </w:rPr>
              <m:t>AK</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m:t>
            </m:r>
            <m:r>
              <w:rPr>
                <w:rFonts w:ascii="Cambria Math" w:hAnsi="Cambria Math"/>
                <w:lang w:val="en-GB"/>
              </w:rPr>
              <m:t>CD</m:t>
            </m:r>
            <m:r>
              <w:rPr>
                <w:rFonts w:ascii="Cambria Math" w:hAnsi="Cambria Math"/>
                <w:lang w:val="en-GB"/>
              </w:rPr>
              <m:t>]</m:t>
            </m:r>
          </m:den>
        </m:f>
      </m:oMath>
      <w:r w:rsidR="005946AD" w:rsidRPr="002A436C">
        <w:rPr>
          <w:sz w:val="22"/>
          <w:szCs w:val="22"/>
          <w:lang w:val="en-GB"/>
        </w:rPr>
        <w:tab/>
      </w:r>
      <w:r w:rsidR="005946AD" w:rsidRPr="002A436C">
        <w:rPr>
          <w:sz w:val="22"/>
          <w:szCs w:val="22"/>
          <w:lang w:val="en-GB"/>
        </w:rPr>
        <w:tab/>
      </w:r>
      <w:r w:rsidR="005946AD" w:rsidRPr="002A436C">
        <w:rPr>
          <w:sz w:val="22"/>
          <w:szCs w:val="22"/>
          <w:lang w:val="en-GB"/>
        </w:rPr>
        <w:tab/>
      </w:r>
      <w:r w:rsidR="005946AD" w:rsidRPr="002A436C">
        <w:rPr>
          <w:sz w:val="22"/>
          <w:szCs w:val="22"/>
          <w:lang w:val="en-GB"/>
        </w:rPr>
        <w:tab/>
      </w:r>
      <w:r w:rsidR="005946AD" w:rsidRPr="002A436C">
        <w:rPr>
          <w:sz w:val="22"/>
          <w:szCs w:val="22"/>
          <w:lang w:val="en-GB"/>
        </w:rPr>
        <w:tab/>
        <w:t>(S6)</w:t>
      </w:r>
    </w:p>
    <w:p w:rsidR="005946AD" w:rsidRPr="002A436C" w:rsidRDefault="005946AD">
      <w:pPr>
        <w:spacing w:line="360" w:lineRule="auto"/>
        <w:jc w:val="both"/>
        <w:rPr>
          <w:sz w:val="22"/>
          <w:szCs w:val="22"/>
          <w:lang w:val="en-GB"/>
        </w:rPr>
      </w:pPr>
    </w:p>
    <w:p w:rsidR="005946AD" w:rsidRPr="002A436C" w:rsidRDefault="005946AD">
      <w:pPr>
        <w:spacing w:line="360" w:lineRule="auto"/>
        <w:jc w:val="both"/>
        <w:rPr>
          <w:sz w:val="22"/>
          <w:szCs w:val="22"/>
          <w:lang w:val="en-GB"/>
        </w:rPr>
      </w:pPr>
      <w:r w:rsidRPr="002A436C">
        <w:rPr>
          <w:sz w:val="22"/>
          <w:szCs w:val="22"/>
          <w:lang w:val="en-GB"/>
        </w:rPr>
        <w:t>The Benesi-Hildebrand method has been shown to produce inaccurate results under some conditions but when K is in the region 50-1000 M</w:t>
      </w:r>
      <w:r w:rsidRPr="002A436C">
        <w:rPr>
          <w:sz w:val="22"/>
          <w:szCs w:val="22"/>
          <w:vertAlign w:val="superscript"/>
          <w:lang w:val="en-GB"/>
        </w:rPr>
        <w:t>-1</w:t>
      </w:r>
      <w:r w:rsidRPr="002A436C">
        <w:rPr>
          <w:sz w:val="22"/>
          <w:szCs w:val="22"/>
          <w:lang w:val="en-GB"/>
        </w:rPr>
        <w:t xml:space="preserve"> and </w:t>
      </w:r>
      <w:r w:rsidRPr="002A436C">
        <w:rPr>
          <w:sz w:val="22"/>
          <w:szCs w:val="22"/>
          <w:lang w:val="en-GB" w:bidi="en-US"/>
        </w:rPr>
        <w:t>Δ</w:t>
      </w:r>
      <w:r w:rsidRPr="002A436C">
        <w:rPr>
          <w:sz w:val="22"/>
          <w:szCs w:val="22"/>
          <w:lang w:val="en-GB"/>
        </w:rPr>
        <w:t>ε is greater than 50 m</w:t>
      </w:r>
      <w:r w:rsidRPr="002A436C">
        <w:rPr>
          <w:sz w:val="22"/>
          <w:szCs w:val="22"/>
          <w:vertAlign w:val="superscript"/>
          <w:lang w:val="en-GB"/>
        </w:rPr>
        <w:t>2</w:t>
      </w:r>
      <w:r w:rsidRPr="002A436C">
        <w:rPr>
          <w:sz w:val="22"/>
          <w:szCs w:val="22"/>
          <w:lang w:val="en-GB"/>
        </w:rPr>
        <w:t>/mol then reliable results are produced [S10]. In the work presented here K varied from 25 to 646 M</w:t>
      </w:r>
      <w:r w:rsidRPr="002A436C">
        <w:rPr>
          <w:sz w:val="22"/>
          <w:szCs w:val="22"/>
          <w:vertAlign w:val="superscript"/>
          <w:lang w:val="en-GB"/>
        </w:rPr>
        <w:t>-1</w:t>
      </w:r>
      <w:r w:rsidRPr="002A436C">
        <w:rPr>
          <w:sz w:val="22"/>
          <w:szCs w:val="22"/>
          <w:lang w:val="en-GB"/>
        </w:rPr>
        <w:t xml:space="preserve"> and </w:t>
      </w:r>
      <w:r w:rsidRPr="002A436C">
        <w:rPr>
          <w:sz w:val="22"/>
          <w:szCs w:val="22"/>
          <w:lang w:val="en-GB" w:bidi="en-US"/>
        </w:rPr>
        <w:t>Δ</w:t>
      </w:r>
      <w:r w:rsidRPr="002A436C">
        <w:rPr>
          <w:sz w:val="22"/>
          <w:szCs w:val="22"/>
          <w:lang w:val="en-GB"/>
        </w:rPr>
        <w:t>ε varied between 13 and 150 m</w:t>
      </w:r>
      <w:r w:rsidRPr="002A436C">
        <w:rPr>
          <w:sz w:val="22"/>
          <w:szCs w:val="22"/>
          <w:vertAlign w:val="superscript"/>
          <w:lang w:val="en-GB"/>
        </w:rPr>
        <w:t>2</w:t>
      </w:r>
      <w:r w:rsidRPr="002A436C">
        <w:rPr>
          <w:sz w:val="22"/>
          <w:szCs w:val="22"/>
          <w:lang w:val="en-GB"/>
        </w:rPr>
        <w:t>/mol, so the method used may have introduced some errors. Where literature data (derived from calorimetric titration) is available for the aminoaniline (station 2) complexation with α- and β-CD [S11], our result is in broad agreement (log K = 1.47 and 1.41 respectively for our experiments and the literature value for the complexation of aminoaniline and α-CD, and for aminoaniline:β-CD log K = 1.74 and 2.05 respectively for our experiments and the literature value).</w:t>
      </w:r>
    </w:p>
    <w:p w:rsidR="005946AD" w:rsidRPr="002A436C" w:rsidRDefault="005946AD">
      <w:pPr>
        <w:spacing w:line="360" w:lineRule="auto"/>
        <w:jc w:val="both"/>
        <w:rPr>
          <w:sz w:val="22"/>
          <w:szCs w:val="22"/>
          <w:lang w:val="en-GB"/>
        </w:rPr>
      </w:pPr>
    </w:p>
    <w:p w:rsidR="005946AD" w:rsidRPr="002A436C" w:rsidRDefault="005946AD">
      <w:pPr>
        <w:spacing w:line="360" w:lineRule="auto"/>
        <w:jc w:val="both"/>
        <w:rPr>
          <w:sz w:val="22"/>
          <w:szCs w:val="22"/>
          <w:lang w:val="en-GB"/>
        </w:rPr>
      </w:pPr>
      <w:r w:rsidRPr="008A087E">
        <w:rPr>
          <w:noProof/>
          <w:sz w:val="22"/>
          <w:szCs w:val="22"/>
          <w:lang w:val="nb-NO" w:eastAsia="nb-NO"/>
        </w:rPr>
        <w:drawing>
          <wp:inline distT="0" distB="0" distL="0" distR="0" wp14:anchorId="1E1720A5" wp14:editId="784C2132">
            <wp:extent cx="4114800" cy="52356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S6.png"/>
                    <pic:cNvPicPr/>
                  </pic:nvPicPr>
                  <pic:blipFill>
                    <a:blip r:embed="rId16">
                      <a:extLst>
                        <a:ext uri="{28A0092B-C50C-407E-A947-70E740481C1C}">
                          <a14:useLocalDpi xmlns:a14="http://schemas.microsoft.com/office/drawing/2010/main" val="0"/>
                        </a:ext>
                      </a:extLst>
                    </a:blip>
                    <a:stretch>
                      <a:fillRect/>
                    </a:stretch>
                  </pic:blipFill>
                  <pic:spPr>
                    <a:xfrm>
                      <a:off x="0" y="0"/>
                      <a:ext cx="4114800" cy="5235660"/>
                    </a:xfrm>
                    <a:prstGeom prst="rect">
                      <a:avLst/>
                    </a:prstGeom>
                  </pic:spPr>
                </pic:pic>
              </a:graphicData>
            </a:graphic>
          </wp:inline>
        </w:drawing>
      </w:r>
    </w:p>
    <w:p w:rsidR="005946AD" w:rsidRPr="002A436C" w:rsidRDefault="005946AD">
      <w:pPr>
        <w:spacing w:line="360" w:lineRule="auto"/>
        <w:jc w:val="both"/>
        <w:rPr>
          <w:sz w:val="22"/>
          <w:szCs w:val="22"/>
          <w:lang w:val="en-GB"/>
        </w:rPr>
      </w:pPr>
    </w:p>
    <w:p w:rsidR="005946AD" w:rsidRPr="002A436C" w:rsidRDefault="005946AD">
      <w:pPr>
        <w:spacing w:line="360" w:lineRule="auto"/>
        <w:jc w:val="both"/>
        <w:rPr>
          <w:sz w:val="22"/>
          <w:szCs w:val="22"/>
          <w:lang w:val="en-GB"/>
        </w:rPr>
      </w:pPr>
      <w:r w:rsidRPr="002A436C">
        <w:rPr>
          <w:b/>
          <w:sz w:val="22"/>
          <w:szCs w:val="22"/>
          <w:lang w:val="en-GB"/>
        </w:rPr>
        <w:t>Figure S6.</w:t>
      </w:r>
      <w:r w:rsidRPr="002A436C">
        <w:rPr>
          <w:sz w:val="22"/>
          <w:szCs w:val="22"/>
          <w:lang w:val="en-GB"/>
        </w:rPr>
        <w:t xml:space="preserve"> UV spectra for (a) station 1 (aminoaniline) and (b) station 2 (pyromellitic acid) complexing with CD at concentrations ranging from 0 to 5.3 μM. Benesi-Hildebrand plots for the complexation of (c,d) station 1 with α- and β-CD; (e,f) station 2 with α- and β-CD.</w:t>
      </w:r>
    </w:p>
    <w:p w:rsidR="005946AD" w:rsidRPr="002A436C" w:rsidRDefault="005946AD">
      <w:pPr>
        <w:spacing w:line="360" w:lineRule="auto"/>
        <w:jc w:val="both"/>
        <w:rPr>
          <w:sz w:val="22"/>
          <w:szCs w:val="22"/>
          <w:lang w:val="en-GB"/>
        </w:rPr>
      </w:pPr>
    </w:p>
    <w:p w:rsidR="005946AD" w:rsidRPr="002A436C" w:rsidRDefault="005946AD">
      <w:pPr>
        <w:spacing w:line="360" w:lineRule="auto"/>
        <w:jc w:val="both"/>
        <w:rPr>
          <w:b/>
          <w:sz w:val="22"/>
          <w:szCs w:val="22"/>
          <w:lang w:val="en-GB"/>
        </w:rPr>
      </w:pPr>
      <w:r w:rsidRPr="002A436C">
        <w:rPr>
          <w:b/>
          <w:sz w:val="22"/>
          <w:szCs w:val="22"/>
          <w:lang w:val="en-GB"/>
        </w:rPr>
        <w:t>3. Calculating the dimensionless space-filling parameter Φ</w:t>
      </w:r>
    </w:p>
    <w:p w:rsidR="005946AD" w:rsidRPr="002A436C" w:rsidRDefault="005946AD">
      <w:pPr>
        <w:spacing w:line="360" w:lineRule="auto"/>
        <w:jc w:val="both"/>
        <w:rPr>
          <w:sz w:val="22"/>
          <w:szCs w:val="22"/>
          <w:lang w:val="en-GB"/>
        </w:rPr>
      </w:pPr>
    </w:p>
    <w:p w:rsidR="005946AD" w:rsidRPr="002A436C" w:rsidRDefault="005946AD">
      <w:pPr>
        <w:spacing w:line="360" w:lineRule="auto"/>
        <w:jc w:val="both"/>
        <w:rPr>
          <w:sz w:val="22"/>
          <w:szCs w:val="22"/>
          <w:lang w:val="en-GB"/>
        </w:rPr>
      </w:pPr>
      <w:r w:rsidRPr="002A436C">
        <w:rPr>
          <w:sz w:val="22"/>
          <w:szCs w:val="22"/>
          <w:lang w:val="en-GB"/>
        </w:rPr>
        <w:t>The dimensionless space-filling parameter Φ is the ratio of the cross-sectional area of the monomer, A, and the cavity area of the CD used (20.18 Å</w:t>
      </w:r>
      <w:r w:rsidRPr="002A436C">
        <w:rPr>
          <w:sz w:val="22"/>
          <w:szCs w:val="22"/>
          <w:vertAlign w:val="superscript"/>
          <w:lang w:val="en-GB"/>
        </w:rPr>
        <w:t>2</w:t>
      </w:r>
      <w:r w:rsidRPr="002A436C">
        <w:rPr>
          <w:sz w:val="22"/>
          <w:szCs w:val="22"/>
          <w:lang w:val="en-GB"/>
        </w:rPr>
        <w:t xml:space="preserve"> for α-CD and 32.95 Å</w:t>
      </w:r>
      <w:r w:rsidRPr="002A436C">
        <w:rPr>
          <w:sz w:val="22"/>
          <w:szCs w:val="22"/>
          <w:vertAlign w:val="superscript"/>
          <w:lang w:val="en-GB"/>
        </w:rPr>
        <w:t>2</w:t>
      </w:r>
      <w:r w:rsidRPr="002A436C">
        <w:rPr>
          <w:sz w:val="22"/>
          <w:szCs w:val="22"/>
          <w:lang w:val="en-GB"/>
        </w:rPr>
        <w:t xml:space="preserve"> for β-CD [S12]). Privalko [S13] proposed a set of equations to allow the calculation of A from m</w:t>
      </w:r>
      <w:r w:rsidRPr="002A436C">
        <w:rPr>
          <w:sz w:val="22"/>
          <w:szCs w:val="22"/>
          <w:vertAlign w:val="subscript"/>
          <w:lang w:val="en-GB"/>
        </w:rPr>
        <w:t>0</w:t>
      </w:r>
      <w:r w:rsidRPr="002A436C">
        <w:rPr>
          <w:sz w:val="22"/>
          <w:szCs w:val="22"/>
          <w:lang w:val="en-GB"/>
        </w:rPr>
        <w:t>, the monomer molecular mass per main chain bond, depending on its expected crystalline conformation (extended chain, EC, equation S7a; helical chain, HC</w:t>
      </w:r>
      <w:r w:rsidRPr="002A436C">
        <w:rPr>
          <w:sz w:val="22"/>
          <w:szCs w:val="22"/>
          <w:vertAlign w:val="subscript"/>
          <w:lang w:val="en-GB"/>
        </w:rPr>
        <w:t>1</w:t>
      </w:r>
      <w:r w:rsidRPr="002A436C">
        <w:rPr>
          <w:sz w:val="22"/>
          <w:szCs w:val="22"/>
          <w:lang w:val="en-GB"/>
        </w:rPr>
        <w:t>, equation S7b; helical chain with bulky sidegroups, HC</w:t>
      </w:r>
      <w:r w:rsidRPr="002A436C">
        <w:rPr>
          <w:sz w:val="22"/>
          <w:szCs w:val="22"/>
          <w:vertAlign w:val="subscript"/>
          <w:lang w:val="en-GB"/>
        </w:rPr>
        <w:t>2</w:t>
      </w:r>
      <w:r w:rsidRPr="002A436C">
        <w:rPr>
          <w:sz w:val="22"/>
          <w:szCs w:val="22"/>
          <w:lang w:val="en-GB"/>
        </w:rPr>
        <w:t>, equation S7c; constants of proportionality k and k’ have numerical values of 1 but dimensions of L</w:t>
      </w:r>
      <w:r w:rsidRPr="002A436C">
        <w:rPr>
          <w:sz w:val="22"/>
          <w:szCs w:val="22"/>
          <w:vertAlign w:val="superscript"/>
          <w:lang w:val="en-GB"/>
        </w:rPr>
        <w:t>2</w:t>
      </w:r>
      <w:r w:rsidRPr="002A436C">
        <w:rPr>
          <w:sz w:val="22"/>
          <w:szCs w:val="22"/>
          <w:lang w:val="en-GB"/>
        </w:rPr>
        <w:t>/M</w:t>
      </w:r>
      <w:r w:rsidRPr="002A436C">
        <w:rPr>
          <w:sz w:val="22"/>
          <w:szCs w:val="22"/>
          <w:vertAlign w:val="superscript"/>
          <w:lang w:val="en-GB"/>
        </w:rPr>
        <w:t>0.5</w:t>
      </w:r>
      <w:r w:rsidRPr="002A436C">
        <w:rPr>
          <w:sz w:val="22"/>
          <w:szCs w:val="22"/>
          <w:lang w:val="en-GB"/>
        </w:rPr>
        <w:t xml:space="preserve"> (S7a) and L</w:t>
      </w:r>
      <w:r w:rsidRPr="002A436C">
        <w:rPr>
          <w:sz w:val="22"/>
          <w:szCs w:val="22"/>
          <w:vertAlign w:val="superscript"/>
          <w:lang w:val="en-GB"/>
        </w:rPr>
        <w:t>2</w:t>
      </w:r>
      <w:r w:rsidRPr="002A436C">
        <w:rPr>
          <w:sz w:val="22"/>
          <w:szCs w:val="22"/>
          <w:lang w:val="en-GB"/>
        </w:rPr>
        <w:t>/M (S7b and c)):</w:t>
      </w:r>
    </w:p>
    <w:p w:rsidR="005946AD" w:rsidRPr="002A436C" w:rsidRDefault="005946AD">
      <w:pPr>
        <w:spacing w:line="360" w:lineRule="auto"/>
        <w:jc w:val="both"/>
        <w:rPr>
          <w:sz w:val="22"/>
          <w:szCs w:val="22"/>
          <w:lang w:val="en-GB"/>
        </w:rPr>
      </w:pPr>
    </w:p>
    <w:p w:rsidR="005946AD" w:rsidRPr="002A436C" w:rsidRDefault="005946AD">
      <w:pPr>
        <w:spacing w:line="360" w:lineRule="auto"/>
        <w:jc w:val="both"/>
        <w:rPr>
          <w:sz w:val="22"/>
          <w:szCs w:val="22"/>
          <w:lang w:val="en-GB"/>
        </w:rPr>
      </w:pPr>
      <w:r w:rsidRPr="002A436C">
        <w:rPr>
          <w:sz w:val="22"/>
          <w:szCs w:val="22"/>
          <w:lang w:val="en-GB"/>
        </w:rPr>
        <w:tab/>
      </w:r>
      <w:r w:rsidRPr="002A436C">
        <w:rPr>
          <w:sz w:val="22"/>
          <w:szCs w:val="22"/>
          <w:lang w:val="en-GB"/>
        </w:rPr>
        <w:tab/>
      </w:r>
      <w:r w:rsidRPr="002A436C">
        <w:rPr>
          <w:sz w:val="22"/>
          <w:szCs w:val="22"/>
          <w:lang w:val="en-GB"/>
        </w:rPr>
        <w:tab/>
      </w:r>
      <w:r w:rsidRPr="002A436C">
        <w:rPr>
          <w:sz w:val="22"/>
          <w:szCs w:val="22"/>
          <w:lang w:val="en-GB"/>
        </w:rPr>
        <w:tab/>
      </w:r>
      <m:oMath>
        <m:r>
          <w:rPr>
            <w:rFonts w:ascii="Cambria Math" w:hAnsi="Cambria Math"/>
            <w:sz w:val="22"/>
            <w:szCs w:val="22"/>
            <w:lang w:val="en-GB"/>
          </w:rPr>
          <m:t>A=k.4.65</m:t>
        </m:r>
        <m:rad>
          <m:radPr>
            <m:degHide m:val="1"/>
            <m:ctrlPr>
              <w:rPr>
                <w:rFonts w:ascii="Cambria Math" w:hAnsi="Cambria Math"/>
                <w:i/>
                <w:sz w:val="22"/>
                <w:szCs w:val="22"/>
                <w:lang w:val="en-GB"/>
              </w:rPr>
            </m:ctrlPr>
          </m:radPr>
          <m:deg/>
          <m:e>
            <m:sSub>
              <m:sSubPr>
                <m:ctrlPr>
                  <w:rPr>
                    <w:rFonts w:ascii="Cambria Math" w:hAnsi="Cambria Math"/>
                    <w:i/>
                    <w:sz w:val="22"/>
                    <w:szCs w:val="22"/>
                    <w:lang w:val="en-GB"/>
                  </w:rPr>
                </m:ctrlPr>
              </m:sSubPr>
              <m:e>
                <m:r>
                  <w:rPr>
                    <w:rFonts w:ascii="Cambria Math" w:hAnsi="Cambria Math"/>
                    <w:sz w:val="22"/>
                    <w:szCs w:val="22"/>
                    <w:lang w:val="en-GB"/>
                  </w:rPr>
                  <m:t>m</m:t>
                </m:r>
              </m:e>
              <m:sub>
                <m:r>
                  <w:rPr>
                    <w:rFonts w:ascii="Cambria Math" w:hAnsi="Cambria Math"/>
                    <w:sz w:val="22"/>
                    <w:szCs w:val="22"/>
                    <w:lang w:val="en-GB"/>
                  </w:rPr>
                  <m:t>0</m:t>
                </m:r>
              </m:sub>
            </m:sSub>
          </m:e>
        </m:rad>
      </m:oMath>
      <w:r w:rsidRPr="002A436C">
        <w:rPr>
          <w:sz w:val="22"/>
          <w:szCs w:val="22"/>
          <w:lang w:val="en-GB"/>
        </w:rPr>
        <w:tab/>
      </w:r>
      <w:r w:rsidRPr="002A436C">
        <w:rPr>
          <w:sz w:val="22"/>
          <w:szCs w:val="22"/>
          <w:lang w:val="en-GB"/>
        </w:rPr>
        <w:tab/>
      </w:r>
      <w:r w:rsidRPr="002A436C">
        <w:rPr>
          <w:sz w:val="22"/>
          <w:szCs w:val="22"/>
          <w:lang w:val="en-GB"/>
        </w:rPr>
        <w:tab/>
      </w:r>
      <w:r w:rsidRPr="002A436C">
        <w:rPr>
          <w:sz w:val="22"/>
          <w:szCs w:val="22"/>
          <w:lang w:val="en-GB"/>
        </w:rPr>
        <w:tab/>
        <w:t xml:space="preserve">           (S7a)</w:t>
      </w:r>
    </w:p>
    <w:p w:rsidR="005946AD" w:rsidRPr="002A436C" w:rsidRDefault="005946AD">
      <w:pPr>
        <w:spacing w:line="360" w:lineRule="auto"/>
        <w:jc w:val="both"/>
        <w:rPr>
          <w:sz w:val="22"/>
          <w:szCs w:val="22"/>
          <w:lang w:val="en-GB"/>
        </w:rPr>
      </w:pPr>
      <w:r w:rsidRPr="002A436C">
        <w:rPr>
          <w:sz w:val="22"/>
          <w:szCs w:val="22"/>
          <w:lang w:val="en-GB"/>
        </w:rPr>
        <w:tab/>
      </w:r>
      <w:r w:rsidRPr="002A436C">
        <w:rPr>
          <w:sz w:val="22"/>
          <w:szCs w:val="22"/>
          <w:lang w:val="en-GB"/>
        </w:rPr>
        <w:tab/>
      </w:r>
      <w:r w:rsidRPr="002A436C">
        <w:rPr>
          <w:sz w:val="22"/>
          <w:szCs w:val="22"/>
          <w:lang w:val="en-GB"/>
        </w:rPr>
        <w:tab/>
      </w:r>
      <w:r w:rsidRPr="002A436C">
        <w:rPr>
          <w:sz w:val="22"/>
          <w:szCs w:val="22"/>
          <w:lang w:val="en-GB"/>
        </w:rPr>
        <w:tab/>
      </w:r>
      <m:oMath>
        <m:r>
          <w:rPr>
            <w:rFonts w:ascii="Cambria Math" w:hAnsi="Cambria Math"/>
            <w:sz w:val="22"/>
            <w:szCs w:val="22"/>
            <w:lang w:val="en-GB"/>
          </w:rPr>
          <m:t>A=</m:t>
        </m:r>
        <m:sSup>
          <m:sSupPr>
            <m:ctrlPr>
              <w:rPr>
                <w:rFonts w:ascii="Cambria Math" w:hAnsi="Cambria Math"/>
                <w:i/>
                <w:sz w:val="22"/>
                <w:szCs w:val="22"/>
                <w:lang w:val="en-GB"/>
              </w:rPr>
            </m:ctrlPr>
          </m:sSupPr>
          <m:e>
            <m:r>
              <w:rPr>
                <w:rFonts w:ascii="Cambria Math" w:hAnsi="Cambria Math"/>
                <w:sz w:val="22"/>
                <w:szCs w:val="22"/>
                <w:lang w:val="en-GB"/>
              </w:rPr>
              <m:t>k</m:t>
            </m:r>
          </m:e>
          <m:sup>
            <m:r>
              <w:rPr>
                <w:rFonts w:ascii="Cambria Math" w:hAnsi="Cambria Math" w:hint="eastAsia"/>
                <w:sz w:val="22"/>
                <w:szCs w:val="22"/>
                <w:lang w:val="en-GB"/>
              </w:rPr>
              <m:t>'</m:t>
            </m:r>
          </m:sup>
        </m:sSup>
        <m:r>
          <w:rPr>
            <w:rFonts w:ascii="Cambria Math" w:hAnsi="Cambria Math"/>
            <w:sz w:val="22"/>
            <w:szCs w:val="22"/>
            <w:lang w:val="en-GB"/>
          </w:rPr>
          <m:t>.1.41</m:t>
        </m:r>
        <m:sSub>
          <m:sSubPr>
            <m:ctrlPr>
              <w:rPr>
                <w:rFonts w:ascii="Cambria Math" w:hAnsi="Cambria Math"/>
                <w:i/>
                <w:sz w:val="22"/>
                <w:szCs w:val="22"/>
                <w:lang w:val="en-GB"/>
              </w:rPr>
            </m:ctrlPr>
          </m:sSubPr>
          <m:e>
            <m:r>
              <w:rPr>
                <w:rFonts w:ascii="Cambria Math" w:hAnsi="Cambria Math"/>
                <w:sz w:val="22"/>
                <w:szCs w:val="22"/>
                <w:lang w:val="en-GB"/>
              </w:rPr>
              <m:t>m</m:t>
            </m:r>
          </m:e>
          <m:sub>
            <m:r>
              <w:rPr>
                <w:rFonts w:ascii="Cambria Math" w:hAnsi="Cambria Math"/>
                <w:sz w:val="22"/>
                <w:szCs w:val="22"/>
                <w:lang w:val="en-GB"/>
              </w:rPr>
              <m:t>0</m:t>
            </m:r>
          </m:sub>
        </m:sSub>
      </m:oMath>
      <w:r w:rsidRPr="002A436C">
        <w:rPr>
          <w:sz w:val="22"/>
          <w:szCs w:val="22"/>
          <w:lang w:val="en-GB"/>
        </w:rPr>
        <w:tab/>
      </w:r>
      <w:r w:rsidRPr="002A436C">
        <w:rPr>
          <w:sz w:val="22"/>
          <w:szCs w:val="22"/>
          <w:lang w:val="en-GB"/>
        </w:rPr>
        <w:tab/>
      </w:r>
      <w:r w:rsidRPr="002A436C">
        <w:rPr>
          <w:sz w:val="22"/>
          <w:szCs w:val="22"/>
          <w:lang w:val="en-GB"/>
        </w:rPr>
        <w:tab/>
      </w:r>
      <w:r w:rsidRPr="002A436C">
        <w:rPr>
          <w:sz w:val="22"/>
          <w:szCs w:val="22"/>
          <w:lang w:val="en-GB"/>
        </w:rPr>
        <w:tab/>
      </w:r>
      <w:r w:rsidRPr="002A436C">
        <w:rPr>
          <w:sz w:val="22"/>
          <w:szCs w:val="22"/>
          <w:lang w:val="en-GB"/>
        </w:rPr>
        <w:tab/>
        <w:t xml:space="preserve">           (S7b)</w:t>
      </w:r>
    </w:p>
    <w:p w:rsidR="005946AD" w:rsidRPr="002A436C" w:rsidRDefault="005946AD">
      <w:pPr>
        <w:spacing w:line="360" w:lineRule="auto"/>
        <w:jc w:val="both"/>
        <w:rPr>
          <w:sz w:val="22"/>
          <w:szCs w:val="22"/>
          <w:lang w:val="en-GB"/>
        </w:rPr>
      </w:pPr>
      <w:r w:rsidRPr="002A436C">
        <w:rPr>
          <w:sz w:val="22"/>
          <w:szCs w:val="22"/>
          <w:lang w:val="en-GB"/>
        </w:rPr>
        <w:tab/>
      </w:r>
      <w:r w:rsidRPr="002A436C">
        <w:rPr>
          <w:sz w:val="22"/>
          <w:szCs w:val="22"/>
          <w:lang w:val="en-GB"/>
        </w:rPr>
        <w:tab/>
      </w:r>
      <w:r w:rsidRPr="002A436C">
        <w:rPr>
          <w:sz w:val="22"/>
          <w:szCs w:val="22"/>
          <w:lang w:val="en-GB"/>
        </w:rPr>
        <w:tab/>
      </w:r>
      <w:r w:rsidRPr="002A436C">
        <w:rPr>
          <w:sz w:val="22"/>
          <w:szCs w:val="22"/>
          <w:lang w:val="en-GB"/>
        </w:rPr>
        <w:tab/>
      </w:r>
      <m:oMath>
        <m:r>
          <w:rPr>
            <w:rFonts w:ascii="Cambria Math" w:hAnsi="Cambria Math"/>
            <w:sz w:val="22"/>
            <w:szCs w:val="22"/>
            <w:lang w:val="en-GB"/>
          </w:rPr>
          <m:t>A=k</m:t>
        </m:r>
        <m:r>
          <w:rPr>
            <w:rFonts w:ascii="Cambria Math" w:hAnsi="Cambria Math" w:hint="eastAsia"/>
            <w:sz w:val="22"/>
            <w:szCs w:val="22"/>
            <w:lang w:val="en-GB"/>
          </w:rPr>
          <m:t>'</m:t>
        </m:r>
        <m:r>
          <w:rPr>
            <w:rFonts w:ascii="Cambria Math" w:hAnsi="Cambria Math"/>
            <w:sz w:val="22"/>
            <w:szCs w:val="22"/>
            <w:lang w:val="en-GB"/>
          </w:rPr>
          <m:t>.2.05</m:t>
        </m:r>
        <m:sSub>
          <m:sSubPr>
            <m:ctrlPr>
              <w:rPr>
                <w:rFonts w:ascii="Cambria Math" w:hAnsi="Cambria Math"/>
                <w:i/>
                <w:sz w:val="22"/>
                <w:szCs w:val="22"/>
                <w:lang w:val="en-GB"/>
              </w:rPr>
            </m:ctrlPr>
          </m:sSubPr>
          <m:e>
            <m:r>
              <w:rPr>
                <w:rFonts w:ascii="Cambria Math" w:hAnsi="Cambria Math"/>
                <w:sz w:val="22"/>
                <w:szCs w:val="22"/>
                <w:lang w:val="en-GB"/>
              </w:rPr>
              <m:t>m</m:t>
            </m:r>
          </m:e>
          <m:sub>
            <m:r>
              <w:rPr>
                <w:rFonts w:ascii="Cambria Math" w:hAnsi="Cambria Math"/>
                <w:sz w:val="22"/>
                <w:szCs w:val="22"/>
                <w:lang w:val="en-GB"/>
              </w:rPr>
              <m:t>0</m:t>
            </m:r>
          </m:sub>
        </m:sSub>
      </m:oMath>
      <w:r w:rsidRPr="002A436C">
        <w:rPr>
          <w:sz w:val="22"/>
          <w:szCs w:val="22"/>
          <w:lang w:val="en-GB"/>
        </w:rPr>
        <w:tab/>
      </w:r>
      <w:r w:rsidRPr="002A436C">
        <w:rPr>
          <w:sz w:val="22"/>
          <w:szCs w:val="22"/>
          <w:lang w:val="en-GB"/>
        </w:rPr>
        <w:tab/>
      </w:r>
      <w:r w:rsidRPr="002A436C">
        <w:rPr>
          <w:sz w:val="22"/>
          <w:szCs w:val="22"/>
          <w:lang w:val="en-GB"/>
        </w:rPr>
        <w:tab/>
      </w:r>
      <w:r w:rsidRPr="002A436C">
        <w:rPr>
          <w:sz w:val="22"/>
          <w:szCs w:val="22"/>
          <w:lang w:val="en-GB"/>
        </w:rPr>
        <w:tab/>
      </w:r>
      <w:r w:rsidRPr="002A436C">
        <w:rPr>
          <w:sz w:val="22"/>
          <w:szCs w:val="22"/>
          <w:lang w:val="en-GB"/>
        </w:rPr>
        <w:tab/>
        <w:t xml:space="preserve">           (S7c)</w:t>
      </w:r>
    </w:p>
    <w:p w:rsidR="005946AD" w:rsidRPr="002A436C" w:rsidRDefault="005946AD">
      <w:pPr>
        <w:spacing w:line="360" w:lineRule="auto"/>
        <w:jc w:val="both"/>
        <w:rPr>
          <w:sz w:val="22"/>
          <w:szCs w:val="22"/>
          <w:lang w:val="en-GB"/>
        </w:rPr>
      </w:pPr>
    </w:p>
    <w:p w:rsidR="005946AD" w:rsidRPr="002A436C" w:rsidRDefault="005946AD">
      <w:pPr>
        <w:spacing w:line="360" w:lineRule="auto"/>
        <w:jc w:val="both"/>
        <w:rPr>
          <w:sz w:val="22"/>
          <w:szCs w:val="22"/>
          <w:lang w:val="en-GB"/>
        </w:rPr>
      </w:pPr>
      <w:r w:rsidRPr="002A436C">
        <w:rPr>
          <w:sz w:val="22"/>
          <w:szCs w:val="22"/>
          <w:lang w:val="en-GB"/>
        </w:rPr>
        <w:t>Following the assignments made in the literature [S13], all the stations studied here would be expected to adopt the HC</w:t>
      </w:r>
      <w:r w:rsidRPr="002A436C">
        <w:rPr>
          <w:sz w:val="22"/>
          <w:szCs w:val="22"/>
          <w:vertAlign w:val="subscript"/>
          <w:lang w:val="en-GB"/>
        </w:rPr>
        <w:t>1</w:t>
      </w:r>
      <w:r w:rsidRPr="002A436C">
        <w:rPr>
          <w:sz w:val="22"/>
          <w:szCs w:val="22"/>
          <w:lang w:val="en-GB"/>
        </w:rPr>
        <w:t xml:space="preserve"> conformation, so equation S7b is appropriate. Table S3 presents the calculated values of A and Φ for the stations and CDs used in this work.</w:t>
      </w:r>
    </w:p>
    <w:p w:rsidR="005946AD" w:rsidRPr="002A436C" w:rsidRDefault="005946AD">
      <w:pPr>
        <w:spacing w:line="360" w:lineRule="auto"/>
        <w:jc w:val="both"/>
        <w:rPr>
          <w:sz w:val="22"/>
          <w:szCs w:val="22"/>
          <w:lang w:val="en-GB"/>
        </w:rPr>
      </w:pPr>
    </w:p>
    <w:p w:rsidR="005946AD" w:rsidRPr="002A436C" w:rsidRDefault="005946AD">
      <w:pPr>
        <w:spacing w:line="360" w:lineRule="auto"/>
        <w:jc w:val="both"/>
        <w:rPr>
          <w:sz w:val="22"/>
          <w:szCs w:val="22"/>
          <w:lang w:val="en-GB"/>
        </w:rPr>
      </w:pPr>
      <w:r w:rsidRPr="002A436C">
        <w:rPr>
          <w:b/>
          <w:sz w:val="22"/>
          <w:szCs w:val="22"/>
          <w:lang w:val="en-GB"/>
        </w:rPr>
        <w:t>Table S3.</w:t>
      </w:r>
      <w:r w:rsidRPr="002A436C">
        <w:rPr>
          <w:sz w:val="22"/>
          <w:szCs w:val="22"/>
          <w:lang w:val="en-GB"/>
        </w:rPr>
        <w:t xml:space="preserve"> Calculated values of A and Φ for stations 1-5 and α- and β-CD.</w:t>
      </w:r>
    </w:p>
    <w:tbl>
      <w:tblPr>
        <w:tblW w:w="0" w:type="auto"/>
        <w:tblLook w:val="04A0" w:firstRow="1" w:lastRow="0" w:firstColumn="1" w:lastColumn="0" w:noHBand="0" w:noVBand="1"/>
      </w:tblPr>
      <w:tblGrid>
        <w:gridCol w:w="1389"/>
        <w:gridCol w:w="1404"/>
        <w:gridCol w:w="1383"/>
        <w:gridCol w:w="1380"/>
        <w:gridCol w:w="1375"/>
        <w:gridCol w:w="1375"/>
      </w:tblGrid>
      <w:tr w:rsidR="005946AD" w:rsidRPr="009B194B" w:rsidTr="009B194B">
        <w:tc>
          <w:tcPr>
            <w:tcW w:w="1420" w:type="dxa"/>
            <w:tcBorders>
              <w:top w:val="single" w:sz="12" w:space="0" w:color="auto"/>
              <w:left w:val="nil"/>
              <w:bottom w:val="single" w:sz="12" w:space="0" w:color="auto"/>
              <w:right w:val="nil"/>
            </w:tcBorders>
          </w:tcPr>
          <w:p w:rsidR="005946AD" w:rsidRPr="002A436C" w:rsidRDefault="005946AD" w:rsidP="002A436C">
            <w:pPr>
              <w:spacing w:line="360" w:lineRule="auto"/>
              <w:jc w:val="both"/>
              <w:rPr>
                <w:b/>
                <w:sz w:val="22"/>
                <w:szCs w:val="22"/>
                <w:lang w:val="en-GB"/>
              </w:rPr>
            </w:pPr>
            <w:r w:rsidRPr="002A436C">
              <w:rPr>
                <w:b/>
                <w:sz w:val="22"/>
                <w:szCs w:val="22"/>
                <w:lang w:val="en-GB"/>
              </w:rPr>
              <w:t>Station</w:t>
            </w:r>
          </w:p>
        </w:tc>
        <w:tc>
          <w:tcPr>
            <w:tcW w:w="1420" w:type="dxa"/>
            <w:tcBorders>
              <w:top w:val="single" w:sz="12" w:space="0" w:color="auto"/>
              <w:left w:val="nil"/>
              <w:bottom w:val="single" w:sz="12" w:space="0" w:color="auto"/>
              <w:right w:val="nil"/>
            </w:tcBorders>
          </w:tcPr>
          <w:p w:rsidR="005946AD" w:rsidRPr="002A436C" w:rsidRDefault="005946AD" w:rsidP="002A436C">
            <w:pPr>
              <w:spacing w:line="360" w:lineRule="auto"/>
              <w:jc w:val="both"/>
              <w:rPr>
                <w:b/>
                <w:sz w:val="22"/>
                <w:szCs w:val="22"/>
                <w:lang w:val="en-GB"/>
              </w:rPr>
            </w:pPr>
            <w:r w:rsidRPr="002A436C">
              <w:rPr>
                <w:b/>
                <w:sz w:val="22"/>
                <w:szCs w:val="22"/>
                <w:lang w:val="en-GB"/>
              </w:rPr>
              <w:t>Monomer MW</w:t>
            </w:r>
          </w:p>
        </w:tc>
        <w:tc>
          <w:tcPr>
            <w:tcW w:w="1420" w:type="dxa"/>
            <w:tcBorders>
              <w:top w:val="single" w:sz="12" w:space="0" w:color="auto"/>
              <w:left w:val="nil"/>
              <w:bottom w:val="single" w:sz="12" w:space="0" w:color="auto"/>
              <w:right w:val="nil"/>
            </w:tcBorders>
          </w:tcPr>
          <w:p w:rsidR="005946AD" w:rsidRPr="002A436C" w:rsidRDefault="005946AD" w:rsidP="002A436C">
            <w:pPr>
              <w:spacing w:line="360" w:lineRule="auto"/>
              <w:jc w:val="both"/>
              <w:rPr>
                <w:b/>
                <w:sz w:val="22"/>
                <w:szCs w:val="22"/>
                <w:lang w:val="en-GB"/>
              </w:rPr>
            </w:pPr>
            <w:r w:rsidRPr="002A436C">
              <w:rPr>
                <w:b/>
                <w:sz w:val="22"/>
                <w:szCs w:val="22"/>
                <w:lang w:val="en-GB"/>
              </w:rPr>
              <w:t>No. main chain bonds</w:t>
            </w:r>
          </w:p>
        </w:tc>
        <w:tc>
          <w:tcPr>
            <w:tcW w:w="1420" w:type="dxa"/>
            <w:tcBorders>
              <w:top w:val="single" w:sz="12" w:space="0" w:color="auto"/>
              <w:left w:val="nil"/>
              <w:bottom w:val="single" w:sz="12" w:space="0" w:color="auto"/>
              <w:right w:val="nil"/>
            </w:tcBorders>
          </w:tcPr>
          <w:p w:rsidR="005946AD" w:rsidRPr="002A436C" w:rsidRDefault="005946AD" w:rsidP="002A436C">
            <w:pPr>
              <w:spacing w:line="360" w:lineRule="auto"/>
              <w:jc w:val="both"/>
              <w:rPr>
                <w:b/>
                <w:sz w:val="22"/>
                <w:szCs w:val="22"/>
                <w:lang w:val="en-GB"/>
              </w:rPr>
            </w:pPr>
            <w:r w:rsidRPr="002A436C">
              <w:rPr>
                <w:b/>
                <w:sz w:val="22"/>
                <w:szCs w:val="22"/>
                <w:lang w:val="en-GB"/>
              </w:rPr>
              <w:t>A (Å</w:t>
            </w:r>
            <w:r w:rsidRPr="002A436C">
              <w:rPr>
                <w:b/>
                <w:sz w:val="22"/>
                <w:szCs w:val="22"/>
                <w:vertAlign w:val="superscript"/>
                <w:lang w:val="en-GB"/>
              </w:rPr>
              <w:t>2</w:t>
            </w:r>
            <w:r w:rsidRPr="002A436C">
              <w:rPr>
                <w:b/>
                <w:sz w:val="22"/>
                <w:szCs w:val="22"/>
                <w:lang w:val="en-GB"/>
              </w:rPr>
              <w:t>)</w:t>
            </w:r>
          </w:p>
        </w:tc>
        <w:tc>
          <w:tcPr>
            <w:tcW w:w="1421" w:type="dxa"/>
            <w:tcBorders>
              <w:top w:val="single" w:sz="12" w:space="0" w:color="auto"/>
              <w:left w:val="nil"/>
              <w:bottom w:val="single" w:sz="12" w:space="0" w:color="auto"/>
              <w:right w:val="nil"/>
            </w:tcBorders>
          </w:tcPr>
          <w:p w:rsidR="005946AD" w:rsidRPr="002A436C" w:rsidRDefault="005946AD" w:rsidP="002A436C">
            <w:pPr>
              <w:spacing w:line="360" w:lineRule="auto"/>
              <w:jc w:val="both"/>
              <w:rPr>
                <w:b/>
                <w:sz w:val="22"/>
                <w:szCs w:val="22"/>
                <w:lang w:val="en-GB"/>
              </w:rPr>
            </w:pPr>
            <w:r w:rsidRPr="002A436C">
              <w:rPr>
                <w:b/>
                <w:sz w:val="22"/>
                <w:szCs w:val="22"/>
                <w:lang w:val="en-GB"/>
              </w:rPr>
              <w:t>Φ (α-CD)</w:t>
            </w:r>
          </w:p>
        </w:tc>
        <w:tc>
          <w:tcPr>
            <w:tcW w:w="1421" w:type="dxa"/>
            <w:tcBorders>
              <w:top w:val="single" w:sz="12" w:space="0" w:color="auto"/>
              <w:left w:val="nil"/>
              <w:bottom w:val="single" w:sz="12" w:space="0" w:color="auto"/>
              <w:right w:val="nil"/>
            </w:tcBorders>
          </w:tcPr>
          <w:p w:rsidR="005946AD" w:rsidRPr="002A436C" w:rsidRDefault="005946AD" w:rsidP="002A436C">
            <w:pPr>
              <w:spacing w:line="360" w:lineRule="auto"/>
              <w:jc w:val="both"/>
              <w:rPr>
                <w:b/>
                <w:sz w:val="22"/>
                <w:szCs w:val="22"/>
                <w:lang w:val="en-GB"/>
              </w:rPr>
            </w:pPr>
            <w:r w:rsidRPr="002A436C">
              <w:rPr>
                <w:b/>
                <w:sz w:val="22"/>
                <w:szCs w:val="22"/>
                <w:lang w:val="en-GB"/>
              </w:rPr>
              <w:t>Φ (β-CD)</w:t>
            </w:r>
          </w:p>
        </w:tc>
      </w:tr>
      <w:tr w:rsidR="005946AD" w:rsidRPr="009B194B" w:rsidTr="009B194B">
        <w:tc>
          <w:tcPr>
            <w:tcW w:w="1420" w:type="dxa"/>
            <w:tcBorders>
              <w:top w:val="single" w:sz="12" w:space="0" w:color="auto"/>
              <w:left w:val="nil"/>
              <w:bottom w:val="nil"/>
              <w:right w:val="nil"/>
            </w:tcBorders>
          </w:tcPr>
          <w:p w:rsidR="005946AD" w:rsidRPr="002A436C" w:rsidRDefault="005946AD" w:rsidP="002A436C">
            <w:pPr>
              <w:spacing w:line="360" w:lineRule="auto"/>
              <w:jc w:val="both"/>
              <w:rPr>
                <w:sz w:val="22"/>
                <w:szCs w:val="22"/>
                <w:lang w:val="en-GB"/>
              </w:rPr>
            </w:pPr>
            <w:r w:rsidRPr="002A436C">
              <w:rPr>
                <w:sz w:val="22"/>
                <w:szCs w:val="22"/>
                <w:lang w:val="en-GB"/>
              </w:rPr>
              <w:t>1</w:t>
            </w:r>
          </w:p>
        </w:tc>
        <w:tc>
          <w:tcPr>
            <w:tcW w:w="1420" w:type="dxa"/>
            <w:tcBorders>
              <w:top w:val="single" w:sz="12" w:space="0" w:color="auto"/>
              <w:left w:val="nil"/>
              <w:bottom w:val="nil"/>
              <w:right w:val="nil"/>
            </w:tcBorders>
            <w:vAlign w:val="bottom"/>
          </w:tcPr>
          <w:p w:rsidR="005946AD" w:rsidRPr="002A436C" w:rsidRDefault="005946AD" w:rsidP="002A436C">
            <w:pPr>
              <w:spacing w:line="360" w:lineRule="auto"/>
              <w:jc w:val="both"/>
              <w:rPr>
                <w:sz w:val="22"/>
                <w:szCs w:val="22"/>
                <w:lang w:val="en-GB"/>
              </w:rPr>
            </w:pPr>
            <w:r w:rsidRPr="002A436C">
              <w:rPr>
                <w:rFonts w:eastAsia="Times New Roman"/>
                <w:color w:val="000000"/>
                <w:sz w:val="22"/>
                <w:szCs w:val="22"/>
                <w:lang w:val="en-GB"/>
              </w:rPr>
              <w:t>254.15</w:t>
            </w:r>
          </w:p>
        </w:tc>
        <w:tc>
          <w:tcPr>
            <w:tcW w:w="1420" w:type="dxa"/>
            <w:tcBorders>
              <w:top w:val="single" w:sz="12" w:space="0" w:color="auto"/>
              <w:left w:val="nil"/>
              <w:bottom w:val="nil"/>
              <w:right w:val="nil"/>
            </w:tcBorders>
          </w:tcPr>
          <w:p w:rsidR="005946AD" w:rsidRPr="002A436C" w:rsidRDefault="005946AD" w:rsidP="002A436C">
            <w:pPr>
              <w:spacing w:line="360" w:lineRule="auto"/>
              <w:jc w:val="both"/>
              <w:rPr>
                <w:sz w:val="22"/>
                <w:szCs w:val="22"/>
                <w:lang w:val="en-GB"/>
              </w:rPr>
            </w:pPr>
            <w:r w:rsidRPr="002A436C">
              <w:rPr>
                <w:sz w:val="22"/>
                <w:szCs w:val="22"/>
                <w:lang w:val="en-GB"/>
              </w:rPr>
              <w:t>6</w:t>
            </w:r>
          </w:p>
        </w:tc>
        <w:tc>
          <w:tcPr>
            <w:tcW w:w="1420" w:type="dxa"/>
            <w:tcBorders>
              <w:top w:val="single" w:sz="12" w:space="0" w:color="auto"/>
              <w:left w:val="nil"/>
              <w:bottom w:val="nil"/>
              <w:right w:val="nil"/>
            </w:tcBorders>
            <w:vAlign w:val="bottom"/>
          </w:tcPr>
          <w:p w:rsidR="005946AD" w:rsidRPr="002A436C" w:rsidRDefault="005946AD" w:rsidP="002A436C">
            <w:pPr>
              <w:spacing w:line="360" w:lineRule="auto"/>
              <w:jc w:val="both"/>
              <w:rPr>
                <w:sz w:val="22"/>
                <w:szCs w:val="22"/>
                <w:lang w:val="en-GB"/>
              </w:rPr>
            </w:pPr>
            <w:r w:rsidRPr="002A436C">
              <w:rPr>
                <w:rFonts w:eastAsia="Times New Roman"/>
                <w:color w:val="000000"/>
                <w:sz w:val="22"/>
                <w:szCs w:val="22"/>
                <w:lang w:val="en-GB"/>
              </w:rPr>
              <w:t>59.73</w:t>
            </w:r>
          </w:p>
        </w:tc>
        <w:tc>
          <w:tcPr>
            <w:tcW w:w="1421" w:type="dxa"/>
            <w:tcBorders>
              <w:top w:val="single" w:sz="12" w:space="0" w:color="auto"/>
              <w:left w:val="nil"/>
              <w:bottom w:val="nil"/>
              <w:right w:val="nil"/>
            </w:tcBorders>
          </w:tcPr>
          <w:p w:rsidR="005946AD" w:rsidRPr="002A436C" w:rsidRDefault="005946AD" w:rsidP="002A436C">
            <w:pPr>
              <w:spacing w:line="360" w:lineRule="auto"/>
              <w:jc w:val="both"/>
              <w:rPr>
                <w:sz w:val="22"/>
                <w:szCs w:val="22"/>
                <w:lang w:val="en-GB"/>
              </w:rPr>
            </w:pPr>
            <w:r w:rsidRPr="002A436C">
              <w:rPr>
                <w:sz w:val="22"/>
                <w:szCs w:val="22"/>
                <w:lang w:val="en-GB"/>
              </w:rPr>
              <w:t>2.96</w:t>
            </w:r>
          </w:p>
        </w:tc>
        <w:tc>
          <w:tcPr>
            <w:tcW w:w="1421" w:type="dxa"/>
            <w:tcBorders>
              <w:top w:val="single" w:sz="12" w:space="0" w:color="auto"/>
              <w:left w:val="nil"/>
              <w:bottom w:val="nil"/>
              <w:right w:val="nil"/>
            </w:tcBorders>
          </w:tcPr>
          <w:p w:rsidR="005946AD" w:rsidRPr="002A436C" w:rsidRDefault="005946AD" w:rsidP="002A436C">
            <w:pPr>
              <w:spacing w:line="360" w:lineRule="auto"/>
              <w:jc w:val="both"/>
              <w:rPr>
                <w:sz w:val="22"/>
                <w:szCs w:val="22"/>
                <w:lang w:val="en-GB"/>
              </w:rPr>
            </w:pPr>
            <w:r w:rsidRPr="002A436C">
              <w:rPr>
                <w:sz w:val="22"/>
                <w:szCs w:val="22"/>
                <w:lang w:val="en-GB"/>
              </w:rPr>
              <w:t>1.81</w:t>
            </w:r>
          </w:p>
        </w:tc>
      </w:tr>
      <w:tr w:rsidR="005946AD" w:rsidRPr="009B194B" w:rsidTr="009B194B">
        <w:tc>
          <w:tcPr>
            <w:tcW w:w="1420" w:type="dxa"/>
            <w:tcBorders>
              <w:top w:val="nil"/>
              <w:left w:val="nil"/>
              <w:bottom w:val="nil"/>
              <w:right w:val="nil"/>
            </w:tcBorders>
          </w:tcPr>
          <w:p w:rsidR="005946AD" w:rsidRPr="002A436C" w:rsidRDefault="005946AD" w:rsidP="002A436C">
            <w:pPr>
              <w:spacing w:line="360" w:lineRule="auto"/>
              <w:jc w:val="both"/>
              <w:rPr>
                <w:sz w:val="22"/>
                <w:szCs w:val="22"/>
                <w:lang w:val="en-GB"/>
              </w:rPr>
            </w:pPr>
            <w:r w:rsidRPr="002A436C">
              <w:rPr>
                <w:sz w:val="22"/>
                <w:szCs w:val="22"/>
                <w:lang w:val="en-GB"/>
              </w:rPr>
              <w:t>2</w:t>
            </w:r>
          </w:p>
        </w:tc>
        <w:tc>
          <w:tcPr>
            <w:tcW w:w="1420" w:type="dxa"/>
            <w:tcBorders>
              <w:top w:val="nil"/>
              <w:left w:val="nil"/>
              <w:bottom w:val="nil"/>
              <w:right w:val="nil"/>
            </w:tcBorders>
            <w:vAlign w:val="bottom"/>
          </w:tcPr>
          <w:p w:rsidR="005946AD" w:rsidRPr="002A436C" w:rsidRDefault="005946AD" w:rsidP="002A436C">
            <w:pPr>
              <w:spacing w:line="360" w:lineRule="auto"/>
              <w:jc w:val="both"/>
              <w:rPr>
                <w:sz w:val="22"/>
                <w:szCs w:val="22"/>
                <w:lang w:val="en-GB"/>
              </w:rPr>
            </w:pPr>
            <w:r w:rsidRPr="002A436C">
              <w:rPr>
                <w:rFonts w:eastAsia="Times New Roman"/>
                <w:color w:val="000000"/>
                <w:sz w:val="22"/>
                <w:szCs w:val="22"/>
                <w:lang w:val="en-GB"/>
              </w:rPr>
              <w:t>108.144</w:t>
            </w:r>
          </w:p>
        </w:tc>
        <w:tc>
          <w:tcPr>
            <w:tcW w:w="1420" w:type="dxa"/>
            <w:tcBorders>
              <w:top w:val="nil"/>
              <w:left w:val="nil"/>
              <w:bottom w:val="nil"/>
              <w:right w:val="nil"/>
            </w:tcBorders>
          </w:tcPr>
          <w:p w:rsidR="005946AD" w:rsidRPr="002A436C" w:rsidRDefault="005946AD" w:rsidP="002A436C">
            <w:pPr>
              <w:spacing w:line="360" w:lineRule="auto"/>
              <w:jc w:val="both"/>
              <w:rPr>
                <w:sz w:val="22"/>
                <w:szCs w:val="22"/>
                <w:lang w:val="en-GB"/>
              </w:rPr>
            </w:pPr>
            <w:r w:rsidRPr="002A436C">
              <w:rPr>
                <w:sz w:val="22"/>
                <w:szCs w:val="22"/>
                <w:lang w:val="en-GB"/>
              </w:rPr>
              <w:t>5</w:t>
            </w:r>
          </w:p>
        </w:tc>
        <w:tc>
          <w:tcPr>
            <w:tcW w:w="1420" w:type="dxa"/>
            <w:tcBorders>
              <w:top w:val="nil"/>
              <w:left w:val="nil"/>
              <w:bottom w:val="nil"/>
              <w:right w:val="nil"/>
            </w:tcBorders>
            <w:vAlign w:val="bottom"/>
          </w:tcPr>
          <w:p w:rsidR="005946AD" w:rsidRPr="002A436C" w:rsidRDefault="005946AD" w:rsidP="002A436C">
            <w:pPr>
              <w:spacing w:line="360" w:lineRule="auto"/>
              <w:jc w:val="both"/>
              <w:rPr>
                <w:sz w:val="22"/>
                <w:szCs w:val="22"/>
                <w:lang w:val="en-GB"/>
              </w:rPr>
            </w:pPr>
            <w:r w:rsidRPr="002A436C">
              <w:rPr>
                <w:rFonts w:eastAsia="Times New Roman"/>
                <w:color w:val="000000"/>
                <w:sz w:val="22"/>
                <w:szCs w:val="22"/>
                <w:lang w:val="en-GB"/>
              </w:rPr>
              <w:t>30.50</w:t>
            </w:r>
          </w:p>
        </w:tc>
        <w:tc>
          <w:tcPr>
            <w:tcW w:w="1421" w:type="dxa"/>
            <w:tcBorders>
              <w:top w:val="nil"/>
              <w:left w:val="nil"/>
              <w:bottom w:val="nil"/>
              <w:right w:val="nil"/>
            </w:tcBorders>
          </w:tcPr>
          <w:p w:rsidR="005946AD" w:rsidRPr="002A436C" w:rsidRDefault="005946AD" w:rsidP="002A436C">
            <w:pPr>
              <w:spacing w:line="360" w:lineRule="auto"/>
              <w:jc w:val="both"/>
              <w:rPr>
                <w:sz w:val="22"/>
                <w:szCs w:val="22"/>
                <w:lang w:val="en-GB"/>
              </w:rPr>
            </w:pPr>
            <w:r w:rsidRPr="002A436C">
              <w:rPr>
                <w:sz w:val="22"/>
                <w:szCs w:val="22"/>
                <w:lang w:val="en-GB"/>
              </w:rPr>
              <w:t>1.51</w:t>
            </w:r>
          </w:p>
        </w:tc>
        <w:tc>
          <w:tcPr>
            <w:tcW w:w="1421" w:type="dxa"/>
            <w:tcBorders>
              <w:top w:val="nil"/>
              <w:left w:val="nil"/>
              <w:bottom w:val="nil"/>
              <w:right w:val="nil"/>
            </w:tcBorders>
          </w:tcPr>
          <w:p w:rsidR="005946AD" w:rsidRPr="002A436C" w:rsidRDefault="005946AD" w:rsidP="002A436C">
            <w:pPr>
              <w:spacing w:line="360" w:lineRule="auto"/>
              <w:jc w:val="both"/>
              <w:rPr>
                <w:sz w:val="22"/>
                <w:szCs w:val="22"/>
                <w:lang w:val="en-GB"/>
              </w:rPr>
            </w:pPr>
            <w:r w:rsidRPr="002A436C">
              <w:rPr>
                <w:sz w:val="22"/>
                <w:szCs w:val="22"/>
                <w:lang w:val="en-GB"/>
              </w:rPr>
              <w:t>0.93</w:t>
            </w:r>
          </w:p>
        </w:tc>
      </w:tr>
      <w:tr w:rsidR="005946AD" w:rsidRPr="009B194B" w:rsidTr="009B194B">
        <w:tc>
          <w:tcPr>
            <w:tcW w:w="1420" w:type="dxa"/>
            <w:tcBorders>
              <w:top w:val="nil"/>
              <w:left w:val="nil"/>
              <w:bottom w:val="nil"/>
              <w:right w:val="nil"/>
            </w:tcBorders>
          </w:tcPr>
          <w:p w:rsidR="005946AD" w:rsidRPr="002A436C" w:rsidRDefault="005946AD" w:rsidP="002A436C">
            <w:pPr>
              <w:spacing w:line="360" w:lineRule="auto"/>
              <w:jc w:val="both"/>
              <w:rPr>
                <w:sz w:val="22"/>
                <w:szCs w:val="22"/>
                <w:lang w:val="en-GB"/>
              </w:rPr>
            </w:pPr>
            <w:r w:rsidRPr="002A436C">
              <w:rPr>
                <w:sz w:val="22"/>
                <w:szCs w:val="22"/>
                <w:lang w:val="en-GB"/>
              </w:rPr>
              <w:t>3</w:t>
            </w:r>
          </w:p>
        </w:tc>
        <w:tc>
          <w:tcPr>
            <w:tcW w:w="1420" w:type="dxa"/>
            <w:tcBorders>
              <w:top w:val="nil"/>
              <w:left w:val="nil"/>
              <w:bottom w:val="nil"/>
              <w:right w:val="nil"/>
            </w:tcBorders>
            <w:vAlign w:val="bottom"/>
          </w:tcPr>
          <w:p w:rsidR="005946AD" w:rsidRPr="002A436C" w:rsidRDefault="005946AD" w:rsidP="002A436C">
            <w:pPr>
              <w:spacing w:line="360" w:lineRule="auto"/>
              <w:jc w:val="both"/>
              <w:rPr>
                <w:sz w:val="22"/>
                <w:szCs w:val="22"/>
                <w:lang w:val="en-GB"/>
              </w:rPr>
            </w:pPr>
            <w:r w:rsidRPr="002A436C">
              <w:rPr>
                <w:rFonts w:eastAsia="Times New Roman"/>
                <w:color w:val="000000"/>
                <w:sz w:val="22"/>
                <w:szCs w:val="22"/>
                <w:lang w:val="en-GB"/>
              </w:rPr>
              <w:t>44.05</w:t>
            </w:r>
          </w:p>
        </w:tc>
        <w:tc>
          <w:tcPr>
            <w:tcW w:w="1420" w:type="dxa"/>
            <w:tcBorders>
              <w:top w:val="nil"/>
              <w:left w:val="nil"/>
              <w:bottom w:val="nil"/>
              <w:right w:val="nil"/>
            </w:tcBorders>
          </w:tcPr>
          <w:p w:rsidR="005946AD" w:rsidRPr="002A436C" w:rsidRDefault="005946AD" w:rsidP="002A436C">
            <w:pPr>
              <w:spacing w:line="360" w:lineRule="auto"/>
              <w:jc w:val="both"/>
              <w:rPr>
                <w:sz w:val="22"/>
                <w:szCs w:val="22"/>
                <w:lang w:val="en-GB"/>
              </w:rPr>
            </w:pPr>
            <w:r w:rsidRPr="002A436C">
              <w:rPr>
                <w:sz w:val="22"/>
                <w:szCs w:val="22"/>
                <w:lang w:val="en-GB"/>
              </w:rPr>
              <w:t>3</w:t>
            </w:r>
          </w:p>
        </w:tc>
        <w:tc>
          <w:tcPr>
            <w:tcW w:w="1420" w:type="dxa"/>
            <w:tcBorders>
              <w:top w:val="nil"/>
              <w:left w:val="nil"/>
              <w:bottom w:val="nil"/>
              <w:right w:val="nil"/>
            </w:tcBorders>
            <w:vAlign w:val="bottom"/>
          </w:tcPr>
          <w:p w:rsidR="005946AD" w:rsidRPr="002A436C" w:rsidRDefault="005946AD" w:rsidP="002A436C">
            <w:pPr>
              <w:spacing w:line="360" w:lineRule="auto"/>
              <w:jc w:val="both"/>
              <w:rPr>
                <w:sz w:val="22"/>
                <w:szCs w:val="22"/>
                <w:lang w:val="en-GB"/>
              </w:rPr>
            </w:pPr>
            <w:r w:rsidRPr="002A436C">
              <w:rPr>
                <w:rFonts w:eastAsia="Times New Roman"/>
                <w:color w:val="000000"/>
                <w:sz w:val="22"/>
                <w:szCs w:val="22"/>
                <w:lang w:val="en-GB"/>
              </w:rPr>
              <w:t>20.70</w:t>
            </w:r>
          </w:p>
        </w:tc>
        <w:tc>
          <w:tcPr>
            <w:tcW w:w="1421" w:type="dxa"/>
            <w:tcBorders>
              <w:top w:val="nil"/>
              <w:left w:val="nil"/>
              <w:bottom w:val="nil"/>
              <w:right w:val="nil"/>
            </w:tcBorders>
          </w:tcPr>
          <w:p w:rsidR="005946AD" w:rsidRPr="002A436C" w:rsidRDefault="005946AD" w:rsidP="002A436C">
            <w:pPr>
              <w:spacing w:line="360" w:lineRule="auto"/>
              <w:jc w:val="both"/>
              <w:rPr>
                <w:sz w:val="22"/>
                <w:szCs w:val="22"/>
                <w:lang w:val="en-GB"/>
              </w:rPr>
            </w:pPr>
            <w:r w:rsidRPr="002A436C">
              <w:rPr>
                <w:sz w:val="22"/>
                <w:szCs w:val="22"/>
                <w:lang w:val="en-GB"/>
              </w:rPr>
              <w:t>1.03</w:t>
            </w:r>
          </w:p>
        </w:tc>
        <w:tc>
          <w:tcPr>
            <w:tcW w:w="1421" w:type="dxa"/>
            <w:tcBorders>
              <w:top w:val="nil"/>
              <w:left w:val="nil"/>
              <w:bottom w:val="nil"/>
              <w:right w:val="nil"/>
            </w:tcBorders>
          </w:tcPr>
          <w:p w:rsidR="005946AD" w:rsidRPr="002A436C" w:rsidRDefault="005946AD" w:rsidP="002A436C">
            <w:pPr>
              <w:spacing w:line="360" w:lineRule="auto"/>
              <w:jc w:val="both"/>
              <w:rPr>
                <w:sz w:val="22"/>
                <w:szCs w:val="22"/>
                <w:lang w:val="en-GB"/>
              </w:rPr>
            </w:pPr>
            <w:r w:rsidRPr="002A436C">
              <w:rPr>
                <w:sz w:val="22"/>
                <w:szCs w:val="22"/>
                <w:lang w:val="en-GB"/>
              </w:rPr>
              <w:t>0.63</w:t>
            </w:r>
          </w:p>
        </w:tc>
      </w:tr>
      <w:tr w:rsidR="005946AD" w:rsidRPr="009B194B" w:rsidTr="009B194B">
        <w:tc>
          <w:tcPr>
            <w:tcW w:w="1420" w:type="dxa"/>
            <w:tcBorders>
              <w:top w:val="nil"/>
              <w:left w:val="nil"/>
              <w:bottom w:val="nil"/>
              <w:right w:val="nil"/>
            </w:tcBorders>
          </w:tcPr>
          <w:p w:rsidR="005946AD" w:rsidRPr="002A436C" w:rsidRDefault="005946AD" w:rsidP="002A436C">
            <w:pPr>
              <w:spacing w:line="360" w:lineRule="auto"/>
              <w:jc w:val="both"/>
              <w:rPr>
                <w:sz w:val="22"/>
                <w:szCs w:val="22"/>
                <w:lang w:val="en-GB"/>
              </w:rPr>
            </w:pPr>
            <w:r w:rsidRPr="002A436C">
              <w:rPr>
                <w:sz w:val="22"/>
                <w:szCs w:val="22"/>
                <w:lang w:val="en-GB"/>
              </w:rPr>
              <w:t>4</w:t>
            </w:r>
          </w:p>
        </w:tc>
        <w:tc>
          <w:tcPr>
            <w:tcW w:w="1420" w:type="dxa"/>
            <w:tcBorders>
              <w:top w:val="nil"/>
              <w:left w:val="nil"/>
              <w:bottom w:val="nil"/>
              <w:right w:val="nil"/>
            </w:tcBorders>
            <w:vAlign w:val="bottom"/>
          </w:tcPr>
          <w:p w:rsidR="005946AD" w:rsidRPr="002A436C" w:rsidRDefault="005946AD" w:rsidP="002A436C">
            <w:pPr>
              <w:spacing w:line="360" w:lineRule="auto"/>
              <w:jc w:val="both"/>
              <w:rPr>
                <w:sz w:val="22"/>
                <w:szCs w:val="22"/>
                <w:lang w:val="en-GB"/>
              </w:rPr>
            </w:pPr>
            <w:r w:rsidRPr="002A436C">
              <w:rPr>
                <w:rFonts w:eastAsia="Times New Roman"/>
                <w:color w:val="000000"/>
                <w:sz w:val="22"/>
                <w:szCs w:val="22"/>
                <w:lang w:val="en-GB"/>
              </w:rPr>
              <w:t>194.13</w:t>
            </w:r>
          </w:p>
        </w:tc>
        <w:tc>
          <w:tcPr>
            <w:tcW w:w="1420" w:type="dxa"/>
            <w:tcBorders>
              <w:top w:val="nil"/>
              <w:left w:val="nil"/>
              <w:bottom w:val="nil"/>
              <w:right w:val="nil"/>
            </w:tcBorders>
          </w:tcPr>
          <w:p w:rsidR="005946AD" w:rsidRPr="002A436C" w:rsidRDefault="005946AD" w:rsidP="002A436C">
            <w:pPr>
              <w:spacing w:line="360" w:lineRule="auto"/>
              <w:jc w:val="both"/>
              <w:rPr>
                <w:sz w:val="22"/>
                <w:szCs w:val="22"/>
                <w:lang w:val="en-GB"/>
              </w:rPr>
            </w:pPr>
            <w:r w:rsidRPr="002A436C">
              <w:rPr>
                <w:sz w:val="22"/>
                <w:szCs w:val="22"/>
                <w:lang w:val="en-GB"/>
              </w:rPr>
              <w:t>5</w:t>
            </w:r>
          </w:p>
        </w:tc>
        <w:tc>
          <w:tcPr>
            <w:tcW w:w="1420" w:type="dxa"/>
            <w:tcBorders>
              <w:top w:val="nil"/>
              <w:left w:val="nil"/>
              <w:bottom w:val="nil"/>
              <w:right w:val="nil"/>
            </w:tcBorders>
            <w:vAlign w:val="bottom"/>
          </w:tcPr>
          <w:p w:rsidR="005946AD" w:rsidRPr="002A436C" w:rsidRDefault="005946AD" w:rsidP="002A436C">
            <w:pPr>
              <w:spacing w:line="360" w:lineRule="auto"/>
              <w:jc w:val="both"/>
              <w:rPr>
                <w:sz w:val="22"/>
                <w:szCs w:val="22"/>
                <w:lang w:val="en-GB"/>
              </w:rPr>
            </w:pPr>
            <w:r w:rsidRPr="002A436C">
              <w:rPr>
                <w:rFonts w:eastAsia="Times New Roman"/>
                <w:color w:val="000000"/>
                <w:sz w:val="22"/>
                <w:szCs w:val="22"/>
                <w:lang w:val="en-GB"/>
              </w:rPr>
              <w:t>54.74</w:t>
            </w:r>
          </w:p>
        </w:tc>
        <w:tc>
          <w:tcPr>
            <w:tcW w:w="1421" w:type="dxa"/>
            <w:tcBorders>
              <w:top w:val="nil"/>
              <w:left w:val="nil"/>
              <w:bottom w:val="nil"/>
              <w:right w:val="nil"/>
            </w:tcBorders>
          </w:tcPr>
          <w:p w:rsidR="005946AD" w:rsidRPr="002A436C" w:rsidRDefault="005946AD" w:rsidP="002A436C">
            <w:pPr>
              <w:spacing w:line="360" w:lineRule="auto"/>
              <w:jc w:val="both"/>
              <w:rPr>
                <w:sz w:val="22"/>
                <w:szCs w:val="22"/>
                <w:lang w:val="en-GB"/>
              </w:rPr>
            </w:pPr>
            <w:r w:rsidRPr="002A436C">
              <w:rPr>
                <w:sz w:val="22"/>
                <w:szCs w:val="22"/>
                <w:lang w:val="en-GB"/>
              </w:rPr>
              <w:t>2.71</w:t>
            </w:r>
          </w:p>
        </w:tc>
        <w:tc>
          <w:tcPr>
            <w:tcW w:w="1421" w:type="dxa"/>
            <w:tcBorders>
              <w:top w:val="nil"/>
              <w:left w:val="nil"/>
              <w:bottom w:val="nil"/>
              <w:right w:val="nil"/>
            </w:tcBorders>
          </w:tcPr>
          <w:p w:rsidR="005946AD" w:rsidRPr="002A436C" w:rsidRDefault="005946AD" w:rsidP="002A436C">
            <w:pPr>
              <w:spacing w:line="360" w:lineRule="auto"/>
              <w:jc w:val="both"/>
              <w:rPr>
                <w:sz w:val="22"/>
                <w:szCs w:val="22"/>
                <w:lang w:val="en-GB"/>
              </w:rPr>
            </w:pPr>
            <w:r w:rsidRPr="002A436C">
              <w:rPr>
                <w:sz w:val="22"/>
                <w:szCs w:val="22"/>
                <w:lang w:val="en-GB"/>
              </w:rPr>
              <w:t>n.d.</w:t>
            </w:r>
          </w:p>
        </w:tc>
      </w:tr>
      <w:tr w:rsidR="005946AD" w:rsidRPr="009B194B" w:rsidTr="009B194B">
        <w:tc>
          <w:tcPr>
            <w:tcW w:w="1420" w:type="dxa"/>
            <w:tcBorders>
              <w:top w:val="nil"/>
              <w:left w:val="nil"/>
              <w:bottom w:val="single" w:sz="12" w:space="0" w:color="auto"/>
              <w:right w:val="nil"/>
            </w:tcBorders>
          </w:tcPr>
          <w:p w:rsidR="005946AD" w:rsidRPr="002A436C" w:rsidRDefault="005946AD" w:rsidP="002A436C">
            <w:pPr>
              <w:spacing w:line="360" w:lineRule="auto"/>
              <w:jc w:val="both"/>
              <w:rPr>
                <w:sz w:val="22"/>
                <w:szCs w:val="22"/>
                <w:lang w:val="en-GB"/>
              </w:rPr>
            </w:pPr>
            <w:r w:rsidRPr="002A436C">
              <w:rPr>
                <w:sz w:val="22"/>
                <w:szCs w:val="22"/>
                <w:lang w:val="en-GB"/>
              </w:rPr>
              <w:t>5</w:t>
            </w:r>
          </w:p>
        </w:tc>
        <w:tc>
          <w:tcPr>
            <w:tcW w:w="1420" w:type="dxa"/>
            <w:tcBorders>
              <w:top w:val="nil"/>
              <w:left w:val="nil"/>
              <w:bottom w:val="single" w:sz="12" w:space="0" w:color="auto"/>
              <w:right w:val="nil"/>
            </w:tcBorders>
            <w:vAlign w:val="bottom"/>
          </w:tcPr>
          <w:p w:rsidR="005946AD" w:rsidRPr="002A436C" w:rsidRDefault="005946AD" w:rsidP="002A436C">
            <w:pPr>
              <w:spacing w:line="360" w:lineRule="auto"/>
              <w:jc w:val="both"/>
              <w:rPr>
                <w:sz w:val="22"/>
                <w:szCs w:val="22"/>
                <w:lang w:val="en-GB"/>
              </w:rPr>
            </w:pPr>
            <w:r w:rsidRPr="002A436C">
              <w:rPr>
                <w:rFonts w:eastAsia="Times New Roman"/>
                <w:color w:val="000000"/>
                <w:sz w:val="22"/>
                <w:szCs w:val="22"/>
                <w:lang w:val="en-GB"/>
              </w:rPr>
              <w:t>194.13</w:t>
            </w:r>
          </w:p>
        </w:tc>
        <w:tc>
          <w:tcPr>
            <w:tcW w:w="1420" w:type="dxa"/>
            <w:tcBorders>
              <w:top w:val="nil"/>
              <w:left w:val="nil"/>
              <w:bottom w:val="single" w:sz="12" w:space="0" w:color="auto"/>
              <w:right w:val="nil"/>
            </w:tcBorders>
          </w:tcPr>
          <w:p w:rsidR="005946AD" w:rsidRPr="002A436C" w:rsidRDefault="005946AD" w:rsidP="002A436C">
            <w:pPr>
              <w:spacing w:line="360" w:lineRule="auto"/>
              <w:jc w:val="both"/>
              <w:rPr>
                <w:sz w:val="22"/>
                <w:szCs w:val="22"/>
                <w:lang w:val="en-GB"/>
              </w:rPr>
            </w:pPr>
            <w:r w:rsidRPr="002A436C">
              <w:rPr>
                <w:sz w:val="22"/>
                <w:szCs w:val="22"/>
                <w:lang w:val="en-GB"/>
              </w:rPr>
              <w:t>5</w:t>
            </w:r>
          </w:p>
        </w:tc>
        <w:tc>
          <w:tcPr>
            <w:tcW w:w="1420" w:type="dxa"/>
            <w:tcBorders>
              <w:top w:val="nil"/>
              <w:left w:val="nil"/>
              <w:bottom w:val="single" w:sz="12" w:space="0" w:color="auto"/>
              <w:right w:val="nil"/>
            </w:tcBorders>
            <w:vAlign w:val="bottom"/>
          </w:tcPr>
          <w:p w:rsidR="005946AD" w:rsidRPr="002A436C" w:rsidRDefault="005946AD" w:rsidP="002A436C">
            <w:pPr>
              <w:spacing w:line="360" w:lineRule="auto"/>
              <w:jc w:val="both"/>
              <w:rPr>
                <w:sz w:val="22"/>
                <w:szCs w:val="22"/>
                <w:lang w:val="en-GB"/>
              </w:rPr>
            </w:pPr>
            <w:r w:rsidRPr="002A436C">
              <w:rPr>
                <w:rFonts w:eastAsia="Times New Roman"/>
                <w:color w:val="000000"/>
                <w:sz w:val="22"/>
                <w:szCs w:val="22"/>
                <w:lang w:val="en-GB"/>
              </w:rPr>
              <w:t>54.74</w:t>
            </w:r>
          </w:p>
        </w:tc>
        <w:tc>
          <w:tcPr>
            <w:tcW w:w="1421" w:type="dxa"/>
            <w:tcBorders>
              <w:top w:val="nil"/>
              <w:left w:val="nil"/>
              <w:bottom w:val="single" w:sz="12" w:space="0" w:color="auto"/>
              <w:right w:val="nil"/>
            </w:tcBorders>
          </w:tcPr>
          <w:p w:rsidR="005946AD" w:rsidRPr="002A436C" w:rsidRDefault="005946AD" w:rsidP="002A436C">
            <w:pPr>
              <w:spacing w:line="360" w:lineRule="auto"/>
              <w:jc w:val="both"/>
              <w:rPr>
                <w:sz w:val="22"/>
                <w:szCs w:val="22"/>
                <w:lang w:val="en-GB"/>
              </w:rPr>
            </w:pPr>
            <w:r w:rsidRPr="002A436C">
              <w:rPr>
                <w:sz w:val="22"/>
                <w:szCs w:val="22"/>
                <w:lang w:val="en-GB"/>
              </w:rPr>
              <w:t>2.71</w:t>
            </w:r>
          </w:p>
        </w:tc>
        <w:tc>
          <w:tcPr>
            <w:tcW w:w="1421" w:type="dxa"/>
            <w:tcBorders>
              <w:top w:val="nil"/>
              <w:left w:val="nil"/>
              <w:bottom w:val="single" w:sz="12" w:space="0" w:color="auto"/>
              <w:right w:val="nil"/>
            </w:tcBorders>
          </w:tcPr>
          <w:p w:rsidR="005946AD" w:rsidRPr="002A436C" w:rsidRDefault="005946AD" w:rsidP="002A436C">
            <w:pPr>
              <w:spacing w:line="360" w:lineRule="auto"/>
              <w:jc w:val="both"/>
              <w:rPr>
                <w:sz w:val="22"/>
                <w:szCs w:val="22"/>
                <w:lang w:val="en-GB"/>
              </w:rPr>
            </w:pPr>
            <w:r w:rsidRPr="002A436C">
              <w:rPr>
                <w:sz w:val="22"/>
                <w:szCs w:val="22"/>
                <w:lang w:val="en-GB"/>
              </w:rPr>
              <w:t>n.d.</w:t>
            </w:r>
          </w:p>
        </w:tc>
      </w:tr>
    </w:tbl>
    <w:p w:rsidR="005946AD" w:rsidRPr="002A436C" w:rsidRDefault="005946AD">
      <w:pPr>
        <w:spacing w:line="360" w:lineRule="auto"/>
        <w:jc w:val="both"/>
        <w:rPr>
          <w:sz w:val="22"/>
          <w:szCs w:val="22"/>
          <w:lang w:val="en-GB"/>
        </w:rPr>
      </w:pPr>
    </w:p>
    <w:p w:rsidR="005946AD" w:rsidRPr="002A436C" w:rsidRDefault="005946AD" w:rsidP="002A436C">
      <w:pPr>
        <w:jc w:val="both"/>
        <w:rPr>
          <w:b/>
          <w:sz w:val="22"/>
          <w:szCs w:val="22"/>
          <w:lang w:val="en-GB"/>
        </w:rPr>
      </w:pPr>
      <w:r w:rsidRPr="002A436C">
        <w:rPr>
          <w:b/>
          <w:sz w:val="22"/>
          <w:szCs w:val="22"/>
          <w:lang w:val="en-GB"/>
        </w:rPr>
        <w:br w:type="page"/>
      </w:r>
    </w:p>
    <w:p w:rsidR="005946AD" w:rsidRPr="002A436C" w:rsidRDefault="005946AD" w:rsidP="002A436C">
      <w:pPr>
        <w:jc w:val="both"/>
        <w:rPr>
          <w:b/>
          <w:sz w:val="22"/>
          <w:szCs w:val="22"/>
          <w:lang w:val="en-GB"/>
        </w:rPr>
      </w:pPr>
      <w:r w:rsidRPr="002A436C">
        <w:rPr>
          <w:b/>
          <w:sz w:val="22"/>
          <w:szCs w:val="22"/>
          <w:lang w:val="en-GB"/>
        </w:rPr>
        <w:t xml:space="preserve">Dependences of </w:t>
      </w:r>
      <w:r w:rsidRPr="002A436C">
        <w:rPr>
          <w:b/>
          <w:lang w:val="en-GB"/>
        </w:rPr>
        <w:t>ΔG</w:t>
      </w:r>
      <w:r w:rsidRPr="002A436C">
        <w:rPr>
          <w:b/>
          <w:vertAlign w:val="subscript"/>
          <w:lang w:val="en-GB"/>
        </w:rPr>
        <w:t>sl</w:t>
      </w:r>
      <w:r w:rsidRPr="002A436C">
        <w:rPr>
          <w:b/>
          <w:lang w:val="en-GB"/>
        </w:rPr>
        <w:t xml:space="preserve"> on Φ and P</w:t>
      </w:r>
      <w:r w:rsidRPr="002A436C">
        <w:rPr>
          <w:lang w:val="en-GB"/>
        </w:rPr>
        <w:t xml:space="preserve"> </w:t>
      </w:r>
    </w:p>
    <w:p w:rsidR="005946AD" w:rsidRPr="002A436C" w:rsidRDefault="005946AD" w:rsidP="002A436C">
      <w:pPr>
        <w:jc w:val="both"/>
        <w:rPr>
          <w:b/>
          <w:sz w:val="22"/>
          <w:szCs w:val="22"/>
          <w:lang w:val="en-GB"/>
        </w:rPr>
      </w:pPr>
    </w:p>
    <w:p w:rsidR="005946AD" w:rsidRPr="002A436C" w:rsidRDefault="005946AD" w:rsidP="002A436C">
      <w:pPr>
        <w:jc w:val="both"/>
        <w:rPr>
          <w:b/>
          <w:sz w:val="22"/>
          <w:szCs w:val="22"/>
          <w:lang w:val="en-GB"/>
        </w:rPr>
      </w:pPr>
      <w:r w:rsidRPr="008A087E">
        <w:rPr>
          <w:b/>
          <w:noProof/>
          <w:sz w:val="22"/>
          <w:szCs w:val="22"/>
          <w:lang w:val="nb-NO" w:eastAsia="nb-NO"/>
        </w:rPr>
        <w:drawing>
          <wp:inline distT="0" distB="0" distL="0" distR="0" wp14:anchorId="1BA27167" wp14:editId="41E5482C">
            <wp:extent cx="5273900" cy="1823720"/>
            <wp:effectExtent l="0" t="0" r="952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7.png"/>
                    <pic:cNvPicPr/>
                  </pic:nvPicPr>
                  <pic:blipFill>
                    <a:blip r:embed="rId17">
                      <a:extLst>
                        <a:ext uri="{28A0092B-C50C-407E-A947-70E740481C1C}">
                          <a14:useLocalDpi xmlns:a14="http://schemas.microsoft.com/office/drawing/2010/main" val="0"/>
                        </a:ext>
                      </a:extLst>
                    </a:blip>
                    <a:stretch>
                      <a:fillRect/>
                    </a:stretch>
                  </pic:blipFill>
                  <pic:spPr>
                    <a:xfrm>
                      <a:off x="0" y="0"/>
                      <a:ext cx="5273900" cy="1823720"/>
                    </a:xfrm>
                    <a:prstGeom prst="rect">
                      <a:avLst/>
                    </a:prstGeom>
                  </pic:spPr>
                </pic:pic>
              </a:graphicData>
            </a:graphic>
          </wp:inline>
        </w:drawing>
      </w:r>
    </w:p>
    <w:p w:rsidR="005946AD" w:rsidRPr="002A436C" w:rsidRDefault="005946AD" w:rsidP="002A436C">
      <w:pPr>
        <w:jc w:val="both"/>
        <w:rPr>
          <w:b/>
          <w:sz w:val="22"/>
          <w:szCs w:val="22"/>
          <w:lang w:val="en-GB"/>
        </w:rPr>
      </w:pPr>
    </w:p>
    <w:p w:rsidR="005946AD" w:rsidRPr="002A436C" w:rsidRDefault="005946AD" w:rsidP="002A436C">
      <w:pPr>
        <w:jc w:val="both"/>
        <w:rPr>
          <w:b/>
          <w:sz w:val="22"/>
          <w:szCs w:val="22"/>
          <w:lang w:val="en-GB"/>
        </w:rPr>
      </w:pPr>
      <w:r w:rsidRPr="002A436C">
        <w:rPr>
          <w:b/>
          <w:sz w:val="22"/>
          <w:szCs w:val="22"/>
          <w:lang w:val="en-GB"/>
        </w:rPr>
        <w:t xml:space="preserve">Figure S7. </w:t>
      </w:r>
      <w:r w:rsidRPr="002A436C">
        <w:rPr>
          <w:sz w:val="22"/>
          <w:szCs w:val="22"/>
          <w:lang w:val="en-GB"/>
        </w:rPr>
        <w:t xml:space="preserve">Plots of the relationships between </w:t>
      </w:r>
      <w:r w:rsidRPr="002A436C">
        <w:rPr>
          <w:lang w:val="en-GB"/>
        </w:rPr>
        <w:t>ΔG</w:t>
      </w:r>
      <w:r w:rsidRPr="002A436C">
        <w:rPr>
          <w:vertAlign w:val="subscript"/>
          <w:lang w:val="en-GB"/>
        </w:rPr>
        <w:t>sl</w:t>
      </w:r>
      <w:r w:rsidRPr="002A436C">
        <w:rPr>
          <w:sz w:val="22"/>
          <w:szCs w:val="22"/>
          <w:lang w:val="en-GB"/>
        </w:rPr>
        <w:t xml:space="preserve"> and (a) </w:t>
      </w:r>
      <w:r w:rsidRPr="002A436C">
        <w:rPr>
          <w:lang w:val="en-GB"/>
        </w:rPr>
        <w:t>Φ</w:t>
      </w:r>
      <w:r w:rsidRPr="002A436C">
        <w:rPr>
          <w:sz w:val="22"/>
          <w:szCs w:val="22"/>
          <w:lang w:val="en-GB"/>
        </w:rPr>
        <w:t xml:space="preserve">; (b) P; and (c) </w:t>
      </w:r>
      <w:r w:rsidRPr="002A436C">
        <w:rPr>
          <w:lang w:val="en-GB"/>
        </w:rPr>
        <w:t>Φ</w:t>
      </w:r>
      <w:r w:rsidRPr="002A436C">
        <w:rPr>
          <w:sz w:val="22"/>
          <w:szCs w:val="22"/>
          <w:lang w:val="en-GB"/>
        </w:rPr>
        <w:t>+P. Colours of datapoints follow the pattern used in figure 3 in the main text.</w:t>
      </w:r>
    </w:p>
    <w:p w:rsidR="005946AD" w:rsidRPr="002A436C" w:rsidRDefault="005946AD" w:rsidP="002A436C">
      <w:pPr>
        <w:jc w:val="both"/>
        <w:rPr>
          <w:b/>
          <w:sz w:val="22"/>
          <w:szCs w:val="22"/>
          <w:lang w:val="en-GB"/>
        </w:rPr>
      </w:pPr>
    </w:p>
    <w:p w:rsidR="005946AD" w:rsidRPr="002A436C" w:rsidRDefault="005946AD" w:rsidP="002A436C">
      <w:pPr>
        <w:jc w:val="both"/>
        <w:rPr>
          <w:b/>
          <w:sz w:val="22"/>
          <w:szCs w:val="22"/>
          <w:lang w:val="en-GB"/>
        </w:rPr>
      </w:pPr>
      <w:r w:rsidRPr="002A436C">
        <w:rPr>
          <w:b/>
          <w:sz w:val="22"/>
          <w:szCs w:val="22"/>
          <w:lang w:val="en-GB"/>
        </w:rPr>
        <w:br w:type="page"/>
      </w:r>
    </w:p>
    <w:p w:rsidR="005946AD" w:rsidRPr="002A436C" w:rsidRDefault="005946AD" w:rsidP="002A436C">
      <w:pPr>
        <w:jc w:val="both"/>
        <w:rPr>
          <w:rFonts w:eastAsia="Times New Roman"/>
          <w:i/>
          <w:iCs/>
          <w:color w:val="000000"/>
          <w:sz w:val="22"/>
          <w:szCs w:val="22"/>
          <w:lang w:val="en-GB"/>
        </w:rPr>
      </w:pPr>
      <w:r w:rsidRPr="002A436C">
        <w:rPr>
          <w:b/>
          <w:sz w:val="22"/>
          <w:szCs w:val="22"/>
          <w:lang w:val="en-GB"/>
        </w:rPr>
        <w:t>Table S4.</w:t>
      </w:r>
      <w:r w:rsidRPr="002A436C">
        <w:rPr>
          <w:lang w:val="en-GB"/>
        </w:rPr>
        <w:t xml:space="preserve"> </w:t>
      </w:r>
      <w:r w:rsidRPr="002A436C">
        <w:rPr>
          <w:sz w:val="22"/>
          <w:szCs w:val="22"/>
          <w:lang w:val="en-GB"/>
        </w:rPr>
        <w:t xml:space="preserve">Calculated values of P, </w:t>
      </w:r>
      <w:r w:rsidRPr="002A436C">
        <w:rPr>
          <w:rFonts w:eastAsia="Times New Roman"/>
          <w:sz w:val="22"/>
          <w:szCs w:val="22"/>
          <w:lang w:val="en-GB"/>
        </w:rPr>
        <w:t>Φ</w:t>
      </w:r>
      <w:r w:rsidRPr="002A436C">
        <w:rPr>
          <w:sz w:val="22"/>
          <w:szCs w:val="22"/>
          <w:lang w:val="en-GB"/>
        </w:rPr>
        <w:t xml:space="preserve">, </w:t>
      </w:r>
      <w:r w:rsidRPr="002A436C">
        <w:rPr>
          <w:rFonts w:eastAsia="Times New Roman"/>
          <w:color w:val="000000"/>
          <w:sz w:val="22"/>
          <w:szCs w:val="22"/>
          <w:lang w:val="en-GB"/>
        </w:rPr>
        <w:t>ΔG</w:t>
      </w:r>
      <w:r w:rsidRPr="002A436C">
        <w:rPr>
          <w:rFonts w:eastAsia="Times New Roman"/>
          <w:i/>
          <w:iCs/>
          <w:color w:val="000000"/>
          <w:sz w:val="22"/>
          <w:szCs w:val="22"/>
          <w:vertAlign w:val="subscript"/>
          <w:lang w:val="en-GB"/>
        </w:rPr>
        <w:t>sh</w:t>
      </w:r>
      <w:r w:rsidRPr="002A436C">
        <w:rPr>
          <w:sz w:val="22"/>
          <w:szCs w:val="22"/>
          <w:lang w:val="en-GB"/>
        </w:rPr>
        <w:t xml:space="preserve"> and </w:t>
      </w:r>
      <w:r w:rsidRPr="002A436C">
        <w:rPr>
          <w:rFonts w:eastAsia="Times New Roman"/>
          <w:i/>
          <w:color w:val="000000"/>
          <w:sz w:val="22"/>
          <w:szCs w:val="22"/>
          <w:lang w:val="en-GB"/>
        </w:rPr>
        <w:t>f</w:t>
      </w:r>
      <w:r w:rsidRPr="002A436C">
        <w:rPr>
          <w:rFonts w:eastAsia="Times New Roman"/>
          <w:i/>
          <w:iCs/>
          <w:color w:val="000000"/>
          <w:sz w:val="22"/>
          <w:szCs w:val="22"/>
          <w:vertAlign w:val="subscript"/>
          <w:lang w:val="en-GB"/>
        </w:rPr>
        <w:t xml:space="preserve">eq </w:t>
      </w:r>
      <w:r w:rsidRPr="002A436C">
        <w:rPr>
          <w:sz w:val="22"/>
          <w:szCs w:val="22"/>
          <w:lang w:val="en-GB"/>
        </w:rPr>
        <w:t>for selected monomers and their interactions with α- and β-CD.</w:t>
      </w:r>
    </w:p>
    <w:tbl>
      <w:tblPr>
        <w:tblW w:w="8447" w:type="dxa"/>
        <w:tblInd w:w="23" w:type="dxa"/>
        <w:tblLayout w:type="fixed"/>
        <w:tblLook w:val="04A0" w:firstRow="1" w:lastRow="0" w:firstColumn="1" w:lastColumn="0" w:noHBand="0" w:noVBand="1"/>
      </w:tblPr>
      <w:tblGrid>
        <w:gridCol w:w="3374"/>
        <w:gridCol w:w="1268"/>
        <w:gridCol w:w="1268"/>
        <w:gridCol w:w="1268"/>
        <w:gridCol w:w="1269"/>
      </w:tblGrid>
      <w:tr w:rsidR="005946AD" w:rsidRPr="009B194B" w:rsidTr="009B194B">
        <w:trPr>
          <w:trHeight w:val="680"/>
        </w:trPr>
        <w:tc>
          <w:tcPr>
            <w:tcW w:w="3374" w:type="dxa"/>
            <w:tcBorders>
              <w:top w:val="single" w:sz="12" w:space="0" w:color="auto"/>
            </w:tcBorders>
            <w:noWrap/>
            <w:hideMark/>
          </w:tcPr>
          <w:p w:rsidR="005946AD" w:rsidRPr="002A436C" w:rsidRDefault="005946AD" w:rsidP="002A436C">
            <w:pPr>
              <w:jc w:val="both"/>
              <w:rPr>
                <w:sz w:val="22"/>
                <w:szCs w:val="22"/>
                <w:lang w:val="en-GB"/>
              </w:rPr>
            </w:pPr>
          </w:p>
        </w:tc>
        <w:tc>
          <w:tcPr>
            <w:tcW w:w="1268" w:type="dxa"/>
            <w:tcBorders>
              <w:top w:val="single" w:sz="12" w:space="0" w:color="auto"/>
            </w:tcBorders>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P</w:t>
            </w:r>
          </w:p>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(×10</w:t>
            </w:r>
            <w:r w:rsidRPr="002A436C">
              <w:rPr>
                <w:rFonts w:eastAsia="Times New Roman"/>
                <w:color w:val="000000"/>
                <w:sz w:val="22"/>
                <w:szCs w:val="22"/>
                <w:vertAlign w:val="superscript"/>
                <w:lang w:val="en-GB"/>
              </w:rPr>
              <w:t>-4</w:t>
            </w:r>
            <w:r w:rsidRPr="002A436C">
              <w:rPr>
                <w:rFonts w:eastAsia="Times New Roman"/>
                <w:color w:val="000000"/>
                <w:sz w:val="22"/>
                <w:szCs w:val="22"/>
                <w:lang w:val="en-GB"/>
              </w:rPr>
              <w:t>)</w:t>
            </w:r>
          </w:p>
        </w:tc>
        <w:tc>
          <w:tcPr>
            <w:tcW w:w="1268" w:type="dxa"/>
            <w:tcBorders>
              <w:top w:val="single" w:sz="12" w:space="0" w:color="auto"/>
            </w:tcBorders>
            <w:hideMark/>
          </w:tcPr>
          <w:p w:rsidR="005946AD" w:rsidRPr="002A436C" w:rsidRDefault="005946AD" w:rsidP="002A436C">
            <w:pPr>
              <w:jc w:val="both"/>
              <w:rPr>
                <w:rFonts w:eastAsia="Times New Roman"/>
                <w:sz w:val="22"/>
                <w:szCs w:val="22"/>
                <w:lang w:val="en-GB"/>
              </w:rPr>
            </w:pPr>
            <w:r w:rsidRPr="002A436C">
              <w:rPr>
                <w:rFonts w:eastAsia="Times New Roman"/>
                <w:sz w:val="22"/>
                <w:szCs w:val="22"/>
                <w:lang w:val="en-GB"/>
              </w:rPr>
              <w:t>Φ</w:t>
            </w:r>
          </w:p>
        </w:tc>
        <w:tc>
          <w:tcPr>
            <w:tcW w:w="1268" w:type="dxa"/>
            <w:tcBorders>
              <w:top w:val="single" w:sz="12" w:space="0" w:color="auto"/>
            </w:tcBorders>
            <w:hideMark/>
          </w:tcPr>
          <w:p w:rsidR="005946AD" w:rsidRPr="002A436C" w:rsidRDefault="005946AD" w:rsidP="002A436C">
            <w:pPr>
              <w:jc w:val="both"/>
              <w:rPr>
                <w:rFonts w:eastAsia="Times New Roman"/>
                <w:color w:val="000000"/>
                <w:sz w:val="22"/>
                <w:szCs w:val="22"/>
                <w:vertAlign w:val="subscript"/>
                <w:lang w:val="en-GB"/>
              </w:rPr>
            </w:pPr>
            <w:r w:rsidRPr="002A436C">
              <w:rPr>
                <w:rFonts w:eastAsia="Times New Roman"/>
                <w:color w:val="000000"/>
                <w:sz w:val="22"/>
                <w:szCs w:val="22"/>
                <w:lang w:val="en-GB"/>
              </w:rPr>
              <w:t>ΔG</w:t>
            </w:r>
            <w:r w:rsidRPr="002A436C">
              <w:rPr>
                <w:rFonts w:eastAsia="Times New Roman"/>
                <w:color w:val="000000"/>
                <w:sz w:val="22"/>
                <w:szCs w:val="22"/>
                <w:vertAlign w:val="subscript"/>
                <w:lang w:val="en-GB"/>
              </w:rPr>
              <w:t>sh</w:t>
            </w:r>
          </w:p>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(kJ/mol)</w:t>
            </w:r>
          </w:p>
        </w:tc>
        <w:tc>
          <w:tcPr>
            <w:tcW w:w="1269" w:type="dxa"/>
            <w:tcBorders>
              <w:top w:val="single" w:sz="12" w:space="0" w:color="auto"/>
            </w:tcBorders>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f</w:t>
            </w:r>
            <w:r w:rsidRPr="002A436C">
              <w:rPr>
                <w:rFonts w:eastAsia="Times New Roman"/>
                <w:color w:val="000000"/>
                <w:sz w:val="22"/>
                <w:szCs w:val="22"/>
                <w:vertAlign w:val="subscript"/>
                <w:lang w:val="en-GB"/>
              </w:rPr>
              <w:t>eq</w:t>
            </w:r>
          </w:p>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(pN)</w:t>
            </w:r>
          </w:p>
        </w:tc>
      </w:tr>
      <w:tr w:rsidR="005946AD" w:rsidRPr="002A436C" w:rsidTr="009B194B">
        <w:trPr>
          <w:trHeight w:val="640"/>
        </w:trPr>
        <w:tc>
          <w:tcPr>
            <w:tcW w:w="3374" w:type="dxa"/>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 xml:space="preserve">nucleotides and modifications </w:t>
            </w:r>
          </w:p>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w:t>
            </w:r>
            <w:r w:rsidRPr="002A436C">
              <w:rPr>
                <w:sz w:val="22"/>
                <w:szCs w:val="22"/>
                <w:lang w:val="en-GB"/>
              </w:rPr>
              <w:t>β-CD)*</w:t>
            </w:r>
          </w:p>
        </w:tc>
        <w:tc>
          <w:tcPr>
            <w:tcW w:w="1268" w:type="dxa"/>
            <w:noWrap/>
            <w:hideMark/>
          </w:tcPr>
          <w:p w:rsidR="005946AD" w:rsidRPr="002A436C" w:rsidRDefault="005946AD" w:rsidP="002A436C">
            <w:pPr>
              <w:jc w:val="both"/>
              <w:rPr>
                <w:rFonts w:eastAsia="Times New Roman"/>
                <w:color w:val="000000"/>
                <w:sz w:val="22"/>
                <w:szCs w:val="22"/>
                <w:lang w:val="en-GB"/>
              </w:rPr>
            </w:pPr>
          </w:p>
        </w:tc>
        <w:tc>
          <w:tcPr>
            <w:tcW w:w="1268" w:type="dxa"/>
            <w:noWrap/>
            <w:hideMark/>
          </w:tcPr>
          <w:p w:rsidR="005946AD" w:rsidRPr="002A436C" w:rsidRDefault="005946AD" w:rsidP="002A436C">
            <w:pPr>
              <w:jc w:val="both"/>
              <w:rPr>
                <w:rFonts w:eastAsia="Times New Roman"/>
                <w:sz w:val="22"/>
                <w:szCs w:val="22"/>
                <w:lang w:val="en-GB"/>
              </w:rPr>
            </w:pPr>
          </w:p>
        </w:tc>
        <w:tc>
          <w:tcPr>
            <w:tcW w:w="1268" w:type="dxa"/>
            <w:noWrap/>
            <w:hideMark/>
          </w:tcPr>
          <w:p w:rsidR="005946AD" w:rsidRPr="002A436C" w:rsidRDefault="005946AD" w:rsidP="002A436C">
            <w:pPr>
              <w:jc w:val="both"/>
              <w:rPr>
                <w:rFonts w:eastAsia="Times New Roman"/>
                <w:sz w:val="22"/>
                <w:szCs w:val="22"/>
                <w:lang w:val="en-GB"/>
              </w:rPr>
            </w:pPr>
          </w:p>
        </w:tc>
        <w:tc>
          <w:tcPr>
            <w:tcW w:w="1269" w:type="dxa"/>
          </w:tcPr>
          <w:p w:rsidR="005946AD" w:rsidRPr="002A436C" w:rsidRDefault="005946AD" w:rsidP="002A436C">
            <w:pPr>
              <w:jc w:val="both"/>
              <w:rPr>
                <w:rFonts w:eastAsia="Times New Roman"/>
                <w:sz w:val="22"/>
                <w:szCs w:val="22"/>
                <w:lang w:val="en-GB"/>
              </w:rPr>
            </w:pP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adenosine monophosphate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10.2</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3.6</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71.6</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65.8</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thymidine monophosphate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575.4</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3.3</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68.2</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64.2</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cytidine monophosphate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7.2</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3.4</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66.8</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63.5</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methylcytidine monophosphate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17.0</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3.5</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68.9</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64.6</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guanosine monophosphate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7.6</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3.8</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75.6</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67.6</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p>
        </w:tc>
        <w:tc>
          <w:tcPr>
            <w:tcW w:w="1268" w:type="dxa"/>
            <w:noWrap/>
            <w:hideMark/>
          </w:tcPr>
          <w:p w:rsidR="005946AD" w:rsidRPr="002A436C" w:rsidRDefault="005946AD" w:rsidP="002A436C">
            <w:pPr>
              <w:jc w:val="both"/>
              <w:rPr>
                <w:rFonts w:eastAsia="Times New Roman"/>
                <w:sz w:val="22"/>
                <w:szCs w:val="22"/>
                <w:lang w:val="en-GB"/>
              </w:rPr>
            </w:pPr>
          </w:p>
        </w:tc>
        <w:tc>
          <w:tcPr>
            <w:tcW w:w="1268" w:type="dxa"/>
            <w:noWrap/>
            <w:hideMark/>
          </w:tcPr>
          <w:p w:rsidR="005946AD" w:rsidRPr="002A436C" w:rsidRDefault="005946AD" w:rsidP="002A436C">
            <w:pPr>
              <w:jc w:val="both"/>
              <w:rPr>
                <w:rFonts w:eastAsia="Times New Roman"/>
                <w:sz w:val="22"/>
                <w:szCs w:val="22"/>
                <w:lang w:val="en-GB"/>
              </w:rPr>
            </w:pPr>
          </w:p>
        </w:tc>
        <w:tc>
          <w:tcPr>
            <w:tcW w:w="1268" w:type="dxa"/>
            <w:noWrap/>
            <w:hideMark/>
          </w:tcPr>
          <w:p w:rsidR="005946AD" w:rsidRPr="002A436C" w:rsidRDefault="005946AD" w:rsidP="002A436C">
            <w:pPr>
              <w:jc w:val="both"/>
              <w:rPr>
                <w:rFonts w:eastAsia="Times New Roman"/>
                <w:sz w:val="22"/>
                <w:szCs w:val="22"/>
                <w:lang w:val="en-GB"/>
              </w:rPr>
            </w:pPr>
          </w:p>
        </w:tc>
        <w:tc>
          <w:tcPr>
            <w:tcW w:w="1269" w:type="dxa"/>
          </w:tcPr>
          <w:p w:rsidR="005946AD" w:rsidRPr="002A436C" w:rsidRDefault="005946AD" w:rsidP="002A436C">
            <w:pPr>
              <w:jc w:val="both"/>
              <w:rPr>
                <w:rFonts w:eastAsia="Times New Roman"/>
                <w:sz w:val="22"/>
                <w:szCs w:val="22"/>
                <w:lang w:val="en-GB"/>
              </w:rPr>
            </w:pP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Glycans (α-CD)</w:t>
            </w:r>
          </w:p>
        </w:tc>
        <w:tc>
          <w:tcPr>
            <w:tcW w:w="1268" w:type="dxa"/>
            <w:noWrap/>
            <w:hideMark/>
          </w:tcPr>
          <w:p w:rsidR="005946AD" w:rsidRPr="002A436C" w:rsidRDefault="005946AD" w:rsidP="002A436C">
            <w:pPr>
              <w:jc w:val="both"/>
              <w:rPr>
                <w:rFonts w:eastAsia="Times New Roman"/>
                <w:color w:val="000000"/>
                <w:sz w:val="22"/>
                <w:szCs w:val="22"/>
                <w:lang w:val="en-GB"/>
              </w:rPr>
            </w:pPr>
          </w:p>
        </w:tc>
        <w:tc>
          <w:tcPr>
            <w:tcW w:w="1268" w:type="dxa"/>
            <w:noWrap/>
            <w:hideMark/>
          </w:tcPr>
          <w:p w:rsidR="005946AD" w:rsidRPr="002A436C" w:rsidRDefault="005946AD" w:rsidP="002A436C">
            <w:pPr>
              <w:jc w:val="both"/>
              <w:rPr>
                <w:rFonts w:eastAsia="Times New Roman"/>
                <w:sz w:val="22"/>
                <w:szCs w:val="22"/>
                <w:lang w:val="en-GB"/>
              </w:rPr>
            </w:pPr>
          </w:p>
        </w:tc>
        <w:tc>
          <w:tcPr>
            <w:tcW w:w="1268" w:type="dxa"/>
            <w:noWrap/>
            <w:hideMark/>
          </w:tcPr>
          <w:p w:rsidR="005946AD" w:rsidRPr="002A436C" w:rsidRDefault="005946AD" w:rsidP="002A436C">
            <w:pPr>
              <w:jc w:val="both"/>
              <w:rPr>
                <w:rFonts w:eastAsia="Times New Roman"/>
                <w:sz w:val="22"/>
                <w:szCs w:val="22"/>
                <w:lang w:val="en-GB"/>
              </w:rPr>
            </w:pPr>
          </w:p>
        </w:tc>
        <w:tc>
          <w:tcPr>
            <w:tcW w:w="1269" w:type="dxa"/>
          </w:tcPr>
          <w:p w:rsidR="005946AD" w:rsidRPr="002A436C" w:rsidRDefault="005946AD" w:rsidP="002A436C">
            <w:pPr>
              <w:jc w:val="both"/>
              <w:rPr>
                <w:rFonts w:eastAsia="Times New Roman"/>
                <w:sz w:val="22"/>
                <w:szCs w:val="22"/>
                <w:lang w:val="en-GB"/>
              </w:rPr>
            </w:pP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xylose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50.1</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1.8</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34.8</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45.9</w:t>
            </w:r>
          </w:p>
        </w:tc>
      </w:tr>
      <w:tr w:rsidR="005946AD" w:rsidRPr="009B194B" w:rsidTr="009B194B">
        <w:trPr>
          <w:trHeight w:val="324"/>
        </w:trPr>
        <w:tc>
          <w:tcPr>
            <w:tcW w:w="3374" w:type="dxa"/>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glucuronoxylose disaccharide*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1.8</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5.5</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109.6</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81.6</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sz w:val="22"/>
                <w:szCs w:val="22"/>
                <w:lang w:val="en-GB"/>
              </w:rPr>
            </w:pPr>
          </w:p>
        </w:tc>
        <w:tc>
          <w:tcPr>
            <w:tcW w:w="1268" w:type="dxa"/>
            <w:noWrap/>
            <w:hideMark/>
          </w:tcPr>
          <w:p w:rsidR="005946AD" w:rsidRPr="002A436C" w:rsidRDefault="005946AD" w:rsidP="002A436C">
            <w:pPr>
              <w:jc w:val="both"/>
              <w:rPr>
                <w:rFonts w:eastAsia="Times New Roman"/>
                <w:sz w:val="22"/>
                <w:szCs w:val="22"/>
                <w:lang w:val="en-GB"/>
              </w:rPr>
            </w:pPr>
          </w:p>
        </w:tc>
        <w:tc>
          <w:tcPr>
            <w:tcW w:w="1268" w:type="dxa"/>
            <w:noWrap/>
            <w:hideMark/>
          </w:tcPr>
          <w:p w:rsidR="005946AD" w:rsidRPr="002A436C" w:rsidRDefault="005946AD" w:rsidP="002A436C">
            <w:pPr>
              <w:jc w:val="both"/>
              <w:rPr>
                <w:rFonts w:eastAsia="Times New Roman"/>
                <w:sz w:val="22"/>
                <w:szCs w:val="22"/>
                <w:lang w:val="en-GB"/>
              </w:rPr>
            </w:pPr>
          </w:p>
        </w:tc>
        <w:tc>
          <w:tcPr>
            <w:tcW w:w="1268" w:type="dxa"/>
            <w:noWrap/>
            <w:hideMark/>
          </w:tcPr>
          <w:p w:rsidR="005946AD" w:rsidRPr="002A436C" w:rsidRDefault="005946AD" w:rsidP="002A436C">
            <w:pPr>
              <w:jc w:val="both"/>
              <w:rPr>
                <w:rFonts w:eastAsia="Times New Roman"/>
                <w:sz w:val="22"/>
                <w:szCs w:val="22"/>
                <w:lang w:val="en-GB"/>
              </w:rPr>
            </w:pPr>
          </w:p>
        </w:tc>
        <w:tc>
          <w:tcPr>
            <w:tcW w:w="1269" w:type="dxa"/>
          </w:tcPr>
          <w:p w:rsidR="005946AD" w:rsidRPr="002A436C" w:rsidRDefault="005946AD" w:rsidP="002A436C">
            <w:pPr>
              <w:jc w:val="both"/>
              <w:rPr>
                <w:rFonts w:eastAsia="Times New Roman"/>
                <w:sz w:val="22"/>
                <w:szCs w:val="22"/>
                <w:lang w:val="en-GB"/>
              </w:rPr>
            </w:pPr>
          </w:p>
        </w:tc>
      </w:tr>
      <w:tr w:rsidR="005946AD" w:rsidRPr="009B194B" w:rsidTr="009B194B">
        <w:trPr>
          <w:trHeight w:val="342"/>
        </w:trPr>
        <w:tc>
          <w:tcPr>
            <w:tcW w:w="3374" w:type="dxa"/>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 xml:space="preserve">polyhydroxyalkanoates </w:t>
            </w:r>
          </w:p>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(α-CD)</w:t>
            </w:r>
          </w:p>
        </w:tc>
        <w:tc>
          <w:tcPr>
            <w:tcW w:w="1268" w:type="dxa"/>
            <w:noWrap/>
            <w:hideMark/>
          </w:tcPr>
          <w:p w:rsidR="005946AD" w:rsidRPr="002A436C" w:rsidRDefault="005946AD" w:rsidP="002A436C">
            <w:pPr>
              <w:jc w:val="both"/>
              <w:rPr>
                <w:rFonts w:eastAsia="Times New Roman"/>
                <w:color w:val="000000"/>
                <w:sz w:val="22"/>
                <w:szCs w:val="22"/>
                <w:lang w:val="en-GB"/>
              </w:rPr>
            </w:pPr>
          </w:p>
        </w:tc>
        <w:tc>
          <w:tcPr>
            <w:tcW w:w="1268" w:type="dxa"/>
            <w:noWrap/>
            <w:hideMark/>
          </w:tcPr>
          <w:p w:rsidR="005946AD" w:rsidRPr="002A436C" w:rsidRDefault="005946AD" w:rsidP="002A436C">
            <w:pPr>
              <w:jc w:val="both"/>
              <w:rPr>
                <w:rFonts w:eastAsia="Times New Roman"/>
                <w:sz w:val="22"/>
                <w:szCs w:val="22"/>
                <w:lang w:val="en-GB"/>
              </w:rPr>
            </w:pPr>
          </w:p>
        </w:tc>
        <w:tc>
          <w:tcPr>
            <w:tcW w:w="1268" w:type="dxa"/>
            <w:noWrap/>
            <w:hideMark/>
          </w:tcPr>
          <w:p w:rsidR="005946AD" w:rsidRPr="002A436C" w:rsidRDefault="005946AD" w:rsidP="002A436C">
            <w:pPr>
              <w:jc w:val="both"/>
              <w:rPr>
                <w:rFonts w:eastAsia="Times New Roman"/>
                <w:sz w:val="22"/>
                <w:szCs w:val="22"/>
                <w:lang w:val="en-GB"/>
              </w:rPr>
            </w:pPr>
          </w:p>
        </w:tc>
        <w:tc>
          <w:tcPr>
            <w:tcW w:w="1269" w:type="dxa"/>
          </w:tcPr>
          <w:p w:rsidR="005946AD" w:rsidRPr="002A436C" w:rsidRDefault="005946AD" w:rsidP="002A436C">
            <w:pPr>
              <w:jc w:val="both"/>
              <w:rPr>
                <w:rFonts w:eastAsia="Times New Roman"/>
                <w:sz w:val="22"/>
                <w:szCs w:val="22"/>
                <w:lang w:val="en-GB"/>
              </w:rPr>
            </w:pP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polylactic acid</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3388</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2.1</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50.3</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55.1</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polyglycolic acid</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912</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1.8</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37.4</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47.6</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Polyhydroxybutyric acid</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4074</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1.8</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46.5</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53.0</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Polyhydroxyvaleric acid</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13804</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2.1</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76.3</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67.9</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Polycaprolactone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23442</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1.3</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86.3</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72.2</w:t>
            </w:r>
          </w:p>
        </w:tc>
      </w:tr>
      <w:tr w:rsidR="005946AD" w:rsidRPr="009B194B" w:rsidTr="009B194B">
        <w:trPr>
          <w:trHeight w:val="324"/>
        </w:trPr>
        <w:tc>
          <w:tcPr>
            <w:tcW w:w="3374" w:type="dxa"/>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Polyhydroxypropylmethacrylamide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13490</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5.1</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135.1</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90.4</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sz w:val="22"/>
                <w:szCs w:val="22"/>
                <w:lang w:val="en-GB"/>
              </w:rPr>
            </w:pPr>
          </w:p>
        </w:tc>
        <w:tc>
          <w:tcPr>
            <w:tcW w:w="1268" w:type="dxa"/>
            <w:noWrap/>
            <w:hideMark/>
          </w:tcPr>
          <w:p w:rsidR="005946AD" w:rsidRPr="002A436C" w:rsidRDefault="005946AD" w:rsidP="002A436C">
            <w:pPr>
              <w:jc w:val="both"/>
              <w:rPr>
                <w:rFonts w:eastAsia="Times New Roman"/>
                <w:sz w:val="22"/>
                <w:szCs w:val="22"/>
                <w:lang w:val="en-GB"/>
              </w:rPr>
            </w:pPr>
          </w:p>
        </w:tc>
        <w:tc>
          <w:tcPr>
            <w:tcW w:w="1268" w:type="dxa"/>
            <w:noWrap/>
            <w:hideMark/>
          </w:tcPr>
          <w:p w:rsidR="005946AD" w:rsidRPr="002A436C" w:rsidRDefault="005946AD" w:rsidP="002A436C">
            <w:pPr>
              <w:jc w:val="both"/>
              <w:rPr>
                <w:rFonts w:eastAsia="Times New Roman"/>
                <w:sz w:val="22"/>
                <w:szCs w:val="22"/>
                <w:lang w:val="en-GB"/>
              </w:rPr>
            </w:pPr>
          </w:p>
        </w:tc>
        <w:tc>
          <w:tcPr>
            <w:tcW w:w="1268" w:type="dxa"/>
            <w:noWrap/>
            <w:hideMark/>
          </w:tcPr>
          <w:p w:rsidR="005946AD" w:rsidRPr="002A436C" w:rsidRDefault="005946AD" w:rsidP="002A436C">
            <w:pPr>
              <w:jc w:val="both"/>
              <w:rPr>
                <w:rFonts w:eastAsia="Times New Roman"/>
                <w:sz w:val="22"/>
                <w:szCs w:val="22"/>
                <w:lang w:val="en-GB"/>
              </w:rPr>
            </w:pPr>
          </w:p>
        </w:tc>
        <w:tc>
          <w:tcPr>
            <w:tcW w:w="1269" w:type="dxa"/>
          </w:tcPr>
          <w:p w:rsidR="005946AD" w:rsidRPr="002A436C" w:rsidRDefault="005946AD" w:rsidP="002A436C">
            <w:pPr>
              <w:jc w:val="both"/>
              <w:rPr>
                <w:rFonts w:eastAsia="Times New Roman"/>
                <w:sz w:val="22"/>
                <w:szCs w:val="22"/>
                <w:lang w:val="en-GB"/>
              </w:rPr>
            </w:pPr>
          </w:p>
        </w:tc>
      </w:tr>
      <w:tr w:rsidR="005946AD" w:rsidRPr="002A436C" w:rsidTr="009B194B">
        <w:trPr>
          <w:trHeight w:val="640"/>
        </w:trPr>
        <w:tc>
          <w:tcPr>
            <w:tcW w:w="3374" w:type="dxa"/>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 xml:space="preserve">amino acids and modifications </w:t>
            </w:r>
          </w:p>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(α-CD)</w:t>
            </w:r>
          </w:p>
        </w:tc>
        <w:tc>
          <w:tcPr>
            <w:tcW w:w="1268" w:type="dxa"/>
            <w:noWrap/>
            <w:hideMark/>
          </w:tcPr>
          <w:p w:rsidR="005946AD" w:rsidRPr="002A436C" w:rsidRDefault="005946AD" w:rsidP="002A436C">
            <w:pPr>
              <w:jc w:val="both"/>
              <w:rPr>
                <w:rFonts w:eastAsia="Times New Roman"/>
                <w:color w:val="000000"/>
                <w:sz w:val="22"/>
                <w:szCs w:val="22"/>
                <w:lang w:val="en-GB"/>
              </w:rPr>
            </w:pPr>
          </w:p>
        </w:tc>
        <w:tc>
          <w:tcPr>
            <w:tcW w:w="1268" w:type="dxa"/>
            <w:noWrap/>
            <w:hideMark/>
          </w:tcPr>
          <w:p w:rsidR="005946AD" w:rsidRPr="002A436C" w:rsidRDefault="005946AD" w:rsidP="002A436C">
            <w:pPr>
              <w:jc w:val="both"/>
              <w:rPr>
                <w:rFonts w:eastAsia="Times New Roman"/>
                <w:sz w:val="22"/>
                <w:szCs w:val="22"/>
                <w:lang w:val="en-GB"/>
              </w:rPr>
            </w:pPr>
          </w:p>
        </w:tc>
        <w:tc>
          <w:tcPr>
            <w:tcW w:w="1268" w:type="dxa"/>
            <w:noWrap/>
            <w:hideMark/>
          </w:tcPr>
          <w:p w:rsidR="005946AD" w:rsidRPr="002A436C" w:rsidRDefault="005946AD" w:rsidP="002A436C">
            <w:pPr>
              <w:jc w:val="both"/>
              <w:rPr>
                <w:rFonts w:eastAsia="Times New Roman"/>
                <w:sz w:val="22"/>
                <w:szCs w:val="22"/>
                <w:lang w:val="en-GB"/>
              </w:rPr>
            </w:pPr>
          </w:p>
        </w:tc>
        <w:tc>
          <w:tcPr>
            <w:tcW w:w="1269" w:type="dxa"/>
          </w:tcPr>
          <w:p w:rsidR="005946AD" w:rsidRPr="002A436C" w:rsidRDefault="005946AD" w:rsidP="002A436C">
            <w:pPr>
              <w:jc w:val="both"/>
              <w:rPr>
                <w:rFonts w:eastAsia="Times New Roman"/>
                <w:sz w:val="22"/>
                <w:szCs w:val="22"/>
                <w:lang w:val="en-GB"/>
              </w:rPr>
            </w:pP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arginine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6.9</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4.1</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80.4</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69.7</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histidine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2.4</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3.6</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71.6</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65.8</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lysine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6.2</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3.4</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67.5</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63.9</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aspartic acid</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3.2</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3.1</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61.4</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60.9</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glutamic acid</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5.8</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3.4</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67.9</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64.1</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serine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1.3</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2.4</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48.5</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54.2</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phosphoserine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6.6</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4.3</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85.5</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71.9</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O-glycosylserine*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2.0</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8.8</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174.6</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102.8</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threonine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3.4</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2.8</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55.0</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57.7</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phosphothreonine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20.0</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4.6</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92.0</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92.0</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O-glycosylthreonine*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2.0</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9.3</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184.0</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105.5</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asparagine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0.5</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3.1</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61.0</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60.7</w:t>
            </w:r>
          </w:p>
        </w:tc>
      </w:tr>
      <w:tr w:rsidR="005946AD" w:rsidRPr="009B194B" w:rsidTr="009B194B">
        <w:trPr>
          <w:trHeight w:val="270"/>
        </w:trPr>
        <w:tc>
          <w:tcPr>
            <w:tcW w:w="3374" w:type="dxa"/>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N-acetylglucosylaminoasparagine*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2.0</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10.3</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203.5</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110.9</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glutamine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1.0</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3.4</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67.4</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63.8</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cysteine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16.2</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2.8</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55.9</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58.1</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glycine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3.8</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1.7</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34.7</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45.8</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proline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26.9</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2.7</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53.2</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56.7</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alanine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14.5</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2.1</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41.2</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49.9</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valine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109.6</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2.7</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54.3</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57.3</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isoleucine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309.0</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3.1</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61.3</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60.9</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leucine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257.0</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3.1</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61.2</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60.8</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methionine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64.6</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3.5</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69.0</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64.6</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phenylalanine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645.7</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5.6</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112.5</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82.5</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tyrosine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316.2</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6.1</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122.4</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86.0</w:t>
            </w:r>
          </w:p>
        </w:tc>
      </w:tr>
      <w:tr w:rsidR="005946AD" w:rsidRPr="009B194B" w:rsidTr="009B194B">
        <w:trPr>
          <w:trHeight w:val="320"/>
        </w:trPr>
        <w:tc>
          <w:tcPr>
            <w:tcW w:w="3374"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phosphotyrosine</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309.0</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8.8</w:t>
            </w:r>
          </w:p>
        </w:tc>
        <w:tc>
          <w:tcPr>
            <w:tcW w:w="1268" w:type="dxa"/>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176.1</w:t>
            </w:r>
          </w:p>
        </w:tc>
        <w:tc>
          <w:tcPr>
            <w:tcW w:w="1269" w:type="dxa"/>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103.2</w:t>
            </w:r>
          </w:p>
        </w:tc>
      </w:tr>
      <w:tr w:rsidR="005946AD" w:rsidRPr="009B194B" w:rsidTr="009B194B">
        <w:trPr>
          <w:trHeight w:val="320"/>
        </w:trPr>
        <w:tc>
          <w:tcPr>
            <w:tcW w:w="3374" w:type="dxa"/>
            <w:tcBorders>
              <w:bottom w:val="single" w:sz="12" w:space="0" w:color="auto"/>
            </w:tcBorders>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tryptophan</w:t>
            </w:r>
          </w:p>
        </w:tc>
        <w:tc>
          <w:tcPr>
            <w:tcW w:w="1268" w:type="dxa"/>
            <w:tcBorders>
              <w:bottom w:val="single" w:sz="12" w:space="0" w:color="auto"/>
            </w:tcBorders>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812.8</w:t>
            </w:r>
          </w:p>
        </w:tc>
        <w:tc>
          <w:tcPr>
            <w:tcW w:w="1268" w:type="dxa"/>
            <w:tcBorders>
              <w:bottom w:val="single" w:sz="12" w:space="0" w:color="auto"/>
            </w:tcBorders>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6.9</w:t>
            </w:r>
          </w:p>
        </w:tc>
        <w:tc>
          <w:tcPr>
            <w:tcW w:w="1268" w:type="dxa"/>
            <w:tcBorders>
              <w:bottom w:val="single" w:sz="12" w:space="0" w:color="auto"/>
            </w:tcBorders>
            <w:noWrap/>
            <w:hideMark/>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139.1</w:t>
            </w:r>
          </w:p>
        </w:tc>
        <w:tc>
          <w:tcPr>
            <w:tcW w:w="1269" w:type="dxa"/>
            <w:tcBorders>
              <w:bottom w:val="single" w:sz="12" w:space="0" w:color="auto"/>
            </w:tcBorders>
          </w:tcPr>
          <w:p w:rsidR="005946AD" w:rsidRPr="002A436C" w:rsidRDefault="005946AD" w:rsidP="002A436C">
            <w:pPr>
              <w:jc w:val="both"/>
              <w:rPr>
                <w:rFonts w:eastAsia="Times New Roman"/>
                <w:color w:val="000000"/>
                <w:sz w:val="22"/>
                <w:szCs w:val="22"/>
                <w:lang w:val="en-GB"/>
              </w:rPr>
            </w:pPr>
            <w:r w:rsidRPr="002A436C">
              <w:rPr>
                <w:rFonts w:eastAsia="Times New Roman"/>
                <w:color w:val="000000"/>
                <w:sz w:val="22"/>
                <w:szCs w:val="22"/>
                <w:lang w:val="en-GB"/>
              </w:rPr>
              <w:t>91.7</w:t>
            </w:r>
          </w:p>
        </w:tc>
      </w:tr>
    </w:tbl>
    <w:p w:rsidR="005946AD" w:rsidRPr="002A436C" w:rsidRDefault="005946AD">
      <w:pPr>
        <w:spacing w:line="360" w:lineRule="auto"/>
        <w:jc w:val="both"/>
        <w:rPr>
          <w:b/>
          <w:sz w:val="22"/>
          <w:szCs w:val="22"/>
          <w:lang w:val="en-GB"/>
        </w:rPr>
      </w:pPr>
      <w:r w:rsidRPr="002A436C">
        <w:rPr>
          <w:sz w:val="22"/>
          <w:szCs w:val="22"/>
          <w:lang w:val="en-GB"/>
        </w:rPr>
        <w:t xml:space="preserve">* </w:t>
      </w:r>
      <w:r w:rsidRPr="002A436C">
        <w:rPr>
          <w:rFonts w:eastAsia="Times New Roman"/>
          <w:sz w:val="22"/>
          <w:szCs w:val="22"/>
          <w:lang w:val="en-GB"/>
        </w:rPr>
        <w:t>Φ calculated using equation S7c</w:t>
      </w:r>
    </w:p>
    <w:p w:rsidR="005946AD" w:rsidRPr="002A436C" w:rsidRDefault="005946AD">
      <w:pPr>
        <w:spacing w:line="360" w:lineRule="auto"/>
        <w:jc w:val="both"/>
        <w:rPr>
          <w:b/>
          <w:sz w:val="22"/>
          <w:szCs w:val="22"/>
          <w:lang w:val="en-GB"/>
        </w:rPr>
      </w:pPr>
    </w:p>
    <w:p w:rsidR="005946AD" w:rsidRPr="002A436C" w:rsidRDefault="005946AD" w:rsidP="002A436C">
      <w:pPr>
        <w:spacing w:line="360" w:lineRule="auto"/>
        <w:jc w:val="both"/>
        <w:rPr>
          <w:b/>
          <w:sz w:val="22"/>
          <w:szCs w:val="22"/>
          <w:lang w:val="en-GB"/>
        </w:rPr>
      </w:pPr>
      <w:r w:rsidRPr="002A436C">
        <w:rPr>
          <w:b/>
          <w:sz w:val="22"/>
          <w:szCs w:val="22"/>
          <w:lang w:val="en-GB"/>
        </w:rPr>
        <w:t>4. Gel Permeation Chromatography (GPC)</w:t>
      </w:r>
    </w:p>
    <w:p w:rsidR="005946AD" w:rsidRPr="002A436C" w:rsidRDefault="005946AD" w:rsidP="002A436C">
      <w:pPr>
        <w:spacing w:line="360" w:lineRule="auto"/>
        <w:jc w:val="both"/>
        <w:rPr>
          <w:sz w:val="22"/>
          <w:szCs w:val="22"/>
          <w:lang w:val="en-GB"/>
        </w:rPr>
      </w:pPr>
    </w:p>
    <w:p w:rsidR="005946AD" w:rsidRPr="002A436C" w:rsidRDefault="005946AD" w:rsidP="002A436C">
      <w:pPr>
        <w:spacing w:line="360" w:lineRule="auto"/>
        <w:jc w:val="both"/>
        <w:rPr>
          <w:sz w:val="22"/>
          <w:szCs w:val="22"/>
          <w:lang w:val="en-GB"/>
        </w:rPr>
      </w:pPr>
      <w:r w:rsidRPr="002A436C">
        <w:rPr>
          <w:sz w:val="22"/>
          <w:szCs w:val="22"/>
          <w:lang w:val="en-GB"/>
        </w:rPr>
        <w:t>Gel permeation chromatography (GPC) with refractive index detection (PL aquagel-OH 30 (Agilent Technologies, Santa Clara, CA, USA) column with a low flow rate of 0.3 ml/min and a run time of 40 min) was used to determine the increase in molecular weight and so establish the success of the conjugation between oligomers of stations 4 and 5 (guluronic and mannuronic acids) and PEG. Calibration of the GPC retention time with respect to molecular weight was carried out using two polymer series: PEGs coupled to maltose and a series of guluronate oligomers. Different relationships between molecular weight and retention time were found for the two series (</w:t>
      </w:r>
      <w:r w:rsidRPr="002A436C">
        <w:rPr>
          <w:b/>
          <w:sz w:val="22"/>
          <w:szCs w:val="22"/>
          <w:lang w:val="en-GB"/>
        </w:rPr>
        <w:t>figure S8</w:t>
      </w:r>
      <w:r w:rsidRPr="002A436C">
        <w:rPr>
          <w:sz w:val="22"/>
          <w:szCs w:val="22"/>
          <w:lang w:val="en-GB"/>
        </w:rPr>
        <w:t>). Calculation of the molecular weight of the guluronate -PEG conjugate used in the AFM experiments was carried out using the linear fits to the two polymer series in proportion to the contribution of each polymer to the overall molecular weight of the conjugate. The PEG alone was retained at t=25.82 mins, corresponding to a mass of 2500 Da and the guluronates were retained at t = 24.68 mins, corresponding to a mass of 1750 Da.</w:t>
      </w:r>
    </w:p>
    <w:p w:rsidR="005946AD" w:rsidRPr="002A436C" w:rsidRDefault="005946AD" w:rsidP="002A436C">
      <w:pPr>
        <w:spacing w:line="360" w:lineRule="auto"/>
        <w:jc w:val="both"/>
        <w:rPr>
          <w:sz w:val="22"/>
          <w:szCs w:val="22"/>
          <w:lang w:val="en-GB"/>
        </w:rPr>
      </w:pPr>
    </w:p>
    <w:p w:rsidR="005946AD" w:rsidRPr="002A436C" w:rsidRDefault="005946AD" w:rsidP="002A436C">
      <w:pPr>
        <w:spacing w:line="360" w:lineRule="auto"/>
        <w:jc w:val="both"/>
        <w:rPr>
          <w:sz w:val="22"/>
          <w:szCs w:val="22"/>
          <w:lang w:val="en-GB"/>
        </w:rPr>
      </w:pPr>
      <w:r w:rsidRPr="008A087E">
        <w:rPr>
          <w:noProof/>
          <w:lang w:val="nb-NO" w:eastAsia="nb-NO"/>
        </w:rPr>
        <w:drawing>
          <wp:inline distT="0" distB="0" distL="0" distR="0" wp14:anchorId="140E8BF7" wp14:editId="01C825B3">
            <wp:extent cx="2947003" cy="2743200"/>
            <wp:effectExtent l="0" t="0" r="0" b="0"/>
            <wp:docPr id="44" name="Chart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946AD" w:rsidRPr="002A436C" w:rsidRDefault="005946AD" w:rsidP="002A436C">
      <w:pPr>
        <w:spacing w:line="360" w:lineRule="auto"/>
        <w:jc w:val="both"/>
        <w:rPr>
          <w:sz w:val="22"/>
          <w:szCs w:val="22"/>
          <w:lang w:val="en-GB"/>
        </w:rPr>
      </w:pPr>
    </w:p>
    <w:p w:rsidR="005946AD" w:rsidRPr="002A436C" w:rsidRDefault="005946AD" w:rsidP="002A436C">
      <w:pPr>
        <w:spacing w:line="360" w:lineRule="auto"/>
        <w:jc w:val="both"/>
        <w:rPr>
          <w:sz w:val="22"/>
          <w:szCs w:val="22"/>
          <w:lang w:val="en-GB"/>
        </w:rPr>
      </w:pPr>
      <w:r w:rsidRPr="002A436C">
        <w:rPr>
          <w:b/>
          <w:sz w:val="22"/>
          <w:szCs w:val="22"/>
          <w:lang w:val="en-GB"/>
        </w:rPr>
        <w:t>Figure S8</w:t>
      </w:r>
      <w:r w:rsidRPr="002A436C">
        <w:rPr>
          <w:sz w:val="22"/>
          <w:szCs w:val="22"/>
          <w:lang w:val="en-GB"/>
        </w:rPr>
        <w:t>. Plot of retention time vs. log MW for a series of PEG-maltose conjugates (red triangles) and a series of guluronate oligomers (orange diamonds).</w:t>
      </w:r>
    </w:p>
    <w:p w:rsidR="005946AD" w:rsidRPr="002A436C" w:rsidRDefault="005946AD" w:rsidP="002A436C">
      <w:pPr>
        <w:spacing w:line="360" w:lineRule="auto"/>
        <w:jc w:val="both"/>
        <w:rPr>
          <w:sz w:val="22"/>
          <w:szCs w:val="22"/>
          <w:lang w:val="en-GB"/>
        </w:rPr>
      </w:pPr>
    </w:p>
    <w:p w:rsidR="005946AD" w:rsidRPr="002A436C" w:rsidRDefault="005946AD" w:rsidP="002A436C">
      <w:pPr>
        <w:spacing w:line="360" w:lineRule="auto"/>
        <w:jc w:val="both"/>
        <w:rPr>
          <w:sz w:val="22"/>
          <w:szCs w:val="22"/>
          <w:lang w:val="en-GB"/>
        </w:rPr>
      </w:pPr>
      <w:r w:rsidRPr="002A436C">
        <w:rPr>
          <w:sz w:val="22"/>
          <w:szCs w:val="22"/>
          <w:lang w:val="en-GB"/>
        </w:rPr>
        <w:t xml:space="preserve">Guluronate-PEG conjugates were then run on the column, giving rise to the retention profiles presented in </w:t>
      </w:r>
      <w:r w:rsidRPr="002A436C">
        <w:rPr>
          <w:b/>
          <w:sz w:val="22"/>
          <w:szCs w:val="22"/>
          <w:lang w:val="en-GB"/>
        </w:rPr>
        <w:t>figure S9</w:t>
      </w:r>
      <w:r w:rsidRPr="002A436C">
        <w:rPr>
          <w:sz w:val="22"/>
          <w:szCs w:val="22"/>
          <w:lang w:val="en-GB"/>
        </w:rPr>
        <w:t>. Retention times for the PEG-alginate conjugate are shorter than for PEG alone, and reach a maximum after 48 hours. The retention time reached after 72 hours is 24.2 minutes, which for a conjugate consisting of 60% w/w PEG and 40% w/w alginate oligomer corresponds to a mass of approximately 3600 Da. This value is in reasonable agreement (85%) with the predicted mass of the conjugate.</w:t>
      </w:r>
    </w:p>
    <w:p w:rsidR="005946AD" w:rsidRPr="002A436C" w:rsidRDefault="005946AD" w:rsidP="002A436C">
      <w:pPr>
        <w:spacing w:line="360" w:lineRule="auto"/>
        <w:jc w:val="both"/>
        <w:rPr>
          <w:sz w:val="22"/>
          <w:szCs w:val="22"/>
          <w:lang w:val="en-GB"/>
        </w:rPr>
      </w:pPr>
      <w:r w:rsidRPr="008A087E">
        <w:rPr>
          <w:noProof/>
          <w:sz w:val="22"/>
          <w:szCs w:val="22"/>
          <w:lang w:val="nb-NO" w:eastAsia="nb-NO"/>
        </w:rPr>
        <w:drawing>
          <wp:inline distT="0" distB="0" distL="0" distR="0" wp14:anchorId="0F6694C6" wp14:editId="6D661F35">
            <wp:extent cx="4588451" cy="3214370"/>
            <wp:effectExtent l="0" t="0" r="9525" b="1143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588451" cy="3214370"/>
                    </a:xfrm>
                    <a:prstGeom prst="rect">
                      <a:avLst/>
                    </a:prstGeom>
                    <a:noFill/>
                    <a:ln w="9525">
                      <a:noFill/>
                      <a:miter lim="800000"/>
                      <a:headEnd/>
                      <a:tailEnd/>
                    </a:ln>
                  </pic:spPr>
                </pic:pic>
              </a:graphicData>
            </a:graphic>
          </wp:inline>
        </w:drawing>
      </w:r>
    </w:p>
    <w:p w:rsidR="005946AD" w:rsidRPr="002A436C" w:rsidRDefault="005946AD" w:rsidP="002A436C">
      <w:pPr>
        <w:spacing w:line="360" w:lineRule="auto"/>
        <w:jc w:val="both"/>
        <w:rPr>
          <w:sz w:val="22"/>
          <w:szCs w:val="22"/>
          <w:lang w:val="en-GB"/>
        </w:rPr>
      </w:pPr>
      <w:r w:rsidRPr="002A436C">
        <w:rPr>
          <w:b/>
          <w:sz w:val="22"/>
          <w:szCs w:val="22"/>
          <w:lang w:val="en-GB"/>
        </w:rPr>
        <w:t>Figure S9.</w:t>
      </w:r>
      <w:r w:rsidRPr="002A436C">
        <w:rPr>
          <w:sz w:val="22"/>
          <w:szCs w:val="22"/>
          <w:lang w:val="en-GB"/>
        </w:rPr>
        <w:t xml:space="preserve"> Retention times of a mannuronic acid decamer and its conjugates with a 2500 MW diamino-functionalised PEG. Blue trace is mannuronate alone, red, purple and green traces are the conjugate after 24, 48 and 72 hours reaction time. </w:t>
      </w:r>
    </w:p>
    <w:p w:rsidR="005946AD" w:rsidRPr="002A436C" w:rsidRDefault="005946AD">
      <w:pPr>
        <w:spacing w:line="360" w:lineRule="auto"/>
        <w:jc w:val="both"/>
        <w:rPr>
          <w:b/>
          <w:sz w:val="22"/>
          <w:szCs w:val="22"/>
          <w:lang w:val="en-GB"/>
        </w:rPr>
      </w:pPr>
    </w:p>
    <w:p w:rsidR="005946AD" w:rsidRPr="002A436C" w:rsidRDefault="005946AD">
      <w:pPr>
        <w:spacing w:line="360" w:lineRule="auto"/>
        <w:jc w:val="both"/>
        <w:outlineLvl w:val="0"/>
        <w:rPr>
          <w:b/>
          <w:sz w:val="22"/>
          <w:szCs w:val="22"/>
          <w:lang w:val="en-GB"/>
        </w:rPr>
      </w:pPr>
      <w:r w:rsidRPr="002A436C">
        <w:rPr>
          <w:b/>
          <w:sz w:val="22"/>
          <w:szCs w:val="22"/>
          <w:lang w:val="en-GB"/>
        </w:rPr>
        <w:t>References</w:t>
      </w:r>
    </w:p>
    <w:p w:rsidR="005946AD" w:rsidRPr="002A436C" w:rsidRDefault="005946AD">
      <w:pPr>
        <w:spacing w:line="360" w:lineRule="auto"/>
        <w:jc w:val="both"/>
        <w:rPr>
          <w:sz w:val="22"/>
          <w:szCs w:val="22"/>
          <w:lang w:val="en-GB"/>
        </w:rPr>
      </w:pPr>
    </w:p>
    <w:p w:rsidR="005946AD" w:rsidRPr="002A436C" w:rsidRDefault="005946AD">
      <w:pPr>
        <w:spacing w:line="360" w:lineRule="auto"/>
        <w:jc w:val="both"/>
        <w:rPr>
          <w:sz w:val="22"/>
          <w:szCs w:val="22"/>
          <w:lang w:val="en-GB"/>
        </w:rPr>
      </w:pPr>
      <w:r w:rsidRPr="002A436C">
        <w:rPr>
          <w:sz w:val="22"/>
          <w:szCs w:val="22"/>
          <w:lang w:val="en-GB"/>
        </w:rPr>
        <w:t xml:space="preserve">[S1] A. Janshoff, M. Neitzert, Y. Obersörfer, and H. Fuchs, </w:t>
      </w:r>
      <w:r w:rsidRPr="002A436C">
        <w:rPr>
          <w:i/>
          <w:sz w:val="22"/>
          <w:szCs w:val="22"/>
          <w:lang w:val="en-GB"/>
        </w:rPr>
        <w:t>Angew. Chem. Int. Ed.,</w:t>
      </w:r>
      <w:r w:rsidRPr="002A436C">
        <w:rPr>
          <w:sz w:val="22"/>
          <w:szCs w:val="22"/>
          <w:lang w:val="en-GB"/>
        </w:rPr>
        <w:t xml:space="preserve"> 2000, </w:t>
      </w:r>
      <w:r w:rsidRPr="002A436C">
        <w:rPr>
          <w:b/>
          <w:sz w:val="22"/>
          <w:szCs w:val="22"/>
          <w:lang w:val="en-GB"/>
        </w:rPr>
        <w:t>39</w:t>
      </w:r>
      <w:r w:rsidRPr="002A436C">
        <w:rPr>
          <w:sz w:val="22"/>
          <w:szCs w:val="22"/>
          <w:lang w:val="en-GB"/>
        </w:rPr>
        <w:t>, 3212.</w:t>
      </w:r>
    </w:p>
    <w:p w:rsidR="005946AD" w:rsidRPr="002A436C" w:rsidRDefault="005946AD">
      <w:pPr>
        <w:spacing w:line="360" w:lineRule="auto"/>
        <w:jc w:val="both"/>
        <w:rPr>
          <w:sz w:val="22"/>
          <w:szCs w:val="22"/>
          <w:lang w:val="en-GB"/>
        </w:rPr>
      </w:pPr>
      <w:r w:rsidRPr="002A436C">
        <w:rPr>
          <w:sz w:val="22"/>
          <w:szCs w:val="22"/>
          <w:lang w:val="en-GB"/>
        </w:rPr>
        <w:t xml:space="preserve">[S2] A. Dunlop, J. Wattoom, E. A. Hasan, T. Cosgrove and A. N. Round, </w:t>
      </w:r>
      <w:r w:rsidRPr="002A436C">
        <w:rPr>
          <w:i/>
          <w:iCs/>
          <w:sz w:val="22"/>
          <w:szCs w:val="22"/>
          <w:lang w:val="en-GB"/>
        </w:rPr>
        <w:t>Nanotechnology</w:t>
      </w:r>
      <w:r w:rsidRPr="002A436C">
        <w:rPr>
          <w:sz w:val="22"/>
          <w:szCs w:val="22"/>
          <w:lang w:val="en-GB"/>
        </w:rPr>
        <w:t xml:space="preserve">, 2008, </w:t>
      </w:r>
      <w:r w:rsidRPr="002A436C">
        <w:rPr>
          <w:b/>
          <w:bCs/>
          <w:sz w:val="22"/>
          <w:szCs w:val="22"/>
          <w:lang w:val="en-GB"/>
        </w:rPr>
        <w:t>19</w:t>
      </w:r>
      <w:r w:rsidRPr="002A436C">
        <w:rPr>
          <w:sz w:val="22"/>
          <w:szCs w:val="22"/>
          <w:lang w:val="en-GB"/>
        </w:rPr>
        <w:t>, 345706</w:t>
      </w:r>
    </w:p>
    <w:p w:rsidR="005946AD" w:rsidRPr="002A436C" w:rsidRDefault="005946AD">
      <w:pPr>
        <w:spacing w:line="360" w:lineRule="auto"/>
        <w:jc w:val="both"/>
        <w:rPr>
          <w:sz w:val="22"/>
          <w:szCs w:val="22"/>
          <w:lang w:val="en-GB"/>
        </w:rPr>
      </w:pPr>
      <w:r w:rsidRPr="002A436C">
        <w:rPr>
          <w:sz w:val="22"/>
          <w:szCs w:val="22"/>
          <w:lang w:val="en-GB"/>
        </w:rPr>
        <w:t xml:space="preserve">[S3] F. Oesterhelt, M. Rief, and H. E. Gaub, </w:t>
      </w:r>
      <w:r w:rsidRPr="002A436C">
        <w:rPr>
          <w:i/>
          <w:sz w:val="22"/>
          <w:szCs w:val="22"/>
          <w:lang w:val="en-GB"/>
        </w:rPr>
        <w:t>New Journal of Physics</w:t>
      </w:r>
      <w:r w:rsidRPr="002A436C">
        <w:rPr>
          <w:sz w:val="22"/>
          <w:szCs w:val="22"/>
          <w:lang w:val="en-GB"/>
        </w:rPr>
        <w:t xml:space="preserve"> 1999, </w:t>
      </w:r>
      <w:r w:rsidRPr="002A436C">
        <w:rPr>
          <w:b/>
          <w:sz w:val="22"/>
          <w:szCs w:val="22"/>
          <w:lang w:val="en-GB"/>
        </w:rPr>
        <w:t>1</w:t>
      </w:r>
      <w:r w:rsidRPr="002A436C">
        <w:rPr>
          <w:sz w:val="22"/>
          <w:szCs w:val="22"/>
          <w:lang w:val="en-GB"/>
        </w:rPr>
        <w:t>, 6.</w:t>
      </w:r>
    </w:p>
    <w:p w:rsidR="005946AD" w:rsidRPr="002A436C" w:rsidRDefault="005946AD">
      <w:pPr>
        <w:spacing w:line="360" w:lineRule="auto"/>
        <w:jc w:val="both"/>
        <w:rPr>
          <w:sz w:val="22"/>
          <w:szCs w:val="22"/>
          <w:lang w:val="en-GB"/>
        </w:rPr>
      </w:pPr>
      <w:r w:rsidRPr="002A436C">
        <w:rPr>
          <w:sz w:val="22"/>
          <w:szCs w:val="22"/>
          <w:lang w:val="en-GB"/>
        </w:rPr>
        <w:t xml:space="preserve">[S4] S. Guo, N. Li, N. Lad, S. Desai, and B. B. Akhremitchev, </w:t>
      </w:r>
      <w:r w:rsidRPr="002A436C">
        <w:rPr>
          <w:i/>
          <w:sz w:val="22"/>
          <w:szCs w:val="22"/>
          <w:lang w:val="en-GB"/>
        </w:rPr>
        <w:t>Journal of Physical Chemistry C</w:t>
      </w:r>
      <w:r w:rsidRPr="002A436C">
        <w:rPr>
          <w:sz w:val="22"/>
          <w:szCs w:val="22"/>
          <w:lang w:val="en-GB"/>
        </w:rPr>
        <w:t xml:space="preserve">, 2010, </w:t>
      </w:r>
      <w:r w:rsidRPr="002A436C">
        <w:rPr>
          <w:b/>
          <w:sz w:val="22"/>
          <w:szCs w:val="22"/>
          <w:lang w:val="en-GB"/>
        </w:rPr>
        <w:t>114</w:t>
      </w:r>
      <w:r w:rsidRPr="002A436C">
        <w:rPr>
          <w:sz w:val="22"/>
          <w:szCs w:val="22"/>
          <w:lang w:val="en-GB"/>
        </w:rPr>
        <w:t>, 8755.</w:t>
      </w:r>
    </w:p>
    <w:p w:rsidR="005946AD" w:rsidRPr="002A436C" w:rsidRDefault="005946AD">
      <w:pPr>
        <w:spacing w:line="360" w:lineRule="auto"/>
        <w:jc w:val="both"/>
        <w:rPr>
          <w:sz w:val="22"/>
          <w:szCs w:val="22"/>
          <w:lang w:val="en-GB"/>
        </w:rPr>
      </w:pPr>
      <w:r w:rsidRPr="002A436C">
        <w:rPr>
          <w:sz w:val="22"/>
          <w:szCs w:val="22"/>
          <w:lang w:val="en-GB"/>
        </w:rPr>
        <w:t xml:space="preserve">[S5] R. W. Friddle, A. Noy, and J. J. De Yoreo, </w:t>
      </w:r>
      <w:r w:rsidRPr="002A436C">
        <w:rPr>
          <w:i/>
          <w:sz w:val="22"/>
          <w:szCs w:val="22"/>
          <w:lang w:val="en-GB"/>
        </w:rPr>
        <w:t>PNAS</w:t>
      </w:r>
      <w:r w:rsidRPr="002A436C">
        <w:rPr>
          <w:sz w:val="22"/>
          <w:szCs w:val="22"/>
          <w:lang w:val="en-GB"/>
        </w:rPr>
        <w:t xml:space="preserve">, 2012, </w:t>
      </w:r>
      <w:r w:rsidRPr="002A436C">
        <w:rPr>
          <w:b/>
          <w:sz w:val="22"/>
          <w:szCs w:val="22"/>
          <w:lang w:val="en-GB"/>
        </w:rPr>
        <w:t>109</w:t>
      </w:r>
      <w:r w:rsidRPr="002A436C">
        <w:rPr>
          <w:sz w:val="22"/>
          <w:szCs w:val="22"/>
          <w:lang w:val="en-GB"/>
        </w:rPr>
        <w:t>, 13573.</w:t>
      </w:r>
    </w:p>
    <w:p w:rsidR="005946AD" w:rsidRPr="002A436C" w:rsidRDefault="005946AD">
      <w:pPr>
        <w:spacing w:line="360" w:lineRule="auto"/>
        <w:jc w:val="both"/>
        <w:rPr>
          <w:sz w:val="22"/>
          <w:szCs w:val="22"/>
          <w:lang w:val="en-GB"/>
        </w:rPr>
      </w:pPr>
      <w:r w:rsidRPr="002A436C">
        <w:rPr>
          <w:sz w:val="22"/>
          <w:szCs w:val="22"/>
          <w:lang w:val="en-GB"/>
        </w:rPr>
        <w:t xml:space="preserve">[S6] A. Noy, and R. W. Friddle, </w:t>
      </w:r>
      <w:r w:rsidRPr="002A436C">
        <w:rPr>
          <w:i/>
          <w:sz w:val="22"/>
          <w:szCs w:val="22"/>
          <w:lang w:val="en-GB"/>
        </w:rPr>
        <w:t>Methods</w:t>
      </w:r>
      <w:r w:rsidRPr="002A436C">
        <w:rPr>
          <w:sz w:val="22"/>
          <w:szCs w:val="22"/>
          <w:lang w:val="en-GB"/>
        </w:rPr>
        <w:t xml:space="preserve">, 2013, </w:t>
      </w:r>
      <w:r w:rsidRPr="002A436C">
        <w:rPr>
          <w:b/>
          <w:sz w:val="22"/>
          <w:szCs w:val="22"/>
          <w:lang w:val="en-GB"/>
        </w:rPr>
        <w:t>60</w:t>
      </w:r>
      <w:r w:rsidRPr="002A436C">
        <w:rPr>
          <w:sz w:val="22"/>
          <w:szCs w:val="22"/>
          <w:lang w:val="en-GB"/>
        </w:rPr>
        <w:t>, 142.</w:t>
      </w:r>
    </w:p>
    <w:p w:rsidR="005946AD" w:rsidRPr="002A436C" w:rsidRDefault="005946AD">
      <w:pPr>
        <w:spacing w:line="360" w:lineRule="auto"/>
        <w:jc w:val="both"/>
        <w:rPr>
          <w:sz w:val="22"/>
          <w:szCs w:val="22"/>
          <w:lang w:val="en-GB"/>
        </w:rPr>
      </w:pPr>
      <w:r w:rsidRPr="002A436C">
        <w:rPr>
          <w:sz w:val="22"/>
          <w:szCs w:val="22"/>
          <w:lang w:val="en-GB"/>
        </w:rPr>
        <w:t xml:space="preserve">[S7] T. Auletta, M. R. de Jong, A. Mulder, F. C. J. M. van Veggel, J. Huskens, D. N. Reinhoudt, S. Zou, S. Zapotoczny, H. Schonherr, G. J. Vancso and L. Kuipers, </w:t>
      </w:r>
      <w:r w:rsidRPr="002A436C">
        <w:rPr>
          <w:i/>
          <w:iCs/>
          <w:sz w:val="22"/>
          <w:szCs w:val="22"/>
          <w:lang w:val="en-GB"/>
        </w:rPr>
        <w:t>J Am Chem Soc</w:t>
      </w:r>
      <w:r w:rsidRPr="002A436C">
        <w:rPr>
          <w:sz w:val="22"/>
          <w:szCs w:val="22"/>
          <w:lang w:val="en-GB"/>
        </w:rPr>
        <w:t xml:space="preserve">, 2004, </w:t>
      </w:r>
      <w:r w:rsidRPr="002A436C">
        <w:rPr>
          <w:b/>
          <w:bCs/>
          <w:sz w:val="22"/>
          <w:szCs w:val="22"/>
          <w:lang w:val="en-GB"/>
        </w:rPr>
        <w:t>126</w:t>
      </w:r>
      <w:r w:rsidRPr="002A436C">
        <w:rPr>
          <w:sz w:val="22"/>
          <w:szCs w:val="22"/>
          <w:lang w:val="en-GB"/>
        </w:rPr>
        <w:t>, 1577–1584.</w:t>
      </w:r>
    </w:p>
    <w:p w:rsidR="005946AD" w:rsidRPr="002A436C" w:rsidRDefault="005946AD">
      <w:pPr>
        <w:spacing w:line="360" w:lineRule="auto"/>
        <w:jc w:val="both"/>
        <w:rPr>
          <w:sz w:val="22"/>
          <w:szCs w:val="22"/>
          <w:lang w:val="en-GB"/>
        </w:rPr>
      </w:pPr>
      <w:r w:rsidRPr="002A436C">
        <w:rPr>
          <w:sz w:val="22"/>
          <w:szCs w:val="22"/>
          <w:lang w:val="en-GB"/>
        </w:rPr>
        <w:t xml:space="preserve">[S8]  </w:t>
      </w:r>
      <w:r w:rsidRPr="009B194B">
        <w:rPr>
          <w:rFonts w:eastAsiaTheme="minorEastAsia"/>
          <w:sz w:val="22"/>
          <w:szCs w:val="22"/>
          <w:lang w:val="en-GB"/>
        </w:rPr>
        <w:t xml:space="preserve">S. Qamar, P. M. Williams and S. M. Lindsay, </w:t>
      </w:r>
      <w:r w:rsidRPr="009B194B">
        <w:rPr>
          <w:rFonts w:eastAsiaTheme="minorEastAsia"/>
          <w:i/>
          <w:iCs/>
          <w:sz w:val="22"/>
          <w:szCs w:val="22"/>
          <w:lang w:val="en-GB"/>
        </w:rPr>
        <w:t>Biophys J</w:t>
      </w:r>
      <w:r w:rsidRPr="009B194B">
        <w:rPr>
          <w:rFonts w:eastAsiaTheme="minorEastAsia"/>
          <w:sz w:val="22"/>
          <w:szCs w:val="22"/>
          <w:lang w:val="en-GB"/>
        </w:rPr>
        <w:t xml:space="preserve">, 2008, </w:t>
      </w:r>
      <w:r w:rsidRPr="009B194B">
        <w:rPr>
          <w:rFonts w:eastAsiaTheme="minorEastAsia"/>
          <w:b/>
          <w:bCs/>
          <w:sz w:val="22"/>
          <w:szCs w:val="22"/>
          <w:lang w:val="en-GB"/>
        </w:rPr>
        <w:t>94</w:t>
      </w:r>
      <w:r w:rsidRPr="009B194B">
        <w:rPr>
          <w:rFonts w:eastAsiaTheme="minorEastAsia"/>
          <w:sz w:val="22"/>
          <w:szCs w:val="22"/>
          <w:lang w:val="en-GB"/>
        </w:rPr>
        <w:t>, 1233–1240.</w:t>
      </w:r>
    </w:p>
    <w:p w:rsidR="005946AD" w:rsidRPr="009B194B" w:rsidRDefault="005946AD">
      <w:pPr>
        <w:spacing w:line="360" w:lineRule="auto"/>
        <w:jc w:val="both"/>
        <w:rPr>
          <w:sz w:val="22"/>
          <w:szCs w:val="22"/>
          <w:lang w:val="en-GB"/>
        </w:rPr>
      </w:pPr>
      <w:r w:rsidRPr="002A436C">
        <w:rPr>
          <w:sz w:val="22"/>
          <w:szCs w:val="22"/>
          <w:lang w:val="en-GB"/>
        </w:rPr>
        <w:t xml:space="preserve">[S9] M. V. Rekharsky and Y. Inoue,  </w:t>
      </w:r>
      <w:r w:rsidRPr="009B194B">
        <w:rPr>
          <w:i/>
          <w:iCs/>
          <w:sz w:val="22"/>
          <w:szCs w:val="22"/>
          <w:lang w:val="en-GB"/>
        </w:rPr>
        <w:t>Chemical Reviews</w:t>
      </w:r>
      <w:r w:rsidRPr="009B194B">
        <w:rPr>
          <w:sz w:val="22"/>
          <w:szCs w:val="22"/>
          <w:lang w:val="en-GB"/>
        </w:rPr>
        <w:t xml:space="preserve">, 1998 </w:t>
      </w:r>
      <w:r w:rsidRPr="009B194B">
        <w:rPr>
          <w:b/>
          <w:iCs/>
          <w:sz w:val="22"/>
          <w:szCs w:val="22"/>
          <w:lang w:val="en-GB"/>
        </w:rPr>
        <w:t>98</w:t>
      </w:r>
      <w:r w:rsidRPr="009B194B">
        <w:rPr>
          <w:b/>
          <w:sz w:val="22"/>
          <w:szCs w:val="22"/>
          <w:lang w:val="en-GB"/>
        </w:rPr>
        <w:t>(5)</w:t>
      </w:r>
      <w:r w:rsidRPr="009B194B">
        <w:rPr>
          <w:sz w:val="22"/>
          <w:szCs w:val="22"/>
          <w:lang w:val="en-GB"/>
        </w:rPr>
        <w:t>, 1875–1918.</w:t>
      </w:r>
    </w:p>
    <w:p w:rsidR="005946AD" w:rsidRPr="009B194B" w:rsidRDefault="005946AD">
      <w:pPr>
        <w:spacing w:line="360" w:lineRule="auto"/>
        <w:jc w:val="both"/>
        <w:rPr>
          <w:sz w:val="22"/>
          <w:szCs w:val="22"/>
          <w:lang w:val="en-GB"/>
        </w:rPr>
      </w:pPr>
      <w:r w:rsidRPr="002A436C">
        <w:rPr>
          <w:sz w:val="22"/>
          <w:szCs w:val="22"/>
          <w:lang w:val="en-GB"/>
        </w:rPr>
        <w:t xml:space="preserve">[S10] C. Yang, C., L. Liu, L., T.-W. Mu and Q.-X. Guo, </w:t>
      </w:r>
      <w:r w:rsidRPr="009B194B">
        <w:rPr>
          <w:i/>
          <w:iCs/>
          <w:sz w:val="22"/>
          <w:szCs w:val="22"/>
          <w:lang w:val="en-GB"/>
        </w:rPr>
        <w:t>Analytical Sciences</w:t>
      </w:r>
      <w:r w:rsidRPr="009B194B">
        <w:rPr>
          <w:sz w:val="22"/>
          <w:szCs w:val="22"/>
          <w:lang w:val="en-GB"/>
        </w:rPr>
        <w:t xml:space="preserve">, 2000 </w:t>
      </w:r>
      <w:r w:rsidRPr="009B194B">
        <w:rPr>
          <w:b/>
          <w:iCs/>
          <w:sz w:val="22"/>
          <w:szCs w:val="22"/>
          <w:lang w:val="en-GB"/>
        </w:rPr>
        <w:t>16</w:t>
      </w:r>
      <w:r w:rsidRPr="009B194B">
        <w:rPr>
          <w:b/>
          <w:sz w:val="22"/>
          <w:szCs w:val="22"/>
          <w:lang w:val="en-GB"/>
        </w:rPr>
        <w:t>(5),</w:t>
      </w:r>
      <w:r w:rsidRPr="009B194B">
        <w:rPr>
          <w:sz w:val="22"/>
          <w:szCs w:val="22"/>
          <w:lang w:val="en-GB"/>
        </w:rPr>
        <w:t xml:space="preserve"> 537–539. </w:t>
      </w:r>
    </w:p>
    <w:p w:rsidR="005946AD" w:rsidRPr="002A436C" w:rsidRDefault="005946AD">
      <w:pPr>
        <w:spacing w:line="360" w:lineRule="auto"/>
        <w:jc w:val="both"/>
        <w:rPr>
          <w:sz w:val="22"/>
          <w:szCs w:val="22"/>
          <w:lang w:val="en-GB"/>
        </w:rPr>
      </w:pPr>
      <w:r w:rsidRPr="002A436C">
        <w:rPr>
          <w:sz w:val="22"/>
          <w:szCs w:val="22"/>
          <w:lang w:val="en-GB"/>
        </w:rPr>
        <w:t xml:space="preserve">[S11] H. J. Buschmann, K. Jansen and E. Schollmeyer, </w:t>
      </w:r>
      <w:r w:rsidRPr="002A436C">
        <w:rPr>
          <w:i/>
          <w:iCs/>
          <w:sz w:val="22"/>
          <w:szCs w:val="22"/>
          <w:lang w:val="en-GB"/>
        </w:rPr>
        <w:t>Journal of inclusion …</w:t>
      </w:r>
      <w:r w:rsidRPr="002A436C">
        <w:rPr>
          <w:sz w:val="22"/>
          <w:szCs w:val="22"/>
          <w:lang w:val="en-GB"/>
        </w:rPr>
        <w:t>, 2000.</w:t>
      </w:r>
    </w:p>
    <w:p w:rsidR="005946AD" w:rsidRPr="002A436C" w:rsidRDefault="005946AD">
      <w:pPr>
        <w:spacing w:line="360" w:lineRule="auto"/>
        <w:jc w:val="both"/>
        <w:outlineLvl w:val="0"/>
        <w:rPr>
          <w:sz w:val="22"/>
          <w:szCs w:val="22"/>
          <w:lang w:val="en-GB"/>
        </w:rPr>
      </w:pPr>
      <w:r w:rsidRPr="002A436C">
        <w:rPr>
          <w:sz w:val="22"/>
          <w:szCs w:val="22"/>
          <w:lang w:val="en-GB"/>
        </w:rPr>
        <w:t xml:space="preserve">[S12] G. Wenz, B. Han and A. Muller, </w:t>
      </w:r>
      <w:r w:rsidRPr="002A436C">
        <w:rPr>
          <w:i/>
          <w:iCs/>
          <w:sz w:val="22"/>
          <w:szCs w:val="22"/>
          <w:lang w:val="en-GB"/>
        </w:rPr>
        <w:t>Chem Rev</w:t>
      </w:r>
      <w:r w:rsidRPr="002A436C">
        <w:rPr>
          <w:sz w:val="22"/>
          <w:szCs w:val="22"/>
          <w:lang w:val="en-GB"/>
        </w:rPr>
        <w:t xml:space="preserve">, 2006, </w:t>
      </w:r>
      <w:r w:rsidRPr="002A436C">
        <w:rPr>
          <w:b/>
          <w:bCs/>
          <w:sz w:val="22"/>
          <w:szCs w:val="22"/>
          <w:lang w:val="en-GB"/>
        </w:rPr>
        <w:t>106</w:t>
      </w:r>
      <w:r w:rsidRPr="002A436C">
        <w:rPr>
          <w:sz w:val="22"/>
          <w:szCs w:val="22"/>
          <w:lang w:val="en-GB"/>
        </w:rPr>
        <w:t>, 782–817</w:t>
      </w:r>
    </w:p>
    <w:p w:rsidR="005946AD" w:rsidRPr="002A436C" w:rsidRDefault="005946AD">
      <w:pPr>
        <w:spacing w:line="360" w:lineRule="auto"/>
        <w:jc w:val="both"/>
        <w:rPr>
          <w:sz w:val="22"/>
          <w:szCs w:val="22"/>
          <w:lang w:val="en-GB"/>
        </w:rPr>
      </w:pPr>
      <w:r w:rsidRPr="002A436C">
        <w:rPr>
          <w:sz w:val="22"/>
          <w:szCs w:val="22"/>
          <w:lang w:val="en-GB"/>
        </w:rPr>
        <w:t xml:space="preserve">[S13] V. Privalko, </w:t>
      </w:r>
      <w:r w:rsidRPr="002A436C">
        <w:rPr>
          <w:i/>
          <w:iCs/>
          <w:sz w:val="22"/>
          <w:szCs w:val="22"/>
          <w:lang w:val="en-GB"/>
        </w:rPr>
        <w:t>Macromolecules</w:t>
      </w:r>
      <w:r w:rsidRPr="002A436C">
        <w:rPr>
          <w:sz w:val="22"/>
          <w:szCs w:val="22"/>
          <w:lang w:val="en-GB"/>
        </w:rPr>
        <w:t xml:space="preserve">, 1980, </w:t>
      </w:r>
      <w:r w:rsidRPr="002A436C">
        <w:rPr>
          <w:b/>
          <w:bCs/>
          <w:sz w:val="22"/>
          <w:szCs w:val="22"/>
          <w:lang w:val="en-GB"/>
        </w:rPr>
        <w:t>13</w:t>
      </w:r>
      <w:r w:rsidRPr="002A436C">
        <w:rPr>
          <w:sz w:val="22"/>
          <w:szCs w:val="22"/>
          <w:lang w:val="en-GB"/>
        </w:rPr>
        <w:t>, 370–372</w:t>
      </w:r>
    </w:p>
    <w:p w:rsidR="005946AD" w:rsidRPr="009B194B" w:rsidRDefault="005946AD" w:rsidP="002A436C">
      <w:pPr>
        <w:widowControl w:val="0"/>
        <w:tabs>
          <w:tab w:val="left" w:pos="800"/>
        </w:tabs>
        <w:autoSpaceDE w:val="0"/>
        <w:autoSpaceDN w:val="0"/>
        <w:adjustRightInd w:val="0"/>
        <w:jc w:val="both"/>
        <w:rPr>
          <w:lang w:val="en-GB"/>
        </w:rPr>
      </w:pPr>
    </w:p>
    <w:sectPr w:rsidR="005946AD" w:rsidRPr="009B194B" w:rsidSect="005946AD">
      <w:pgSz w:w="11900" w:h="16840"/>
      <w:pgMar w:top="1440" w:right="1797" w:bottom="1440" w:left="1797" w:header="720" w:footer="72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auto"/>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rawingGridHorizontalSpacing w:val="120"/>
  <w:drawingGridVerticalSpacing w:val="163"/>
  <w:displayHorizontalDrawingGridEvery w:val="0"/>
  <w:displayVerticalDrawingGridEvery w:val="0"/>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639"/>
    <w:rsid w:val="00025925"/>
    <w:rsid w:val="00025CC2"/>
    <w:rsid w:val="00027C73"/>
    <w:rsid w:val="0003521D"/>
    <w:rsid w:val="00045A2D"/>
    <w:rsid w:val="00051C28"/>
    <w:rsid w:val="00073D4D"/>
    <w:rsid w:val="00074AE3"/>
    <w:rsid w:val="00075256"/>
    <w:rsid w:val="000906F7"/>
    <w:rsid w:val="000A4F42"/>
    <w:rsid w:val="000C1D2E"/>
    <w:rsid w:val="000C2BAB"/>
    <w:rsid w:val="000D6097"/>
    <w:rsid w:val="000D7DA8"/>
    <w:rsid w:val="000E70F1"/>
    <w:rsid w:val="000F2826"/>
    <w:rsid w:val="000F2A82"/>
    <w:rsid w:val="000F5F9A"/>
    <w:rsid w:val="0011561A"/>
    <w:rsid w:val="00117BE3"/>
    <w:rsid w:val="00126622"/>
    <w:rsid w:val="00127E46"/>
    <w:rsid w:val="001376BD"/>
    <w:rsid w:val="001420D5"/>
    <w:rsid w:val="00143374"/>
    <w:rsid w:val="0015045B"/>
    <w:rsid w:val="001544B7"/>
    <w:rsid w:val="001649BA"/>
    <w:rsid w:val="001727A6"/>
    <w:rsid w:val="00173E0C"/>
    <w:rsid w:val="001774E9"/>
    <w:rsid w:val="00177F39"/>
    <w:rsid w:val="00183C23"/>
    <w:rsid w:val="001917A6"/>
    <w:rsid w:val="00195D52"/>
    <w:rsid w:val="001963FE"/>
    <w:rsid w:val="001C015D"/>
    <w:rsid w:val="001C50A8"/>
    <w:rsid w:val="001D0384"/>
    <w:rsid w:val="001D78B1"/>
    <w:rsid w:val="001E6CD0"/>
    <w:rsid w:val="001E737B"/>
    <w:rsid w:val="00205CCB"/>
    <w:rsid w:val="00206CF5"/>
    <w:rsid w:val="00212311"/>
    <w:rsid w:val="00215484"/>
    <w:rsid w:val="00220853"/>
    <w:rsid w:val="002217A3"/>
    <w:rsid w:val="00222D76"/>
    <w:rsid w:val="002323A4"/>
    <w:rsid w:val="00235949"/>
    <w:rsid w:val="0024266A"/>
    <w:rsid w:val="00257B63"/>
    <w:rsid w:val="00273D10"/>
    <w:rsid w:val="0027406B"/>
    <w:rsid w:val="00276EDD"/>
    <w:rsid w:val="0028098F"/>
    <w:rsid w:val="0028565F"/>
    <w:rsid w:val="00286DCA"/>
    <w:rsid w:val="00292787"/>
    <w:rsid w:val="0029405B"/>
    <w:rsid w:val="00295BC1"/>
    <w:rsid w:val="00297352"/>
    <w:rsid w:val="002A436C"/>
    <w:rsid w:val="002A5F51"/>
    <w:rsid w:val="002A7B83"/>
    <w:rsid w:val="002B267B"/>
    <w:rsid w:val="002B59AE"/>
    <w:rsid w:val="002B7412"/>
    <w:rsid w:val="002C38B7"/>
    <w:rsid w:val="002D251C"/>
    <w:rsid w:val="002D4666"/>
    <w:rsid w:val="002E279F"/>
    <w:rsid w:val="002F2EF1"/>
    <w:rsid w:val="002F5427"/>
    <w:rsid w:val="0030103C"/>
    <w:rsid w:val="003025DE"/>
    <w:rsid w:val="00303B4C"/>
    <w:rsid w:val="00310CF3"/>
    <w:rsid w:val="003139A0"/>
    <w:rsid w:val="00316371"/>
    <w:rsid w:val="0032667B"/>
    <w:rsid w:val="0033613F"/>
    <w:rsid w:val="003444C1"/>
    <w:rsid w:val="003522F0"/>
    <w:rsid w:val="0035631E"/>
    <w:rsid w:val="003619D9"/>
    <w:rsid w:val="00362034"/>
    <w:rsid w:val="00363447"/>
    <w:rsid w:val="00364408"/>
    <w:rsid w:val="00366FBA"/>
    <w:rsid w:val="00367202"/>
    <w:rsid w:val="00372431"/>
    <w:rsid w:val="00375988"/>
    <w:rsid w:val="003806A6"/>
    <w:rsid w:val="003817D4"/>
    <w:rsid w:val="00383947"/>
    <w:rsid w:val="003A077E"/>
    <w:rsid w:val="003B01E6"/>
    <w:rsid w:val="003B65F2"/>
    <w:rsid w:val="003B7F72"/>
    <w:rsid w:val="003C225C"/>
    <w:rsid w:val="003C3718"/>
    <w:rsid w:val="003C6E21"/>
    <w:rsid w:val="003D35D5"/>
    <w:rsid w:val="003E1417"/>
    <w:rsid w:val="003E4F06"/>
    <w:rsid w:val="003F07BA"/>
    <w:rsid w:val="003F7B2E"/>
    <w:rsid w:val="00404C0E"/>
    <w:rsid w:val="00415427"/>
    <w:rsid w:val="0041697A"/>
    <w:rsid w:val="004240BF"/>
    <w:rsid w:val="00430780"/>
    <w:rsid w:val="0043197A"/>
    <w:rsid w:val="0043302A"/>
    <w:rsid w:val="00435D28"/>
    <w:rsid w:val="00441F02"/>
    <w:rsid w:val="00447805"/>
    <w:rsid w:val="00452390"/>
    <w:rsid w:val="00460042"/>
    <w:rsid w:val="0046164A"/>
    <w:rsid w:val="00463117"/>
    <w:rsid w:val="0047347B"/>
    <w:rsid w:val="004737C1"/>
    <w:rsid w:val="00477639"/>
    <w:rsid w:val="00480135"/>
    <w:rsid w:val="00491A9A"/>
    <w:rsid w:val="00491B11"/>
    <w:rsid w:val="00495712"/>
    <w:rsid w:val="004A1024"/>
    <w:rsid w:val="004A3F6C"/>
    <w:rsid w:val="004A7D94"/>
    <w:rsid w:val="004A7F35"/>
    <w:rsid w:val="004B0AB1"/>
    <w:rsid w:val="004B53A3"/>
    <w:rsid w:val="004B6FB7"/>
    <w:rsid w:val="004B796A"/>
    <w:rsid w:val="004C2FC6"/>
    <w:rsid w:val="004C4D74"/>
    <w:rsid w:val="004D16E3"/>
    <w:rsid w:val="004E05BD"/>
    <w:rsid w:val="004E1DB1"/>
    <w:rsid w:val="004E7290"/>
    <w:rsid w:val="004F204A"/>
    <w:rsid w:val="004F22D9"/>
    <w:rsid w:val="005018C2"/>
    <w:rsid w:val="00502EF0"/>
    <w:rsid w:val="00503EDA"/>
    <w:rsid w:val="00507648"/>
    <w:rsid w:val="00514836"/>
    <w:rsid w:val="005202A3"/>
    <w:rsid w:val="0052215A"/>
    <w:rsid w:val="005259C8"/>
    <w:rsid w:val="00526528"/>
    <w:rsid w:val="00543C1F"/>
    <w:rsid w:val="005513BB"/>
    <w:rsid w:val="00560384"/>
    <w:rsid w:val="00563C19"/>
    <w:rsid w:val="005753E5"/>
    <w:rsid w:val="00577420"/>
    <w:rsid w:val="00581EF1"/>
    <w:rsid w:val="0058565A"/>
    <w:rsid w:val="0058594E"/>
    <w:rsid w:val="005946AD"/>
    <w:rsid w:val="00596912"/>
    <w:rsid w:val="005A01BF"/>
    <w:rsid w:val="005A6F21"/>
    <w:rsid w:val="005B3C2B"/>
    <w:rsid w:val="005B4E41"/>
    <w:rsid w:val="005C398E"/>
    <w:rsid w:val="005C46A6"/>
    <w:rsid w:val="005C737D"/>
    <w:rsid w:val="005D0905"/>
    <w:rsid w:val="005D76D5"/>
    <w:rsid w:val="005F034C"/>
    <w:rsid w:val="005F199C"/>
    <w:rsid w:val="005F509B"/>
    <w:rsid w:val="00603C37"/>
    <w:rsid w:val="0060493F"/>
    <w:rsid w:val="00610F79"/>
    <w:rsid w:val="006174DB"/>
    <w:rsid w:val="00620E97"/>
    <w:rsid w:val="00622E0E"/>
    <w:rsid w:val="0062716A"/>
    <w:rsid w:val="006303B8"/>
    <w:rsid w:val="006343F5"/>
    <w:rsid w:val="00636450"/>
    <w:rsid w:val="006454E7"/>
    <w:rsid w:val="00650215"/>
    <w:rsid w:val="00652944"/>
    <w:rsid w:val="00663E56"/>
    <w:rsid w:val="00666500"/>
    <w:rsid w:val="00666826"/>
    <w:rsid w:val="00671ECC"/>
    <w:rsid w:val="006801AB"/>
    <w:rsid w:val="00682D9B"/>
    <w:rsid w:val="00684247"/>
    <w:rsid w:val="006845E2"/>
    <w:rsid w:val="00690D20"/>
    <w:rsid w:val="00695979"/>
    <w:rsid w:val="0069657F"/>
    <w:rsid w:val="006966CB"/>
    <w:rsid w:val="006A37F9"/>
    <w:rsid w:val="006A3FE7"/>
    <w:rsid w:val="006A5543"/>
    <w:rsid w:val="006A7541"/>
    <w:rsid w:val="006B085E"/>
    <w:rsid w:val="006B18E9"/>
    <w:rsid w:val="006C43C0"/>
    <w:rsid w:val="006C6EF8"/>
    <w:rsid w:val="006D6262"/>
    <w:rsid w:val="006E2C52"/>
    <w:rsid w:val="006E4464"/>
    <w:rsid w:val="006E69B6"/>
    <w:rsid w:val="00700717"/>
    <w:rsid w:val="00706974"/>
    <w:rsid w:val="007169B0"/>
    <w:rsid w:val="00717B26"/>
    <w:rsid w:val="007374FE"/>
    <w:rsid w:val="00742C8F"/>
    <w:rsid w:val="00750EB3"/>
    <w:rsid w:val="00756E5A"/>
    <w:rsid w:val="00764B43"/>
    <w:rsid w:val="007651DE"/>
    <w:rsid w:val="00770664"/>
    <w:rsid w:val="00771B31"/>
    <w:rsid w:val="007738D3"/>
    <w:rsid w:val="00776439"/>
    <w:rsid w:val="007816BE"/>
    <w:rsid w:val="00784DCC"/>
    <w:rsid w:val="007912A0"/>
    <w:rsid w:val="007929D2"/>
    <w:rsid w:val="00797C19"/>
    <w:rsid w:val="00797FE1"/>
    <w:rsid w:val="007A4B43"/>
    <w:rsid w:val="007B7347"/>
    <w:rsid w:val="007C209C"/>
    <w:rsid w:val="007C65A9"/>
    <w:rsid w:val="007D15BF"/>
    <w:rsid w:val="007D3855"/>
    <w:rsid w:val="007E1E0D"/>
    <w:rsid w:val="007E4464"/>
    <w:rsid w:val="007E7B31"/>
    <w:rsid w:val="0080328E"/>
    <w:rsid w:val="00806138"/>
    <w:rsid w:val="00815EDA"/>
    <w:rsid w:val="00826832"/>
    <w:rsid w:val="008352F0"/>
    <w:rsid w:val="00835572"/>
    <w:rsid w:val="008363CC"/>
    <w:rsid w:val="00837550"/>
    <w:rsid w:val="0084665C"/>
    <w:rsid w:val="008515B6"/>
    <w:rsid w:val="00871F3C"/>
    <w:rsid w:val="00873B99"/>
    <w:rsid w:val="0088179E"/>
    <w:rsid w:val="00887D39"/>
    <w:rsid w:val="008966C4"/>
    <w:rsid w:val="008A087E"/>
    <w:rsid w:val="008A0A47"/>
    <w:rsid w:val="008A0A8E"/>
    <w:rsid w:val="008A0BF5"/>
    <w:rsid w:val="008A15AB"/>
    <w:rsid w:val="008A3107"/>
    <w:rsid w:val="008A3921"/>
    <w:rsid w:val="008A6A4B"/>
    <w:rsid w:val="008B144C"/>
    <w:rsid w:val="008B1B30"/>
    <w:rsid w:val="008B4885"/>
    <w:rsid w:val="008C7621"/>
    <w:rsid w:val="008E0D46"/>
    <w:rsid w:val="008F311E"/>
    <w:rsid w:val="00900BF3"/>
    <w:rsid w:val="009012F0"/>
    <w:rsid w:val="00913DF4"/>
    <w:rsid w:val="00914CEE"/>
    <w:rsid w:val="00915F04"/>
    <w:rsid w:val="009316A4"/>
    <w:rsid w:val="00951688"/>
    <w:rsid w:val="00965CDC"/>
    <w:rsid w:val="00967615"/>
    <w:rsid w:val="00967E7F"/>
    <w:rsid w:val="0097578A"/>
    <w:rsid w:val="00982FB0"/>
    <w:rsid w:val="0098304F"/>
    <w:rsid w:val="009841D3"/>
    <w:rsid w:val="00986D5B"/>
    <w:rsid w:val="00992ECC"/>
    <w:rsid w:val="009962E8"/>
    <w:rsid w:val="009A2BAC"/>
    <w:rsid w:val="009B194B"/>
    <w:rsid w:val="009C1F3C"/>
    <w:rsid w:val="009D5EFF"/>
    <w:rsid w:val="009E16C0"/>
    <w:rsid w:val="009E1DEE"/>
    <w:rsid w:val="009E7868"/>
    <w:rsid w:val="009F1845"/>
    <w:rsid w:val="00A02F64"/>
    <w:rsid w:val="00A12BB3"/>
    <w:rsid w:val="00A31661"/>
    <w:rsid w:val="00A320E9"/>
    <w:rsid w:val="00A401D0"/>
    <w:rsid w:val="00A448FC"/>
    <w:rsid w:val="00A465E5"/>
    <w:rsid w:val="00A56408"/>
    <w:rsid w:val="00A74041"/>
    <w:rsid w:val="00A76971"/>
    <w:rsid w:val="00A77CBA"/>
    <w:rsid w:val="00A82D2B"/>
    <w:rsid w:val="00A83B5A"/>
    <w:rsid w:val="00A92875"/>
    <w:rsid w:val="00AB1E34"/>
    <w:rsid w:val="00AB2775"/>
    <w:rsid w:val="00AB7596"/>
    <w:rsid w:val="00AC2EDA"/>
    <w:rsid w:val="00AC74DD"/>
    <w:rsid w:val="00AD27F5"/>
    <w:rsid w:val="00AD2F57"/>
    <w:rsid w:val="00AD7254"/>
    <w:rsid w:val="00AE3A4E"/>
    <w:rsid w:val="00B03881"/>
    <w:rsid w:val="00B051F6"/>
    <w:rsid w:val="00B20C23"/>
    <w:rsid w:val="00B3393D"/>
    <w:rsid w:val="00B42F1A"/>
    <w:rsid w:val="00B55DE9"/>
    <w:rsid w:val="00B56848"/>
    <w:rsid w:val="00B608B7"/>
    <w:rsid w:val="00B70ABC"/>
    <w:rsid w:val="00B76E82"/>
    <w:rsid w:val="00B805AE"/>
    <w:rsid w:val="00B876E6"/>
    <w:rsid w:val="00B90CB2"/>
    <w:rsid w:val="00BA2D4A"/>
    <w:rsid w:val="00BA63F2"/>
    <w:rsid w:val="00BB4147"/>
    <w:rsid w:val="00BB4FBB"/>
    <w:rsid w:val="00BB659E"/>
    <w:rsid w:val="00BB7A88"/>
    <w:rsid w:val="00BC1071"/>
    <w:rsid w:val="00BC33F6"/>
    <w:rsid w:val="00BD2E99"/>
    <w:rsid w:val="00BD4266"/>
    <w:rsid w:val="00BE62F1"/>
    <w:rsid w:val="00C02CD5"/>
    <w:rsid w:val="00C12719"/>
    <w:rsid w:val="00C202A7"/>
    <w:rsid w:val="00C20ADA"/>
    <w:rsid w:val="00C235A5"/>
    <w:rsid w:val="00C2496B"/>
    <w:rsid w:val="00C421B6"/>
    <w:rsid w:val="00C510E0"/>
    <w:rsid w:val="00C52E9C"/>
    <w:rsid w:val="00C5460C"/>
    <w:rsid w:val="00C57EFF"/>
    <w:rsid w:val="00C65087"/>
    <w:rsid w:val="00C6543F"/>
    <w:rsid w:val="00C71EC6"/>
    <w:rsid w:val="00C7351F"/>
    <w:rsid w:val="00C8027F"/>
    <w:rsid w:val="00C80D93"/>
    <w:rsid w:val="00C8526B"/>
    <w:rsid w:val="00C86E65"/>
    <w:rsid w:val="00C874A1"/>
    <w:rsid w:val="00C93570"/>
    <w:rsid w:val="00C93FB6"/>
    <w:rsid w:val="00C94081"/>
    <w:rsid w:val="00C94597"/>
    <w:rsid w:val="00C978AC"/>
    <w:rsid w:val="00CA2ABD"/>
    <w:rsid w:val="00CA5877"/>
    <w:rsid w:val="00CC5D07"/>
    <w:rsid w:val="00CC60F1"/>
    <w:rsid w:val="00CD06C8"/>
    <w:rsid w:val="00CD0E1D"/>
    <w:rsid w:val="00CD2C9D"/>
    <w:rsid w:val="00CD3C35"/>
    <w:rsid w:val="00CD6C52"/>
    <w:rsid w:val="00CD6E88"/>
    <w:rsid w:val="00CE090C"/>
    <w:rsid w:val="00CE3815"/>
    <w:rsid w:val="00CE688F"/>
    <w:rsid w:val="00CF3BEC"/>
    <w:rsid w:val="00CF7407"/>
    <w:rsid w:val="00CF77CC"/>
    <w:rsid w:val="00D04BE9"/>
    <w:rsid w:val="00D05606"/>
    <w:rsid w:val="00D06FA5"/>
    <w:rsid w:val="00D117A6"/>
    <w:rsid w:val="00D13CE4"/>
    <w:rsid w:val="00D173BF"/>
    <w:rsid w:val="00D2224E"/>
    <w:rsid w:val="00D22F06"/>
    <w:rsid w:val="00D3076D"/>
    <w:rsid w:val="00D356EF"/>
    <w:rsid w:val="00D52C39"/>
    <w:rsid w:val="00D52E51"/>
    <w:rsid w:val="00D70C2D"/>
    <w:rsid w:val="00D7161B"/>
    <w:rsid w:val="00D81C44"/>
    <w:rsid w:val="00D9444C"/>
    <w:rsid w:val="00DB745E"/>
    <w:rsid w:val="00DC605B"/>
    <w:rsid w:val="00DF7879"/>
    <w:rsid w:val="00E06309"/>
    <w:rsid w:val="00E1743B"/>
    <w:rsid w:val="00E23514"/>
    <w:rsid w:val="00E23A36"/>
    <w:rsid w:val="00E24D4F"/>
    <w:rsid w:val="00E275EA"/>
    <w:rsid w:val="00E54054"/>
    <w:rsid w:val="00E54D87"/>
    <w:rsid w:val="00E57367"/>
    <w:rsid w:val="00E606CB"/>
    <w:rsid w:val="00E60EE1"/>
    <w:rsid w:val="00E71D88"/>
    <w:rsid w:val="00E72E36"/>
    <w:rsid w:val="00E913E6"/>
    <w:rsid w:val="00E9362D"/>
    <w:rsid w:val="00EA0AE7"/>
    <w:rsid w:val="00EA554A"/>
    <w:rsid w:val="00EB353D"/>
    <w:rsid w:val="00EB5059"/>
    <w:rsid w:val="00EB72DC"/>
    <w:rsid w:val="00EC063D"/>
    <w:rsid w:val="00EC3E6B"/>
    <w:rsid w:val="00EE09D4"/>
    <w:rsid w:val="00EE3762"/>
    <w:rsid w:val="00EF05CC"/>
    <w:rsid w:val="00EF4352"/>
    <w:rsid w:val="00EF466E"/>
    <w:rsid w:val="00EF4865"/>
    <w:rsid w:val="00EF6E34"/>
    <w:rsid w:val="00EF700E"/>
    <w:rsid w:val="00F00DC1"/>
    <w:rsid w:val="00F01773"/>
    <w:rsid w:val="00F024BC"/>
    <w:rsid w:val="00F04504"/>
    <w:rsid w:val="00F10765"/>
    <w:rsid w:val="00F23609"/>
    <w:rsid w:val="00F31931"/>
    <w:rsid w:val="00F508ED"/>
    <w:rsid w:val="00F51BB3"/>
    <w:rsid w:val="00F54082"/>
    <w:rsid w:val="00F540F2"/>
    <w:rsid w:val="00F76524"/>
    <w:rsid w:val="00F82FC0"/>
    <w:rsid w:val="00F950F2"/>
    <w:rsid w:val="00FC1A2D"/>
    <w:rsid w:val="00FC2532"/>
    <w:rsid w:val="00FC7B63"/>
    <w:rsid w:val="00FD1099"/>
    <w:rsid w:val="00FD532D"/>
    <w:rsid w:val="00FE0E31"/>
    <w:rsid w:val="00FE66EB"/>
    <w:rsid w:val="00FE746B"/>
    <w:rsid w:val="00FF0DA6"/>
    <w:rsid w:val="00FF1E32"/>
    <w:rsid w:val="00FF722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FC0"/>
    <w:rPr>
      <w:rFonts w:eastAsia="MS Mincho"/>
      <w:lang w:val="de-D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Addresses">
    <w:name w:val="Addresses"/>
    <w:basedOn w:val="Normal"/>
    <w:rsid w:val="00477639"/>
    <w:rPr>
      <w:lang w:val="en-US"/>
    </w:rPr>
  </w:style>
  <w:style w:type="paragraph" w:customStyle="1" w:styleId="Tableofcontents">
    <w:name w:val="Table of contents"/>
    <w:basedOn w:val="Normal"/>
    <w:autoRedefine/>
    <w:rsid w:val="00477639"/>
    <w:rPr>
      <w:lang w:val="en-US"/>
    </w:rPr>
  </w:style>
  <w:style w:type="paragraph" w:customStyle="1" w:styleId="Head1">
    <w:name w:val="Head 1"/>
    <w:basedOn w:val="Normal"/>
    <w:autoRedefine/>
    <w:rsid w:val="000C2BAB"/>
    <w:pPr>
      <w:spacing w:line="480" w:lineRule="auto"/>
      <w:outlineLvl w:val="0"/>
    </w:pPr>
    <w:rPr>
      <w:lang w:val="en-GB"/>
    </w:rPr>
  </w:style>
  <w:style w:type="paragraph" w:customStyle="1" w:styleId="Legend">
    <w:name w:val="Legend"/>
    <w:basedOn w:val="Normal"/>
    <w:rsid w:val="0062716A"/>
    <w:rPr>
      <w:lang w:val="en-US"/>
    </w:rPr>
  </w:style>
  <w:style w:type="paragraph" w:styleId="Bobletekst">
    <w:name w:val="Balloon Text"/>
    <w:basedOn w:val="Normal"/>
    <w:link w:val="BobletekstTegn"/>
    <w:uiPriority w:val="99"/>
    <w:semiHidden/>
    <w:unhideWhenUsed/>
    <w:rsid w:val="0062716A"/>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62716A"/>
    <w:rPr>
      <w:rFonts w:ascii="Lucida Grande" w:eastAsia="MS Mincho" w:hAnsi="Lucida Grande" w:cs="Lucida Grande"/>
      <w:sz w:val="18"/>
      <w:szCs w:val="18"/>
      <w:lang w:val="de-DE"/>
    </w:rPr>
  </w:style>
  <w:style w:type="paragraph" w:customStyle="1" w:styleId="HExperimentalSection">
    <w:name w:val="HExperimental_Section"/>
    <w:basedOn w:val="Normal"/>
    <w:rsid w:val="00491A9A"/>
    <w:pPr>
      <w:spacing w:before="460" w:after="230" w:line="230" w:lineRule="atLeast"/>
    </w:pPr>
    <w:rPr>
      <w:i/>
      <w:szCs w:val="20"/>
    </w:rPr>
  </w:style>
  <w:style w:type="paragraph" w:customStyle="1" w:styleId="Acknowledgements">
    <w:name w:val="Acknowledgements"/>
    <w:basedOn w:val="Normal"/>
    <w:rsid w:val="00491A9A"/>
    <w:rPr>
      <w:lang w:val="en-US"/>
    </w:rPr>
  </w:style>
  <w:style w:type="paragraph" w:customStyle="1" w:styleId="MainText">
    <w:name w:val="Main Text"/>
    <w:basedOn w:val="Normal"/>
    <w:link w:val="MainTextChar"/>
    <w:rsid w:val="00491A9A"/>
    <w:pPr>
      <w:spacing w:line="480" w:lineRule="auto"/>
    </w:pPr>
    <w:rPr>
      <w:lang w:val="en-US"/>
    </w:rPr>
  </w:style>
  <w:style w:type="character" w:customStyle="1" w:styleId="MainTextChar">
    <w:name w:val="Main Text Char"/>
    <w:link w:val="MainText"/>
    <w:rsid w:val="00491A9A"/>
    <w:rPr>
      <w:rFonts w:eastAsia="MS Mincho"/>
      <w:lang w:val="en-US"/>
    </w:rPr>
  </w:style>
  <w:style w:type="character" w:styleId="Merknadsreferanse">
    <w:name w:val="annotation reference"/>
    <w:basedOn w:val="Standardskriftforavsnitt"/>
    <w:uiPriority w:val="99"/>
    <w:semiHidden/>
    <w:unhideWhenUsed/>
    <w:rsid w:val="00982FB0"/>
    <w:rPr>
      <w:sz w:val="18"/>
      <w:szCs w:val="18"/>
    </w:rPr>
  </w:style>
  <w:style w:type="paragraph" w:styleId="Merknadstekst">
    <w:name w:val="annotation text"/>
    <w:basedOn w:val="Normal"/>
    <w:link w:val="MerknadstekstTegn"/>
    <w:uiPriority w:val="99"/>
    <w:semiHidden/>
    <w:unhideWhenUsed/>
    <w:rsid w:val="00982FB0"/>
  </w:style>
  <w:style w:type="character" w:customStyle="1" w:styleId="MerknadstekstTegn">
    <w:name w:val="Merknadstekst Tegn"/>
    <w:basedOn w:val="Standardskriftforavsnitt"/>
    <w:link w:val="Merknadstekst"/>
    <w:uiPriority w:val="99"/>
    <w:semiHidden/>
    <w:rsid w:val="00982FB0"/>
    <w:rPr>
      <w:rFonts w:eastAsia="MS Mincho"/>
      <w:lang w:val="de-DE"/>
    </w:rPr>
  </w:style>
  <w:style w:type="paragraph" w:styleId="Kommentaremne">
    <w:name w:val="annotation subject"/>
    <w:basedOn w:val="Merknadstekst"/>
    <w:next w:val="Merknadstekst"/>
    <w:link w:val="KommentaremneTegn"/>
    <w:uiPriority w:val="99"/>
    <w:semiHidden/>
    <w:unhideWhenUsed/>
    <w:rsid w:val="00982FB0"/>
    <w:rPr>
      <w:b/>
      <w:bCs/>
      <w:sz w:val="20"/>
      <w:szCs w:val="20"/>
    </w:rPr>
  </w:style>
  <w:style w:type="character" w:customStyle="1" w:styleId="KommentaremneTegn">
    <w:name w:val="Kommentaremne Tegn"/>
    <w:basedOn w:val="MerknadstekstTegn"/>
    <w:link w:val="Kommentaremne"/>
    <w:uiPriority w:val="99"/>
    <w:semiHidden/>
    <w:rsid w:val="00982FB0"/>
    <w:rPr>
      <w:rFonts w:eastAsia="MS Mincho"/>
      <w:b/>
      <w:bCs/>
      <w:sz w:val="20"/>
      <w:szCs w:val="20"/>
      <w:lang w:val="de-DE"/>
    </w:rPr>
  </w:style>
  <w:style w:type="paragraph" w:styleId="Revisjon">
    <w:name w:val="Revision"/>
    <w:hidden/>
    <w:uiPriority w:val="99"/>
    <w:semiHidden/>
    <w:rsid w:val="002E279F"/>
    <w:rPr>
      <w:rFonts w:eastAsia="MS Mincho"/>
      <w:lang w:val="de-DE"/>
    </w:rPr>
  </w:style>
  <w:style w:type="character" w:styleId="Hyperkobling">
    <w:name w:val="Hyperlink"/>
    <w:basedOn w:val="Standardskriftforavsnitt"/>
    <w:uiPriority w:val="99"/>
    <w:unhideWhenUsed/>
    <w:rsid w:val="00717B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238315">
      <w:bodyDiv w:val="1"/>
      <w:marLeft w:val="0"/>
      <w:marRight w:val="0"/>
      <w:marTop w:val="0"/>
      <w:marBottom w:val="0"/>
      <w:divBdr>
        <w:top w:val="none" w:sz="0" w:space="0" w:color="auto"/>
        <w:left w:val="none" w:sz="0" w:space="0" w:color="auto"/>
        <w:bottom w:val="none" w:sz="0" w:space="0" w:color="auto"/>
        <w:right w:val="none" w:sz="0" w:space="0" w:color="auto"/>
      </w:divBdr>
    </w:div>
    <w:div w:id="1339960494">
      <w:bodyDiv w:val="1"/>
      <w:marLeft w:val="0"/>
      <w:marRight w:val="0"/>
      <w:marTop w:val="0"/>
      <w:marBottom w:val="0"/>
      <w:divBdr>
        <w:top w:val="none" w:sz="0" w:space="0" w:color="auto"/>
        <w:left w:val="none" w:sz="0" w:space="0" w:color="auto"/>
        <w:bottom w:val="none" w:sz="0" w:space="0" w:color="auto"/>
        <w:right w:val="none" w:sz="0" w:space="0" w:color="auto"/>
      </w:divBdr>
    </w:div>
    <w:div w:id="1373068893">
      <w:bodyDiv w:val="1"/>
      <w:marLeft w:val="0"/>
      <w:marRight w:val="0"/>
      <w:marTop w:val="0"/>
      <w:marBottom w:val="0"/>
      <w:divBdr>
        <w:top w:val="none" w:sz="0" w:space="0" w:color="auto"/>
        <w:left w:val="none" w:sz="0" w:space="0" w:color="auto"/>
        <w:bottom w:val="none" w:sz="0" w:space="0" w:color="auto"/>
        <w:right w:val="none" w:sz="0" w:space="0" w:color="auto"/>
      </w:divBdr>
    </w:div>
    <w:div w:id="1432436917">
      <w:bodyDiv w:val="1"/>
      <w:marLeft w:val="0"/>
      <w:marRight w:val="0"/>
      <w:marTop w:val="0"/>
      <w:marBottom w:val="0"/>
      <w:divBdr>
        <w:top w:val="none" w:sz="0" w:space="0" w:color="auto"/>
        <w:left w:val="none" w:sz="0" w:space="0" w:color="auto"/>
        <w:bottom w:val="none" w:sz="0" w:space="0" w:color="auto"/>
        <w:right w:val="none" w:sz="0" w:space="0" w:color="auto"/>
      </w:divBdr>
    </w:div>
    <w:div w:id="1799755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chart" Target="charts/chart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hyperlink" Target="https://chemicalize.com/" TargetMode="External"/><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Users\andy\OneDrive%20-%20University%20of%20East%20Anglia\Publications\2017%20predicting%20polymer%20sequencing\F%20vs%20K%20vs%20area_acd%20vs%20bcd_.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9155681509638898"/>
          <c:y val="4.6374325794713997E-2"/>
          <c:w val="0.62601853108878602"/>
          <c:h val="0.68707968795567198"/>
        </c:manualLayout>
      </c:layout>
      <c:scatterChart>
        <c:scatterStyle val="lineMarker"/>
        <c:varyColors val="0"/>
        <c:ser>
          <c:idx val="0"/>
          <c:order val="0"/>
          <c:tx>
            <c:strRef>
              <c:f>GPCdata!$A$1</c:f>
              <c:strCache>
                <c:ptCount val="1"/>
                <c:pt idx="0">
                  <c:v>alginate</c:v>
                </c:pt>
              </c:strCache>
            </c:strRef>
          </c:tx>
          <c:spPr>
            <a:ln w="47625">
              <a:noFill/>
            </a:ln>
            <a:effectLst/>
          </c:spPr>
          <c:marker>
            <c:symbol val="diamond"/>
            <c:size val="12"/>
            <c:spPr>
              <a:solidFill>
                <a:schemeClr val="accent6"/>
              </a:solidFill>
              <a:ln>
                <a:solidFill>
                  <a:schemeClr val="accent6"/>
                </a:solidFill>
              </a:ln>
              <a:effectLst/>
            </c:spPr>
          </c:marker>
          <c:trendline>
            <c:spPr>
              <a:ln w="19050">
                <a:solidFill>
                  <a:schemeClr val="accent6"/>
                </a:solidFill>
                <a:prstDash val="sysDot"/>
              </a:ln>
            </c:spPr>
            <c:trendlineType val="linear"/>
            <c:dispRSqr val="0"/>
            <c:dispEq val="0"/>
          </c:trendline>
          <c:xVal>
            <c:numRef>
              <c:f>GPCdata!$B$3:$B$7</c:f>
              <c:numCache>
                <c:formatCode>0.00</c:formatCode>
                <c:ptCount val="5"/>
                <c:pt idx="0">
                  <c:v>2.8450980400142569</c:v>
                </c:pt>
                <c:pt idx="1">
                  <c:v>3</c:v>
                </c:pt>
                <c:pt idx="2">
                  <c:v>3.1139433523068369</c:v>
                </c:pt>
                <c:pt idx="3">
                  <c:v>3.2174839442139058</c:v>
                </c:pt>
                <c:pt idx="4">
                  <c:v>3.3010299956639799</c:v>
                </c:pt>
              </c:numCache>
            </c:numRef>
          </c:xVal>
          <c:yVal>
            <c:numRef>
              <c:f>GPCdata!$C$3:$C$7</c:f>
              <c:numCache>
                <c:formatCode>0.0</c:formatCode>
                <c:ptCount val="5"/>
                <c:pt idx="0">
                  <c:v>26.3</c:v>
                </c:pt>
                <c:pt idx="1">
                  <c:v>25.6</c:v>
                </c:pt>
                <c:pt idx="2">
                  <c:v>25</c:v>
                </c:pt>
                <c:pt idx="3">
                  <c:v>24.7</c:v>
                </c:pt>
                <c:pt idx="4">
                  <c:v>24.6</c:v>
                </c:pt>
              </c:numCache>
            </c:numRef>
          </c:yVal>
          <c:smooth val="0"/>
          <c:extLst>
            <c:ext xmlns:c16="http://schemas.microsoft.com/office/drawing/2014/chart" uri="{C3380CC4-5D6E-409C-BE32-E72D297353CC}">
              <c16:uniqueId val="{00000000-3A70-440A-AE82-C6B97CCCDD5D}"/>
            </c:ext>
          </c:extLst>
        </c:ser>
        <c:ser>
          <c:idx val="1"/>
          <c:order val="1"/>
          <c:tx>
            <c:strRef>
              <c:f>GPCdata!$E$1</c:f>
              <c:strCache>
                <c:ptCount val="1"/>
                <c:pt idx="0">
                  <c:v>maltose-PEG</c:v>
                </c:pt>
              </c:strCache>
            </c:strRef>
          </c:tx>
          <c:spPr>
            <a:ln w="47625">
              <a:noFill/>
            </a:ln>
            <a:effectLst/>
          </c:spPr>
          <c:marker>
            <c:symbol val="triangle"/>
            <c:size val="12"/>
            <c:spPr>
              <a:solidFill>
                <a:srgbClr val="FF0000"/>
              </a:solidFill>
              <a:ln>
                <a:solidFill>
                  <a:srgbClr val="FF0000"/>
                </a:solidFill>
              </a:ln>
              <a:effectLst/>
            </c:spPr>
          </c:marker>
          <c:trendline>
            <c:spPr>
              <a:ln w="19050">
                <a:solidFill>
                  <a:srgbClr val="FF0000"/>
                </a:solidFill>
                <a:prstDash val="sysDot"/>
              </a:ln>
            </c:spPr>
            <c:trendlineType val="linear"/>
            <c:dispRSqr val="0"/>
            <c:dispEq val="0"/>
          </c:trendline>
          <c:xVal>
            <c:numRef>
              <c:f>GPCdata!$F$3:$F$12</c:f>
              <c:numCache>
                <c:formatCode>0.00</c:formatCode>
                <c:ptCount val="10"/>
                <c:pt idx="0">
                  <c:v>2.531478917042254</c:v>
                </c:pt>
                <c:pt idx="1">
                  <c:v>2.7323937598229682</c:v>
                </c:pt>
                <c:pt idx="2">
                  <c:v>2.9731278535997001</c:v>
                </c:pt>
                <c:pt idx="3">
                  <c:v>3.0569048513364718</c:v>
                </c:pt>
                <c:pt idx="4">
                  <c:v>3.2405492482825999</c:v>
                </c:pt>
                <c:pt idx="5">
                  <c:v>3.4377505628203879</c:v>
                </c:pt>
                <c:pt idx="6">
                  <c:v>3.5611013836490559</c:v>
                </c:pt>
                <c:pt idx="7">
                  <c:v>3.6989700043360201</c:v>
                </c:pt>
                <c:pt idx="8">
                  <c:v>3.8195439355418679</c:v>
                </c:pt>
                <c:pt idx="9">
                  <c:v>4</c:v>
                </c:pt>
              </c:numCache>
            </c:numRef>
          </c:xVal>
          <c:yVal>
            <c:numRef>
              <c:f>GPCdata!$G$3:$G$12</c:f>
              <c:numCache>
                <c:formatCode>0.0</c:formatCode>
                <c:ptCount val="10"/>
                <c:pt idx="0">
                  <c:v>29.5</c:v>
                </c:pt>
                <c:pt idx="1">
                  <c:v>28.9</c:v>
                </c:pt>
                <c:pt idx="2">
                  <c:v>27.8</c:v>
                </c:pt>
                <c:pt idx="3">
                  <c:v>27.6</c:v>
                </c:pt>
                <c:pt idx="4">
                  <c:v>26.1</c:v>
                </c:pt>
                <c:pt idx="5">
                  <c:v>25.9</c:v>
                </c:pt>
                <c:pt idx="6">
                  <c:v>24.7</c:v>
                </c:pt>
                <c:pt idx="7">
                  <c:v>24.8</c:v>
                </c:pt>
                <c:pt idx="8">
                  <c:v>24.3</c:v>
                </c:pt>
                <c:pt idx="9">
                  <c:v>22.6</c:v>
                </c:pt>
              </c:numCache>
            </c:numRef>
          </c:yVal>
          <c:smooth val="0"/>
          <c:extLst>
            <c:ext xmlns:c16="http://schemas.microsoft.com/office/drawing/2014/chart" uri="{C3380CC4-5D6E-409C-BE32-E72D297353CC}">
              <c16:uniqueId val="{00000001-3A70-440A-AE82-C6B97CCCDD5D}"/>
            </c:ext>
          </c:extLst>
        </c:ser>
        <c:dLbls>
          <c:showLegendKey val="0"/>
          <c:showVal val="0"/>
          <c:showCatName val="0"/>
          <c:showSerName val="0"/>
          <c:showPercent val="0"/>
          <c:showBubbleSize val="0"/>
        </c:dLbls>
        <c:axId val="414816368"/>
        <c:axId val="364177248"/>
      </c:scatterChart>
      <c:valAx>
        <c:axId val="414816368"/>
        <c:scaling>
          <c:orientation val="minMax"/>
          <c:max val="4.2"/>
          <c:min val="2.4"/>
        </c:scaling>
        <c:delete val="0"/>
        <c:axPos val="b"/>
        <c:title>
          <c:tx>
            <c:rich>
              <a:bodyPr/>
              <a:lstStyle/>
              <a:p>
                <a:pPr>
                  <a:defRPr/>
                </a:pPr>
                <a:r>
                  <a:rPr lang="en-US" sz="1600" b="0">
                    <a:latin typeface="Helvetica" charset="0"/>
                    <a:ea typeface="Helvetica" charset="0"/>
                    <a:cs typeface="Helvetica" charset="0"/>
                  </a:rPr>
                  <a:t>Log</a:t>
                </a:r>
                <a:r>
                  <a:rPr lang="en-US" sz="1600" b="0" baseline="-25000">
                    <a:latin typeface="Helvetica" charset="0"/>
                    <a:ea typeface="Helvetica" charset="0"/>
                    <a:cs typeface="Helvetica" charset="0"/>
                  </a:rPr>
                  <a:t>10</a:t>
                </a:r>
                <a:r>
                  <a:rPr lang="en-US" sz="1600" b="0">
                    <a:latin typeface="Helvetica" charset="0"/>
                    <a:ea typeface="Helvetica" charset="0"/>
                    <a:cs typeface="Helvetica" charset="0"/>
                  </a:rPr>
                  <a:t> MW</a:t>
                </a:r>
              </a:p>
            </c:rich>
          </c:tx>
          <c:layout/>
          <c:overlay val="0"/>
        </c:title>
        <c:numFmt formatCode="0.0" sourceLinked="0"/>
        <c:majorTickMark val="out"/>
        <c:minorTickMark val="none"/>
        <c:tickLblPos val="nextTo"/>
        <c:txPr>
          <a:bodyPr/>
          <a:lstStyle/>
          <a:p>
            <a:pPr>
              <a:defRPr sz="1600">
                <a:latin typeface="Helvetica" charset="0"/>
                <a:ea typeface="Helvetica" charset="0"/>
                <a:cs typeface="Helvetica" charset="0"/>
              </a:defRPr>
            </a:pPr>
            <a:endParaRPr lang="nb-NO"/>
          </a:p>
        </c:txPr>
        <c:crossAx val="364177248"/>
        <c:crosses val="autoZero"/>
        <c:crossBetween val="midCat"/>
        <c:majorUnit val="0.6"/>
      </c:valAx>
      <c:valAx>
        <c:axId val="364177248"/>
        <c:scaling>
          <c:orientation val="minMax"/>
          <c:min val="20"/>
        </c:scaling>
        <c:delete val="0"/>
        <c:axPos val="l"/>
        <c:title>
          <c:tx>
            <c:rich>
              <a:bodyPr/>
              <a:lstStyle/>
              <a:p>
                <a:pPr>
                  <a:defRPr/>
                </a:pPr>
                <a:r>
                  <a:rPr lang="en-US" sz="1600" b="0">
                    <a:latin typeface="Helvetica" charset="0"/>
                    <a:ea typeface="Helvetica" charset="0"/>
                    <a:cs typeface="Helvetica" charset="0"/>
                  </a:rPr>
                  <a:t>Retention time (min.)</a:t>
                </a:r>
              </a:p>
            </c:rich>
          </c:tx>
          <c:layout>
            <c:manualLayout>
              <c:xMode val="edge"/>
              <c:yMode val="edge"/>
              <c:x val="1.37931034482759E-2"/>
              <c:y val="0.192424565057154"/>
            </c:manualLayout>
          </c:layout>
          <c:overlay val="0"/>
        </c:title>
        <c:numFmt formatCode="0" sourceLinked="0"/>
        <c:majorTickMark val="out"/>
        <c:minorTickMark val="none"/>
        <c:tickLblPos val="nextTo"/>
        <c:txPr>
          <a:bodyPr/>
          <a:lstStyle/>
          <a:p>
            <a:pPr>
              <a:defRPr sz="1600">
                <a:latin typeface="Helvetica" charset="0"/>
                <a:ea typeface="Helvetica" charset="0"/>
                <a:cs typeface="Helvetica" charset="0"/>
              </a:defRPr>
            </a:pPr>
            <a:endParaRPr lang="nb-NO"/>
          </a:p>
        </c:txPr>
        <c:crossAx val="414816368"/>
        <c:crosses val="autoZero"/>
        <c:crossBetween val="midCat"/>
      </c:valAx>
      <c:spPr>
        <a:ln w="19050">
          <a:solidFill>
            <a:schemeClr val="tx1"/>
          </a:solid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10459</Words>
  <Characters>173768</Characters>
  <Application>Microsoft Office Word</Application>
  <DocSecurity>0</DocSecurity>
  <Lines>1448</Lines>
  <Paragraphs>367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Round</dc:creator>
  <cp:keywords/>
  <dc:description/>
  <cp:lastModifiedBy>Olav Andreas Aarstad</cp:lastModifiedBy>
  <cp:revision>3</cp:revision>
  <cp:lastPrinted>2017-03-08T13:16:00Z</cp:lastPrinted>
  <dcterms:created xsi:type="dcterms:W3CDTF">2018-04-18T08:18:00Z</dcterms:created>
  <dcterms:modified xsi:type="dcterms:W3CDTF">2018-04-18T08:22:00Z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id="http://www.zotero.org/styles/chemical-science"/&gt;&lt;hasBiblio/&gt;&lt;format class="21"/&gt;&lt;count citations="62" publications="50"/&gt;&lt;/info&gt;PAPERS2_INFO_END</vt:lpwstr>
  </property>
</Properties>
</file>