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751BFC" w14:textId="77777777" w:rsidR="00E324A8" w:rsidRPr="00E324A8" w:rsidRDefault="00E324A8" w:rsidP="00E324A8">
      <w:pPr>
        <w:pStyle w:val="Title"/>
        <w:rPr>
          <w:rFonts w:ascii="Times New Roman" w:hAnsi="Times New Roman" w:cs="Times New Roman"/>
          <w:sz w:val="44"/>
          <w:szCs w:val="44"/>
          <w:lang w:val="en-US"/>
        </w:rPr>
      </w:pPr>
      <w:r w:rsidRPr="00F95C8E">
        <w:rPr>
          <w:rFonts w:ascii="Times New Roman" w:hAnsi="Times New Roman" w:cs="Times New Roman"/>
          <w:sz w:val="44"/>
          <w:szCs w:val="44"/>
          <w:lang w:val="en-US"/>
        </w:rPr>
        <w:tab/>
      </w:r>
      <w:r w:rsidRPr="00E324A8">
        <w:rPr>
          <w:rFonts w:ascii="Times New Roman" w:hAnsi="Times New Roman" w:cs="Times New Roman"/>
          <w:sz w:val="44"/>
          <w:szCs w:val="44"/>
          <w:lang w:val="en-US"/>
        </w:rPr>
        <w:t>A study of anode baking gas composition</w:t>
      </w:r>
    </w:p>
    <w:p w14:paraId="69BF6950" w14:textId="77777777" w:rsidR="00E324A8" w:rsidRDefault="00E324A8" w:rsidP="00E324A8">
      <w:pPr>
        <w:pStyle w:val="TMSAuthorsAffiliations"/>
      </w:pPr>
    </w:p>
    <w:p w14:paraId="6F3808F0" w14:textId="79A90A18" w:rsidR="00E324A8" w:rsidRDefault="00E324A8" w:rsidP="00E324A8">
      <w:pPr>
        <w:pStyle w:val="TMSAuthorsAffiliations"/>
        <w:rPr>
          <w:sz w:val="24"/>
          <w:szCs w:val="22"/>
          <w:lang w:val="nn-NO"/>
        </w:rPr>
      </w:pPr>
      <w:r w:rsidRPr="00E324A8">
        <w:rPr>
          <w:sz w:val="24"/>
          <w:szCs w:val="22"/>
          <w:lang w:val="nn-NO"/>
        </w:rPr>
        <w:t>Thor A. Aarhaug</w:t>
      </w:r>
      <w:r w:rsidRPr="00E324A8">
        <w:rPr>
          <w:sz w:val="24"/>
          <w:szCs w:val="22"/>
          <w:vertAlign w:val="superscript"/>
          <w:lang w:val="nn-NO"/>
        </w:rPr>
        <w:t>1</w:t>
      </w:r>
      <w:r w:rsidRPr="00E324A8">
        <w:rPr>
          <w:sz w:val="24"/>
          <w:szCs w:val="22"/>
          <w:lang w:val="nn-NO"/>
        </w:rPr>
        <w:t xml:space="preserve">, </w:t>
      </w:r>
      <w:r w:rsidR="00820CB3" w:rsidRPr="00E324A8">
        <w:rPr>
          <w:sz w:val="24"/>
          <w:szCs w:val="22"/>
          <w:lang w:val="nn-NO"/>
        </w:rPr>
        <w:t>Trond Brandvik</w:t>
      </w:r>
      <w:r w:rsidR="00820CB3">
        <w:rPr>
          <w:sz w:val="24"/>
          <w:szCs w:val="22"/>
          <w:vertAlign w:val="superscript"/>
          <w:lang w:val="nn-NO"/>
        </w:rPr>
        <w:t>2</w:t>
      </w:r>
      <w:r w:rsidR="00820CB3">
        <w:rPr>
          <w:sz w:val="24"/>
          <w:szCs w:val="22"/>
          <w:lang w:val="nn-NO"/>
        </w:rPr>
        <w:t>, O</w:t>
      </w:r>
      <w:r w:rsidRPr="00E324A8">
        <w:rPr>
          <w:sz w:val="24"/>
          <w:szCs w:val="22"/>
          <w:lang w:val="nn-NO"/>
        </w:rPr>
        <w:t>le S. Kjos</w:t>
      </w:r>
      <w:r w:rsidR="00820CB3">
        <w:rPr>
          <w:sz w:val="24"/>
          <w:szCs w:val="22"/>
          <w:vertAlign w:val="superscript"/>
          <w:lang w:val="nn-NO"/>
        </w:rPr>
        <w:t>3</w:t>
      </w:r>
      <w:r w:rsidRPr="00E324A8">
        <w:rPr>
          <w:sz w:val="24"/>
          <w:szCs w:val="22"/>
          <w:lang w:val="nn-NO"/>
        </w:rPr>
        <w:t>, Heiko Gaertner</w:t>
      </w:r>
      <w:r w:rsidRPr="00E324A8">
        <w:rPr>
          <w:sz w:val="24"/>
          <w:szCs w:val="22"/>
          <w:vertAlign w:val="superscript"/>
          <w:lang w:val="nn-NO"/>
        </w:rPr>
        <w:t>1</w:t>
      </w:r>
      <w:r w:rsidRPr="00E324A8">
        <w:rPr>
          <w:sz w:val="24"/>
          <w:szCs w:val="22"/>
          <w:lang w:val="nn-NO"/>
        </w:rPr>
        <w:t>, Arne P. Ratvik</w:t>
      </w:r>
      <w:r w:rsidRPr="00E324A8">
        <w:rPr>
          <w:sz w:val="24"/>
          <w:szCs w:val="22"/>
          <w:vertAlign w:val="superscript"/>
          <w:lang w:val="nn-NO"/>
        </w:rPr>
        <w:t>1</w:t>
      </w:r>
    </w:p>
    <w:p w14:paraId="53BBC816" w14:textId="77777777" w:rsidR="00E26AB6" w:rsidRPr="00E324A8" w:rsidRDefault="00E26AB6" w:rsidP="00E324A8">
      <w:pPr>
        <w:pStyle w:val="TMSAuthorsAffiliations"/>
        <w:rPr>
          <w:sz w:val="24"/>
          <w:szCs w:val="22"/>
          <w:lang w:val="nn-NO"/>
        </w:rPr>
      </w:pPr>
    </w:p>
    <w:p w14:paraId="65F7D938" w14:textId="6FFC8815" w:rsidR="00E324A8" w:rsidRPr="00E324A8" w:rsidRDefault="00E324A8" w:rsidP="00E324A8">
      <w:pPr>
        <w:pStyle w:val="TMSAuthorsAffiliations"/>
        <w:rPr>
          <w:sz w:val="22"/>
          <w:szCs w:val="22"/>
        </w:rPr>
      </w:pPr>
      <w:r w:rsidRPr="00E324A8">
        <w:rPr>
          <w:sz w:val="22"/>
          <w:szCs w:val="22"/>
          <w:vertAlign w:val="superscript"/>
        </w:rPr>
        <w:t>1</w:t>
      </w:r>
      <w:r w:rsidRPr="00E324A8">
        <w:rPr>
          <w:sz w:val="22"/>
          <w:szCs w:val="22"/>
        </w:rPr>
        <w:t>SINTEF Materials and Chemistry, 7</w:t>
      </w:r>
      <w:r w:rsidR="00276F42">
        <w:rPr>
          <w:sz w:val="22"/>
          <w:szCs w:val="22"/>
        </w:rPr>
        <w:t>465</w:t>
      </w:r>
      <w:r w:rsidRPr="00E324A8">
        <w:rPr>
          <w:sz w:val="22"/>
          <w:szCs w:val="22"/>
        </w:rPr>
        <w:t xml:space="preserve"> Trondheim, Norway</w:t>
      </w:r>
    </w:p>
    <w:p w14:paraId="0D15497F" w14:textId="67304D02" w:rsidR="00E324A8" w:rsidRDefault="00820CB3" w:rsidP="00E324A8">
      <w:pPr>
        <w:pStyle w:val="TMSAuthorsAffiliations"/>
        <w:rPr>
          <w:sz w:val="22"/>
          <w:szCs w:val="22"/>
        </w:rPr>
      </w:pPr>
      <w:bookmarkStart w:id="0" w:name="OLE_LINK1"/>
      <w:bookmarkStart w:id="1" w:name="OLE_LINK2"/>
      <w:bookmarkStart w:id="2" w:name="OLE_LINK3"/>
      <w:bookmarkStart w:id="3" w:name="OLE_LINK4"/>
      <w:r>
        <w:rPr>
          <w:sz w:val="22"/>
          <w:szCs w:val="22"/>
          <w:vertAlign w:val="superscript"/>
        </w:rPr>
        <w:t>2</w:t>
      </w:r>
      <w:r w:rsidR="00E324A8">
        <w:rPr>
          <w:sz w:val="22"/>
          <w:szCs w:val="22"/>
        </w:rPr>
        <w:t xml:space="preserve">NTNU Department of Materials Science and Engineering, </w:t>
      </w:r>
      <w:r w:rsidR="00276F42">
        <w:rPr>
          <w:sz w:val="22"/>
          <w:szCs w:val="22"/>
        </w:rPr>
        <w:t xml:space="preserve">7491 </w:t>
      </w:r>
      <w:r w:rsidR="00E324A8">
        <w:rPr>
          <w:sz w:val="22"/>
          <w:szCs w:val="22"/>
        </w:rPr>
        <w:t>Trondheim, Norway</w:t>
      </w:r>
    </w:p>
    <w:p w14:paraId="6D8674C9" w14:textId="4D39C72F" w:rsidR="00820CB3" w:rsidRDefault="00820CB3" w:rsidP="00820CB3">
      <w:pPr>
        <w:pStyle w:val="TMSAuthorsAffiliations"/>
        <w:rPr>
          <w:sz w:val="22"/>
          <w:szCs w:val="22"/>
        </w:rPr>
      </w:pPr>
      <w:r>
        <w:rPr>
          <w:sz w:val="22"/>
          <w:szCs w:val="22"/>
          <w:vertAlign w:val="superscript"/>
        </w:rPr>
        <w:t>3</w:t>
      </w:r>
      <w:r w:rsidRPr="00E324A8">
        <w:rPr>
          <w:sz w:val="22"/>
          <w:szCs w:val="22"/>
        </w:rPr>
        <w:t>SINTEF Information and Communication Technology, 03</w:t>
      </w:r>
      <w:r>
        <w:rPr>
          <w:sz w:val="22"/>
          <w:szCs w:val="22"/>
        </w:rPr>
        <w:t xml:space="preserve">14 </w:t>
      </w:r>
      <w:r w:rsidRPr="00E324A8">
        <w:rPr>
          <w:sz w:val="22"/>
          <w:szCs w:val="22"/>
        </w:rPr>
        <w:t>Oslo, Norway</w:t>
      </w:r>
    </w:p>
    <w:bookmarkEnd w:id="0"/>
    <w:bookmarkEnd w:id="1"/>
    <w:bookmarkEnd w:id="2"/>
    <w:bookmarkEnd w:id="3"/>
    <w:p w14:paraId="04B147A9" w14:textId="77777777" w:rsidR="00633856" w:rsidRDefault="0042442A">
      <w:pPr>
        <w:rPr>
          <w:lang w:val="en-US"/>
        </w:rPr>
      </w:pPr>
    </w:p>
    <w:p w14:paraId="2016CC8D" w14:textId="77777777" w:rsidR="00E324A8" w:rsidRPr="00E324A8" w:rsidRDefault="00E324A8" w:rsidP="00E324A8">
      <w:pPr>
        <w:pStyle w:val="Heading1"/>
        <w:rPr>
          <w:rFonts w:cs="Times New Roman"/>
          <w:lang w:val="en-US"/>
        </w:rPr>
      </w:pPr>
      <w:r w:rsidRPr="00E324A8">
        <w:rPr>
          <w:rFonts w:cs="Times New Roman"/>
          <w:lang w:val="en-US"/>
        </w:rPr>
        <w:t>Abstract</w:t>
      </w:r>
    </w:p>
    <w:p w14:paraId="25B212DE" w14:textId="1242AA00" w:rsidR="00E324A8" w:rsidRDefault="00E324A8" w:rsidP="00A15960">
      <w:pPr>
        <w:jc w:val="both"/>
        <w:rPr>
          <w:lang w:val="en-US"/>
        </w:rPr>
      </w:pPr>
      <w:r w:rsidRPr="00E324A8">
        <w:rPr>
          <w:lang w:val="en-US"/>
        </w:rPr>
        <w:t xml:space="preserve">A method has been developed to measure gas composition inside the pit in open anode baking furnaces. The gas composition can be used to understand attack on and degradation of the refractory lining, baking </w:t>
      </w:r>
      <w:r w:rsidR="001562D0" w:rsidRPr="00E324A8">
        <w:rPr>
          <w:lang w:val="en-US"/>
        </w:rPr>
        <w:t>behavior</w:t>
      </w:r>
      <w:r w:rsidRPr="00E324A8">
        <w:rPr>
          <w:lang w:val="en-US"/>
        </w:rPr>
        <w:t xml:space="preserve"> and combustion energy contribution through the baking cycle. A probe was installed in the packing coke near the bottom of the pit while extracting gas over several days with continuous analysis with an FTIR spectrometer. The results show a clear temperature dependence of CO and CO</w:t>
      </w:r>
      <w:r w:rsidRPr="00330BA1">
        <w:rPr>
          <w:vertAlign w:val="subscript"/>
          <w:lang w:val="en-US"/>
        </w:rPr>
        <w:t>2</w:t>
      </w:r>
      <w:r w:rsidRPr="00E324A8">
        <w:rPr>
          <w:lang w:val="en-US"/>
        </w:rPr>
        <w:t xml:space="preserve"> composition. Methane was found to be the dominating gas species at the beginning of the </w:t>
      </w:r>
      <w:r w:rsidR="0057773B">
        <w:rPr>
          <w:lang w:val="en-US"/>
        </w:rPr>
        <w:t>measuring</w:t>
      </w:r>
      <w:r w:rsidR="0057773B" w:rsidRPr="00E324A8">
        <w:rPr>
          <w:lang w:val="en-US"/>
        </w:rPr>
        <w:t xml:space="preserve"> </w:t>
      </w:r>
      <w:r w:rsidRPr="00E324A8">
        <w:rPr>
          <w:lang w:val="en-US"/>
        </w:rPr>
        <w:t xml:space="preserve">cycle. Fluoride gases was also present, indicated by reactions with </w:t>
      </w:r>
      <w:r w:rsidR="001651B4">
        <w:rPr>
          <w:lang w:val="en-US"/>
        </w:rPr>
        <w:t xml:space="preserve">the </w:t>
      </w:r>
      <w:r w:rsidRPr="00E324A8">
        <w:rPr>
          <w:lang w:val="en-US"/>
        </w:rPr>
        <w:t>glass wool filter to yield SiF</w:t>
      </w:r>
      <w:r w:rsidRPr="00330BA1">
        <w:rPr>
          <w:vertAlign w:val="subscript"/>
          <w:lang w:val="en-US"/>
        </w:rPr>
        <w:t>4</w:t>
      </w:r>
      <w:r w:rsidRPr="00E324A8">
        <w:rPr>
          <w:lang w:val="en-US"/>
        </w:rPr>
        <w:t xml:space="preserve"> that was detected in small amounts. </w:t>
      </w:r>
      <w:proofErr w:type="gramStart"/>
      <w:r w:rsidRPr="00E324A8">
        <w:rPr>
          <w:lang w:val="en-US"/>
        </w:rPr>
        <w:t>PAH</w:t>
      </w:r>
      <w:proofErr w:type="gramEnd"/>
      <w:r w:rsidRPr="00E324A8">
        <w:rPr>
          <w:lang w:val="en-US"/>
        </w:rPr>
        <w:t xml:space="preserve"> condensates w</w:t>
      </w:r>
      <w:r w:rsidR="00330BA1">
        <w:rPr>
          <w:lang w:val="en-US"/>
        </w:rPr>
        <w:t>ere</w:t>
      </w:r>
      <w:r w:rsidRPr="00E324A8">
        <w:rPr>
          <w:lang w:val="en-US"/>
        </w:rPr>
        <w:t xml:space="preserve"> observed but not systematically determined in the present campaign. Earlier results from PAH measurements before the scrubbing, showing large fluctuations, will be discussed in relation to present findings.</w:t>
      </w:r>
    </w:p>
    <w:p w14:paraId="59A0BADA" w14:textId="283A0439" w:rsidR="00A15960" w:rsidRPr="00E324A8" w:rsidRDefault="00A15960" w:rsidP="00A15960">
      <w:pPr>
        <w:pStyle w:val="Heading1"/>
        <w:rPr>
          <w:rFonts w:cs="Times New Roman"/>
          <w:lang w:val="en-US"/>
        </w:rPr>
      </w:pPr>
      <w:r>
        <w:rPr>
          <w:rFonts w:cs="Times New Roman"/>
          <w:lang w:val="en-US"/>
        </w:rPr>
        <w:t>Introduction</w:t>
      </w:r>
    </w:p>
    <w:p w14:paraId="18952ABC" w14:textId="61FDDF0F" w:rsidR="001651B4" w:rsidRPr="007F7B5D" w:rsidRDefault="00A65D14" w:rsidP="00A65D14">
      <w:pPr>
        <w:jc w:val="both"/>
        <w:rPr>
          <w:lang w:val="en-GB"/>
        </w:rPr>
      </w:pPr>
      <w:r w:rsidRPr="005B43A4">
        <w:rPr>
          <w:rFonts w:cs="Times New Roman"/>
          <w:lang w:val="en-US"/>
        </w:rPr>
        <w:t xml:space="preserve">The production of prebaked carbon anodes for the modern aluminum electrolysis industry is carried out </w:t>
      </w:r>
      <w:r w:rsidRPr="00E92F7C">
        <w:rPr>
          <w:rFonts w:cs="Times New Roman"/>
          <w:lang w:val="en-US"/>
        </w:rPr>
        <w:t xml:space="preserve">in anode baking furnaces. Green anodes, </w:t>
      </w:r>
      <w:r w:rsidR="008540AE">
        <w:rPr>
          <w:rFonts w:cs="Times New Roman"/>
          <w:lang w:val="en-US"/>
        </w:rPr>
        <w:t>made from</w:t>
      </w:r>
      <w:r w:rsidRPr="00E92F7C">
        <w:rPr>
          <w:rFonts w:cs="Times New Roman"/>
          <w:lang w:val="en-US"/>
        </w:rPr>
        <w:t xml:space="preserve"> petroleum coke, anode butts and coal</w:t>
      </w:r>
      <w:r>
        <w:rPr>
          <w:rFonts w:cs="Times New Roman"/>
          <w:lang w:val="en-US"/>
        </w:rPr>
        <w:t xml:space="preserve"> tar pitch, are heat treated</w:t>
      </w:r>
      <w:r w:rsidRPr="00E92F7C">
        <w:rPr>
          <w:rFonts w:cs="Times New Roman"/>
          <w:lang w:val="en-US"/>
        </w:rPr>
        <w:t xml:space="preserve"> at temperatures cycling from room temperature to </w:t>
      </w:r>
      <w:r>
        <w:rPr>
          <w:rFonts w:cs="Times New Roman"/>
          <w:lang w:val="en-US"/>
        </w:rPr>
        <w:t>~</w:t>
      </w:r>
      <w:r w:rsidRPr="00E92F7C">
        <w:rPr>
          <w:rFonts w:cs="Times New Roman"/>
          <w:lang w:val="en-US"/>
        </w:rPr>
        <w:t xml:space="preserve">1200 °C. The temperature in the furnace is controlled by the flow of heated flue gas, which is separated from the anodes by refractory flue walls. Over time, the refractory flue walls </w:t>
      </w:r>
      <w:r w:rsidR="00276F42" w:rsidRPr="00E92F7C">
        <w:rPr>
          <w:rFonts w:cs="Times New Roman"/>
          <w:lang w:val="en-US"/>
        </w:rPr>
        <w:t>are</w:t>
      </w:r>
      <w:r w:rsidRPr="00E92F7C">
        <w:rPr>
          <w:rFonts w:cs="Times New Roman"/>
          <w:lang w:val="en-US"/>
        </w:rPr>
        <w:t xml:space="preserve"> </w:t>
      </w:r>
      <w:r w:rsidR="00693996">
        <w:rPr>
          <w:rFonts w:cs="Times New Roman"/>
          <w:lang w:val="en-US"/>
        </w:rPr>
        <w:t>shown</w:t>
      </w:r>
      <w:r w:rsidRPr="00E92F7C">
        <w:rPr>
          <w:rFonts w:cs="Times New Roman"/>
          <w:lang w:val="en-US"/>
        </w:rPr>
        <w:t xml:space="preserve"> to degrade</w:t>
      </w:r>
      <w:r w:rsidR="001651B4">
        <w:rPr>
          <w:rFonts w:cs="Times New Roman"/>
          <w:lang w:val="en-US"/>
        </w:rPr>
        <w:t xml:space="preserve"> in several ways</w:t>
      </w:r>
      <w:r w:rsidRPr="00E92F7C">
        <w:rPr>
          <w:rFonts w:cs="Times New Roman"/>
          <w:lang w:val="en-US"/>
        </w:rPr>
        <w:t xml:space="preserve">, reducing the operational properties of the materials. Investigations on refractory degradation in anode baking furnaces </w:t>
      </w:r>
      <w:r>
        <w:rPr>
          <w:rFonts w:cs="Times New Roman"/>
          <w:lang w:val="en-US"/>
        </w:rPr>
        <w:t xml:space="preserve">has been </w:t>
      </w:r>
      <w:r w:rsidRPr="00E92F7C">
        <w:rPr>
          <w:rFonts w:cs="Times New Roman"/>
          <w:lang w:val="en-US"/>
        </w:rPr>
        <w:t xml:space="preserve">carried out over the last decades, indicating gaseous corrosion by sodium fluorides </w:t>
      </w:r>
      <w:r w:rsidR="00693996">
        <w:rPr>
          <w:rFonts w:cs="Times New Roman"/>
          <w:lang w:val="en-US"/>
        </w:rPr>
        <w:t>and</w:t>
      </w:r>
      <w:r w:rsidRPr="00E92F7C">
        <w:rPr>
          <w:rFonts w:cs="Times New Roman"/>
          <w:lang w:val="en-US"/>
        </w:rPr>
        <w:t xml:space="preserve"> reducing </w:t>
      </w:r>
      <w:r w:rsidRPr="007F7B5D">
        <w:rPr>
          <w:lang w:val="en-GB"/>
        </w:rPr>
        <w:t>atmosphere being major cause</w:t>
      </w:r>
      <w:r w:rsidR="00693996">
        <w:rPr>
          <w:lang w:val="en-GB"/>
        </w:rPr>
        <w:t>s of</w:t>
      </w:r>
      <w:r w:rsidRPr="007F7B5D">
        <w:rPr>
          <w:lang w:val="en-GB"/>
        </w:rPr>
        <w:t xml:space="preserve"> degradation </w:t>
      </w:r>
      <w:r w:rsidR="008136B2">
        <w:rPr>
          <w:lang w:val="en-GB"/>
        </w:rPr>
        <w:fldChar w:fldCharType="begin">
          <w:fldData xml:space="preserve">PEVuZE5vdGU+PENpdGU+PEF1dGhvcj5CcmFuZHZpazwvQXV0aG9yPjxZZWFyPjIwMTc8L1llYXI+
PFJlY051bT4yPC9SZWNOdW0+PERpc3BsYXlUZXh0PlsxLTVdPC9EaXNwbGF5VGV4dD48cmVjb3Jk
PjxyZWMtbnVtYmVyPjI8L3JlYy1udW1iZXI+PGZvcmVpZ24ta2V5cz48a2V5IGFwcD0iRU4iIGRi
LWlkPSJ6YXphcDBwendhenY1c2UyejVzcDBwZWgyMnJ6MHJzenJ2c3YiIHRpbWVzdGFtcD0iMTUw
MzU2MjkxMyI+Mjwva2V5PjwvZm9yZWlnbi1rZXlzPjxyZWYtdHlwZSBuYW1lPSJKb3VybmFsIEFy
dGljbGUiPjE3PC9yZWYtdHlwZT48Y29udHJpYnV0b3JzPjxhdXRob3JzPjxhdXRob3I+VHJvbmQg
QnJhbmR2aWs8L2F1dGhvcj48YXV0aG9yPkFybmUgUGV0dGVyIFJhdHZpazwvYXV0aG9yPjxhdXRo
b3I+Wmhhb2h1aSBXYW5nPC9hdXRob3I+PGF1dGhvcj5Ub3IgR3JhbmRlPC9hdXRob3I+PC9hdXRo
b3JzPjwvY29udHJpYnV0b3JzPjx0aXRsZXM+PHRpdGxlPkludmVzdGlnYXRpb24gb2YgU3BlbnQg
UmVmcmFjdG9yeSBMaW5pbmcgaW4gYW4gQW5vZGUgQmFraW5nIEZ1cm5hY2U8L3RpdGxlPjxzZWNv
bmRhcnktdGl0bGU+TGlnaHQgTWV0YWxzPC9zZWNvbmRhcnktdGl0bGU+PC90aXRsZXM+PHBlcmlv
ZGljYWw+PGZ1bGwtdGl0bGU+TGlnaHQgTWV0YWxzPC9mdWxsLXRpdGxlPjwvcGVyaW9kaWNhbD48
cGFnZXM+MTI4MS0xMjg4PC9wYWdlcz48ZGF0ZXM+PHllYXI+MjAxNzwveWVhcj48L2RhdGVzPjx1
cmxzPjwvdXJscz48L3JlY29yZD48L0NpdGU+PENpdGU+PEF1dGhvcj5CdW5rPC9BdXRob3I+PFll
YXI+MTk5NTwvWWVhcj48UmVjTnVtPjM8L1JlY051bT48cmVjb3JkPjxyZWMtbnVtYmVyPjM8L3Jl
Yy1udW1iZXI+PGZvcmVpZ24ta2V5cz48a2V5IGFwcD0iRU4iIGRiLWlkPSJ6YXphcDBwendhenY1
c2UyejVzcDBwZWgyMnJ6MHJzenJ2c3YiIHRpbWVzdGFtcD0iMTUwMzU2Mjk1NCI+Mzwva2V5Pjwv
Zm9yZWlnbi1rZXlzPjxyZWYtdHlwZSBuYW1lPSJKb3VybmFsIEFydGljbGUiPjE3PC9yZWYtdHlw
ZT48Y29udHJpYnV0b3JzPjxhdXRob3JzPjxhdXRob3I+Ri4gQnVuazwvYXV0aG9yPjwvYXV0aG9y
cz48L2NvbnRyaWJ1dG9ycz48dGl0bGVzPjxzZWNvbmRhcnktdGl0bGU+TGlnaHQgTWV0YWxzPC9z
ZWNvbmRhcnktdGl0bGU+PC90aXRsZXM+PHBlcmlvZGljYWw+PGZ1bGwtdGl0bGU+TGlnaHQgTWV0
YWxzPC9mdWxsLXRpdGxlPjwvcGVyaW9kaWNhbD48cGFnZXM+NjQxLTY0NjwvcGFnZXM+PGRhdGVz
Pjx5ZWFyPjE5OTU8L3llYXI+PC9kYXRlcz48dXJscz48L3VybHM+PC9yZWNvcmQ+PC9DaXRlPjxD
aXRlPjxBdXRob3I+UHJpZ2VudDwvQXV0aG9yPjxZZWFyPjIwMDk8L1llYXI+PFJlY051bT40PC9S
ZWNOdW0+PHJlY29yZD48cmVjLW51bWJlcj40PC9yZWMtbnVtYmVyPjxmb3JlaWduLWtleXM+PGtl
eSBhcHA9IkVOIiBkYi1pZD0iemF6YXAwcHp3YXp2NXNlMno1c3AwcGVoMjJyejByc3pydnN2IiB0
aW1lc3RhbXA9IjE1MDM1NjMwMDkiPjQ8L2tleT48L2ZvcmVpZ24ta2V5cz48cmVmLXR5cGUgbmFt
ZT0iSm91cm5hbCBBcnRpY2xlIj4xNzwvcmVmLXR5cGU+PGNvbnRyaWJ1dG9ycz48YXV0aG9ycz48
YXV0aG9yPlAuIFByaWdlbnQ8L2F1dGhvcj48YXV0aG9yPk0uTC4gQm91Y2hldG91PC9hdXRob3I+
PC9hdXRob3JzPjwvY29udHJpYnV0b3JzPjx0aXRsZXM+PHNlY29uZGFyeS10aXRsZT5JbnRlcmNl
cmFtPC9zZWNvbmRhcnktdGl0bGU+PC90aXRsZXM+PHBlcmlvZGljYWw+PGZ1bGwtdGl0bGU+SW50
ZXJjZXJhbTwvZnVsbC10aXRsZT48L3BlcmlvZGljYWw+PHBhZ2VzPjIwMi0yMDk8L3BhZ2VzPjx2
b2x1bWU+NTg8L3ZvbHVtZT48ZGF0ZXM+PHllYXI+MjAwOTwveWVhcj48L2RhdGVzPjx1cmxzPjwv
dXJscz48L3JlY29yZD48L0NpdGU+PENpdGU+PEF1dGhvcj5QcmlnZW50PC9BdXRob3I+PFllYXI+
MjAwOTwvWWVhcj48UmVjTnVtPjU8L1JlY051bT48cmVjb3JkPjxyZWMtbnVtYmVyPjU8L3JlYy1u
dW1iZXI+PGZvcmVpZ24ta2V5cz48a2V5IGFwcD0iRU4iIGRiLWlkPSJ6YXphcDBwendhenY1c2Uy
ejVzcDBwZWgyMnJ6MHJzenJ2c3YiIHRpbWVzdGFtcD0iMTUwMzU2MzA0NSI+NTwva2V5PjwvZm9y
ZWlnbi1rZXlzPjxyZWYtdHlwZSBuYW1lPSJKb3VybmFsIEFydGljbGUiPjE3PC9yZWYtdHlwZT48
Y29udHJpYnV0b3JzPjxhdXRob3JzPjxhdXRob3I+UHJpZ2VudCwgUC48L2F1dGhvcj48YXV0aG9y
PkJvdWNoZXRvdSwgTS5MLjwvYXV0aG9yPjwvYXV0aG9ycz48L2NvbnRyaWJ1dG9ycz48dGl0bGVz
PjxzZWNvbmRhcnktdGl0bGU+SW50ZXJjZXJhbTwvc2Vjb25kYXJ5LXRpdGxlPjwvdGl0bGVzPjxw
ZXJpb2RpY2FsPjxmdWxsLXRpdGxlPkludGVyY2VyYW08L2Z1bGwtdGl0bGU+PC9wZXJpb2RpY2Fs
PjxwYWdlcz4xMjEtMTI2PC9wYWdlcz48dm9sdW1lPjU4PC92b2x1bWU+PGRhdGVzPjx5ZWFyPjIw
MDk8L3llYXI+PC9kYXRlcz48dXJscz48L3VybHM+PC9yZWNvcmQ+PC9DaXRlPjxDaXRlPjxBdXRo
b3I+T3VtYXJvdTwvQXV0aG9yPjxZZWFyPjIwMTY8L1llYXI+PFJlY051bT42PC9SZWNOdW0+PHJl
Y29yZD48cmVjLW51bWJlcj42PC9yZWMtbnVtYmVyPjxmb3JlaWduLWtleXM+PGtleSBhcHA9IkVO
IiBkYi1pZD0iemF6YXAwcHp3YXp2NXNlMno1c3AwcGVoMjJyejByc3pydnN2IiB0aW1lc3RhbXA9
IjE1MDM1NjMzNzgiPjY8L2tleT48L2ZvcmVpZ24ta2V5cz48cmVmLXR5cGUgbmFtZT0iSm91cm5h
bCBBcnRpY2xlIj4xNzwvcmVmLXR5cGU+PGNvbnRyaWJ1dG9ycz48YXV0aG9ycz48YXV0aG9yPk4u
IE91bWFyb3U8L2F1dGhvcj48YXV0aG9yPkQuIEtvY2FlZmU8L2F1dGhvcj48YXV0aG9yPlkuIEtv
Y2FlZmU8L2F1dGhvcj48L2F1dGhvcnM+PC9jb250cmlidXRvcnM+PHRpdGxlcz48c2Vjb25kYXJ5
LXRpdGxlPkNlcmFtaWNzIEludGVybmF0aW9uYWw8L3NlY29uZGFyeS10aXRsZT48L3RpdGxlcz48
cGVyaW9kaWNhbD48ZnVsbC10aXRsZT5DZXJhbWljcyBJbnRlcm5hdGlvbmFsPC9mdWxsLXRpdGxl
PjwvcGVyaW9kaWNhbD48cGFnZXM+MTg0MzYtMTg0NDI8L3BhZ2VzPjx2b2x1bWU+NDI8L3ZvbHVt
ZT48ZGF0ZXM+PHllYXI+MjAxNjwveWVhcj48L2RhdGVzPjx1cmxzPjwvdXJscz48L3JlY29yZD48
L0NpdGU+PC9FbmROb3RlPgB=
</w:fldData>
        </w:fldChar>
      </w:r>
      <w:r w:rsidR="008136B2">
        <w:rPr>
          <w:lang w:val="en-GB"/>
        </w:rPr>
        <w:instrText xml:space="preserve"> ADDIN EN.CITE </w:instrText>
      </w:r>
      <w:r w:rsidR="008136B2">
        <w:rPr>
          <w:lang w:val="en-GB"/>
        </w:rPr>
        <w:fldChar w:fldCharType="begin">
          <w:fldData xml:space="preserve">PEVuZE5vdGU+PENpdGU+PEF1dGhvcj5CcmFuZHZpazwvQXV0aG9yPjxZZWFyPjIwMTc8L1llYXI+
PFJlY051bT4yPC9SZWNOdW0+PERpc3BsYXlUZXh0PlsxLTVdPC9EaXNwbGF5VGV4dD48cmVjb3Jk
PjxyZWMtbnVtYmVyPjI8L3JlYy1udW1iZXI+PGZvcmVpZ24ta2V5cz48a2V5IGFwcD0iRU4iIGRi
LWlkPSJ6YXphcDBwendhenY1c2UyejVzcDBwZWgyMnJ6MHJzenJ2c3YiIHRpbWVzdGFtcD0iMTUw
MzU2MjkxMyI+Mjwva2V5PjwvZm9yZWlnbi1rZXlzPjxyZWYtdHlwZSBuYW1lPSJKb3VybmFsIEFy
dGljbGUiPjE3PC9yZWYtdHlwZT48Y29udHJpYnV0b3JzPjxhdXRob3JzPjxhdXRob3I+VHJvbmQg
QnJhbmR2aWs8L2F1dGhvcj48YXV0aG9yPkFybmUgUGV0dGVyIFJhdHZpazwvYXV0aG9yPjxhdXRo
b3I+Wmhhb2h1aSBXYW5nPC9hdXRob3I+PGF1dGhvcj5Ub3IgR3JhbmRlPC9hdXRob3I+PC9hdXRo
b3JzPjwvY29udHJpYnV0b3JzPjx0aXRsZXM+PHRpdGxlPkludmVzdGlnYXRpb24gb2YgU3BlbnQg
UmVmcmFjdG9yeSBMaW5pbmcgaW4gYW4gQW5vZGUgQmFraW5nIEZ1cm5hY2U8L3RpdGxlPjxzZWNv
bmRhcnktdGl0bGU+TGlnaHQgTWV0YWxzPC9zZWNvbmRhcnktdGl0bGU+PC90aXRsZXM+PHBlcmlv
ZGljYWw+PGZ1bGwtdGl0bGU+TGlnaHQgTWV0YWxzPC9mdWxsLXRpdGxlPjwvcGVyaW9kaWNhbD48
cGFnZXM+MTI4MS0xMjg4PC9wYWdlcz48ZGF0ZXM+PHllYXI+MjAxNzwveWVhcj48L2RhdGVzPjx1
cmxzPjwvdXJscz48L3JlY29yZD48L0NpdGU+PENpdGU+PEF1dGhvcj5CdW5rPC9BdXRob3I+PFll
YXI+MTk5NTwvWWVhcj48UmVjTnVtPjM8L1JlY051bT48cmVjb3JkPjxyZWMtbnVtYmVyPjM8L3Jl
Yy1udW1iZXI+PGZvcmVpZ24ta2V5cz48a2V5IGFwcD0iRU4iIGRiLWlkPSJ6YXphcDBwendhenY1
c2UyejVzcDBwZWgyMnJ6MHJzenJ2c3YiIHRpbWVzdGFtcD0iMTUwMzU2Mjk1NCI+Mzwva2V5Pjwv
Zm9yZWlnbi1rZXlzPjxyZWYtdHlwZSBuYW1lPSJKb3VybmFsIEFydGljbGUiPjE3PC9yZWYtdHlw
ZT48Y29udHJpYnV0b3JzPjxhdXRob3JzPjxhdXRob3I+Ri4gQnVuazwvYXV0aG9yPjwvYXV0aG9y
cz48L2NvbnRyaWJ1dG9ycz48dGl0bGVzPjxzZWNvbmRhcnktdGl0bGU+TGlnaHQgTWV0YWxzPC9z
ZWNvbmRhcnktdGl0bGU+PC90aXRsZXM+PHBlcmlvZGljYWw+PGZ1bGwtdGl0bGU+TGlnaHQgTWV0
YWxzPC9mdWxsLXRpdGxlPjwvcGVyaW9kaWNhbD48cGFnZXM+NjQxLTY0NjwvcGFnZXM+PGRhdGVz
Pjx5ZWFyPjE5OTU8L3llYXI+PC9kYXRlcz48dXJscz48L3VybHM+PC9yZWNvcmQ+PC9DaXRlPjxD
aXRlPjxBdXRob3I+UHJpZ2VudDwvQXV0aG9yPjxZZWFyPjIwMDk8L1llYXI+PFJlY051bT40PC9S
ZWNOdW0+PHJlY29yZD48cmVjLW51bWJlcj40PC9yZWMtbnVtYmVyPjxmb3JlaWduLWtleXM+PGtl
eSBhcHA9IkVOIiBkYi1pZD0iemF6YXAwcHp3YXp2NXNlMno1c3AwcGVoMjJyejByc3pydnN2IiB0
aW1lc3RhbXA9IjE1MDM1NjMwMDkiPjQ8L2tleT48L2ZvcmVpZ24ta2V5cz48cmVmLXR5cGUgbmFt
ZT0iSm91cm5hbCBBcnRpY2xlIj4xNzwvcmVmLXR5cGU+PGNvbnRyaWJ1dG9ycz48YXV0aG9ycz48
YXV0aG9yPlAuIFByaWdlbnQ8L2F1dGhvcj48YXV0aG9yPk0uTC4gQm91Y2hldG91PC9hdXRob3I+
PC9hdXRob3JzPjwvY29udHJpYnV0b3JzPjx0aXRsZXM+PHNlY29uZGFyeS10aXRsZT5JbnRlcmNl
cmFtPC9zZWNvbmRhcnktdGl0bGU+PC90aXRsZXM+PHBlcmlvZGljYWw+PGZ1bGwtdGl0bGU+SW50
ZXJjZXJhbTwvZnVsbC10aXRsZT48L3BlcmlvZGljYWw+PHBhZ2VzPjIwMi0yMDk8L3BhZ2VzPjx2
b2x1bWU+NTg8L3ZvbHVtZT48ZGF0ZXM+PHllYXI+MjAwOTwveWVhcj48L2RhdGVzPjx1cmxzPjwv
dXJscz48L3JlY29yZD48L0NpdGU+PENpdGU+PEF1dGhvcj5QcmlnZW50PC9BdXRob3I+PFllYXI+
MjAwOTwvWWVhcj48UmVjTnVtPjU8L1JlY051bT48cmVjb3JkPjxyZWMtbnVtYmVyPjU8L3JlYy1u
dW1iZXI+PGZvcmVpZ24ta2V5cz48a2V5IGFwcD0iRU4iIGRiLWlkPSJ6YXphcDBwendhenY1c2Uy
ejVzcDBwZWgyMnJ6MHJzenJ2c3YiIHRpbWVzdGFtcD0iMTUwMzU2MzA0NSI+NTwva2V5PjwvZm9y
ZWlnbi1rZXlzPjxyZWYtdHlwZSBuYW1lPSJKb3VybmFsIEFydGljbGUiPjE3PC9yZWYtdHlwZT48
Y29udHJpYnV0b3JzPjxhdXRob3JzPjxhdXRob3I+UHJpZ2VudCwgUC48L2F1dGhvcj48YXV0aG9y
PkJvdWNoZXRvdSwgTS5MLjwvYXV0aG9yPjwvYXV0aG9ycz48L2NvbnRyaWJ1dG9ycz48dGl0bGVz
PjxzZWNvbmRhcnktdGl0bGU+SW50ZXJjZXJhbTwvc2Vjb25kYXJ5LXRpdGxlPjwvdGl0bGVzPjxw
ZXJpb2RpY2FsPjxmdWxsLXRpdGxlPkludGVyY2VyYW08L2Z1bGwtdGl0bGU+PC9wZXJpb2RpY2Fs
PjxwYWdlcz4xMjEtMTI2PC9wYWdlcz48dm9sdW1lPjU4PC92b2x1bWU+PGRhdGVzPjx5ZWFyPjIw
MDk8L3llYXI+PC9kYXRlcz48dXJscz48L3VybHM+PC9yZWNvcmQ+PC9DaXRlPjxDaXRlPjxBdXRo
b3I+T3VtYXJvdTwvQXV0aG9yPjxZZWFyPjIwMTY8L1llYXI+PFJlY051bT42PC9SZWNOdW0+PHJl
Y29yZD48cmVjLW51bWJlcj42PC9yZWMtbnVtYmVyPjxmb3JlaWduLWtleXM+PGtleSBhcHA9IkVO
IiBkYi1pZD0iemF6YXAwcHp3YXp2NXNlMno1c3AwcGVoMjJyejByc3pydnN2IiB0aW1lc3RhbXA9
IjE1MDM1NjMzNzgiPjY8L2tleT48L2ZvcmVpZ24ta2V5cz48cmVmLXR5cGUgbmFtZT0iSm91cm5h
bCBBcnRpY2xlIj4xNzwvcmVmLXR5cGU+PGNvbnRyaWJ1dG9ycz48YXV0aG9ycz48YXV0aG9yPk4u
IE91bWFyb3U8L2F1dGhvcj48YXV0aG9yPkQuIEtvY2FlZmU8L2F1dGhvcj48YXV0aG9yPlkuIEtv
Y2FlZmU8L2F1dGhvcj48L2F1dGhvcnM+PC9jb250cmlidXRvcnM+PHRpdGxlcz48c2Vjb25kYXJ5
LXRpdGxlPkNlcmFtaWNzIEludGVybmF0aW9uYWw8L3NlY29uZGFyeS10aXRsZT48L3RpdGxlcz48
cGVyaW9kaWNhbD48ZnVsbC10aXRsZT5DZXJhbWljcyBJbnRlcm5hdGlvbmFsPC9mdWxsLXRpdGxl
PjwvcGVyaW9kaWNhbD48cGFnZXM+MTg0MzYtMTg0NDI8L3BhZ2VzPjx2b2x1bWU+NDI8L3ZvbHVt
ZT48ZGF0ZXM+PHllYXI+MjAxNjwveWVhcj48L2RhdGVzPjx1cmxzPjwvdXJscz48L3JlY29yZD48
L0NpdGU+PC9FbmROb3RlPgB=
</w:fldData>
        </w:fldChar>
      </w:r>
      <w:r w:rsidR="008136B2">
        <w:rPr>
          <w:lang w:val="en-GB"/>
        </w:rPr>
        <w:instrText xml:space="preserve"> ADDIN EN.CITE.DATA </w:instrText>
      </w:r>
      <w:r w:rsidR="008136B2">
        <w:rPr>
          <w:lang w:val="en-GB"/>
        </w:rPr>
      </w:r>
      <w:r w:rsidR="008136B2">
        <w:rPr>
          <w:lang w:val="en-GB"/>
        </w:rPr>
        <w:fldChar w:fldCharType="end"/>
      </w:r>
      <w:r w:rsidR="008136B2">
        <w:rPr>
          <w:lang w:val="en-GB"/>
        </w:rPr>
      </w:r>
      <w:r w:rsidR="008136B2">
        <w:rPr>
          <w:lang w:val="en-GB"/>
        </w:rPr>
        <w:fldChar w:fldCharType="separate"/>
      </w:r>
      <w:r w:rsidR="008136B2">
        <w:rPr>
          <w:noProof/>
          <w:lang w:val="en-GB"/>
        </w:rPr>
        <w:t>[1-5]</w:t>
      </w:r>
      <w:r w:rsidR="008136B2">
        <w:rPr>
          <w:lang w:val="en-GB"/>
        </w:rPr>
        <w:fldChar w:fldCharType="end"/>
      </w:r>
      <w:r w:rsidR="008136B2">
        <w:rPr>
          <w:lang w:val="en-GB"/>
        </w:rPr>
        <w:t>.</w:t>
      </w:r>
    </w:p>
    <w:p w14:paraId="21A9C479" w14:textId="6E26DEB2" w:rsidR="001651B4" w:rsidRDefault="00A65D14" w:rsidP="00A65D14">
      <w:pPr>
        <w:jc w:val="both"/>
        <w:rPr>
          <w:rFonts w:cs="Times New Roman"/>
          <w:lang w:val="en-US"/>
        </w:rPr>
      </w:pPr>
      <w:r w:rsidRPr="007F7B5D">
        <w:rPr>
          <w:lang w:val="en-GB"/>
        </w:rPr>
        <w:t>Detailed knowledge of the gas composition in the</w:t>
      </w:r>
      <w:r>
        <w:rPr>
          <w:rFonts w:cs="Times New Roman"/>
          <w:lang w:val="en-US"/>
        </w:rPr>
        <w:t xml:space="preserve"> furnace pits is thus of great interest</w:t>
      </w:r>
      <w:r w:rsidR="001651B4">
        <w:rPr>
          <w:rFonts w:cs="Times New Roman"/>
          <w:lang w:val="en-US"/>
        </w:rPr>
        <w:t xml:space="preserve"> to understand phenomena that cause degradation and to suggest possible preventive actions or materials improvements that may prolong the lifetime</w:t>
      </w:r>
      <w:r>
        <w:rPr>
          <w:rFonts w:cs="Times New Roman"/>
          <w:lang w:val="en-US"/>
        </w:rPr>
        <w:t xml:space="preserve">. </w:t>
      </w:r>
      <w:r w:rsidR="001651B4">
        <w:rPr>
          <w:rFonts w:cs="Times New Roman"/>
          <w:lang w:val="en-US"/>
        </w:rPr>
        <w:t xml:space="preserve">Due to the high costs of replacing flue walls, less degradation and longer lifetime will improve the economics of the anode baking as well as reduce the need for maintenance. </w:t>
      </w:r>
      <w:r>
        <w:rPr>
          <w:rFonts w:cs="Times New Roman"/>
          <w:lang w:val="en-US"/>
        </w:rPr>
        <w:t xml:space="preserve">However, there has not been carried out any measurements on the gas atmosphere in a furnace pit during anode baking, and the gas </w:t>
      </w:r>
      <w:proofErr w:type="gramStart"/>
      <w:r>
        <w:rPr>
          <w:rFonts w:cs="Times New Roman"/>
          <w:lang w:val="en-US"/>
        </w:rPr>
        <w:t>composition</w:t>
      </w:r>
      <w:proofErr w:type="gramEnd"/>
      <w:r>
        <w:rPr>
          <w:rFonts w:cs="Times New Roman"/>
          <w:lang w:val="en-US"/>
        </w:rPr>
        <w:t xml:space="preserve"> as a function of time and temperature is </w:t>
      </w:r>
      <w:r w:rsidR="001651B4">
        <w:rPr>
          <w:rFonts w:cs="Times New Roman"/>
          <w:lang w:val="en-US"/>
        </w:rPr>
        <w:t>largely</w:t>
      </w:r>
      <w:r>
        <w:rPr>
          <w:rFonts w:cs="Times New Roman"/>
          <w:lang w:val="en-US"/>
        </w:rPr>
        <w:t xml:space="preserve"> unknown.</w:t>
      </w:r>
    </w:p>
    <w:p w14:paraId="690A1113" w14:textId="23141A37" w:rsidR="005A47F3" w:rsidRDefault="00A65D14" w:rsidP="00A65D14">
      <w:pPr>
        <w:jc w:val="both"/>
        <w:rPr>
          <w:rFonts w:cs="Times New Roman"/>
          <w:lang w:val="en-US"/>
        </w:rPr>
      </w:pPr>
      <w:r>
        <w:rPr>
          <w:rFonts w:cs="Times New Roman"/>
          <w:lang w:val="en-US"/>
        </w:rPr>
        <w:t xml:space="preserve">Gas analysis in the aluminum industry is not a new field of activity. </w:t>
      </w:r>
      <w:r w:rsidR="005A47F3">
        <w:rPr>
          <w:rFonts w:cs="Times New Roman"/>
          <w:lang w:val="en-US"/>
        </w:rPr>
        <w:t xml:space="preserve">Production of anodes for primary </w:t>
      </w:r>
      <w:proofErr w:type="spellStart"/>
      <w:r w:rsidR="005A47F3">
        <w:rPr>
          <w:rFonts w:cs="Times New Roman"/>
          <w:lang w:val="en-US"/>
        </w:rPr>
        <w:t>aluminium</w:t>
      </w:r>
      <w:proofErr w:type="spellEnd"/>
      <w:r w:rsidR="005A47F3">
        <w:rPr>
          <w:rFonts w:cs="Times New Roman"/>
          <w:lang w:val="en-US"/>
        </w:rPr>
        <w:t xml:space="preserve"> production is one of the major sources of PAH emissions to air</w:t>
      </w:r>
      <w:r w:rsidR="0024780E">
        <w:rPr>
          <w:rFonts w:cs="Times New Roman"/>
          <w:lang w:val="en-US"/>
        </w:rPr>
        <w:t xml:space="preserve"> </w:t>
      </w:r>
      <w:r w:rsidR="0054179C">
        <w:rPr>
          <w:rFonts w:cs="Times New Roman"/>
          <w:lang w:val="en-US"/>
        </w:rPr>
        <w:fldChar w:fldCharType="begin"/>
      </w:r>
      <w:r w:rsidR="008102A4">
        <w:rPr>
          <w:rFonts w:cs="Times New Roman"/>
          <w:lang w:val="en-US"/>
        </w:rPr>
        <w:instrText xml:space="preserve"> ADDIN EN.CITE &lt;EndNote&gt;&lt;Cite&gt;&lt;Author&gt;Sentralbyrå&lt;/Author&gt;&lt;Year&gt;2015&lt;/Year&gt;&lt;RecNum&gt;1&lt;/RecNum&gt;&lt;DisplayText&gt;[6]&lt;/DisplayText&gt;&lt;record&gt;&lt;rec-number&gt;1&lt;/rec-number&gt;&lt;foreign-keys&gt;&lt;key app="EN" db-id="zazap0pzwazv5se2z5sp0peh22rz0rszrvsv" timestamp="1503560630"&gt;1&lt;/key&gt;&lt;/foreign-keys&gt;&lt;ref-type name="Web Page"&gt;12&lt;/ref-type&gt;&lt;contributors&gt;&lt;authors&gt;&lt;author&gt;Statistisk Sentralbyrå&lt;/author&gt;&lt;/authors&gt;&lt;/contributors&gt;&lt;titles&gt;&lt;title&gt;Emissions to air of hazardous substances and particulate matter, 1990-2015&lt;/title&gt;&lt;/titles&gt;&lt;dates&gt;&lt;year&gt;2015&lt;/year&gt;&lt;/dates&gt;&lt;pub-location&gt;https://www.ssb.no/en/milgiftn&lt;/pub-location&gt;&lt;publisher&gt;Statistisk Sentralbyrå&lt;/publisher&gt;&lt;urls&gt;&lt;/urls&gt;&lt;/record&gt;&lt;/Cite&gt;&lt;/EndNote&gt;</w:instrText>
      </w:r>
      <w:r w:rsidR="0054179C">
        <w:rPr>
          <w:rFonts w:cs="Times New Roman"/>
          <w:lang w:val="en-US"/>
        </w:rPr>
        <w:fldChar w:fldCharType="separate"/>
      </w:r>
      <w:r w:rsidR="0054179C">
        <w:rPr>
          <w:rFonts w:cs="Times New Roman"/>
          <w:noProof/>
          <w:lang w:val="en-US"/>
        </w:rPr>
        <w:t>[6]</w:t>
      </w:r>
      <w:r w:rsidR="0054179C">
        <w:rPr>
          <w:rFonts w:cs="Times New Roman"/>
          <w:lang w:val="en-US"/>
        </w:rPr>
        <w:fldChar w:fldCharType="end"/>
      </w:r>
      <w:r w:rsidR="0024780E">
        <w:rPr>
          <w:rFonts w:cs="Times New Roman"/>
          <w:lang w:val="en-US"/>
        </w:rPr>
        <w:t xml:space="preserve"> and analysis of PAH</w:t>
      </w:r>
      <w:r w:rsidR="00900B45">
        <w:rPr>
          <w:rFonts w:cs="Times New Roman"/>
          <w:lang w:val="en-US"/>
        </w:rPr>
        <w:t xml:space="preserve"> in the anode furnace off-gas is performed</w:t>
      </w:r>
      <w:r w:rsidR="0024780E">
        <w:rPr>
          <w:rFonts w:cs="Times New Roman"/>
          <w:lang w:val="en-US"/>
        </w:rPr>
        <w:t xml:space="preserve"> before, but more frequently after</w:t>
      </w:r>
      <w:r w:rsidR="00900B45">
        <w:rPr>
          <w:rFonts w:cs="Times New Roman"/>
          <w:lang w:val="en-US"/>
        </w:rPr>
        <w:t>, a gas treatment center.</w:t>
      </w:r>
      <w:r w:rsidR="0024780E">
        <w:rPr>
          <w:rFonts w:cs="Times New Roman"/>
          <w:lang w:val="en-US"/>
        </w:rPr>
        <w:t xml:space="preserve"> </w:t>
      </w:r>
      <w:r w:rsidR="00900B45">
        <w:rPr>
          <w:rFonts w:cs="Times New Roman"/>
          <w:lang w:val="en-US"/>
        </w:rPr>
        <w:t>The PAH emission levels are</w:t>
      </w:r>
      <w:r w:rsidR="00567BDF">
        <w:rPr>
          <w:rFonts w:cs="Times New Roman"/>
          <w:lang w:val="en-US"/>
        </w:rPr>
        <w:t xml:space="preserve"> balanced between formation and cracking mechanisms. It is expected that due to the higher temperature of the flue gas than that of the pit, there is a difference in PAH distribution between pit and flue gas.</w:t>
      </w:r>
    </w:p>
    <w:p w14:paraId="2C3FDF8B" w14:textId="006C4983" w:rsidR="001651B4" w:rsidRPr="007F7B5D" w:rsidRDefault="00A65D14" w:rsidP="00A65D14">
      <w:pPr>
        <w:jc w:val="both"/>
        <w:rPr>
          <w:lang w:val="en-US"/>
        </w:rPr>
      </w:pPr>
      <w:r>
        <w:rPr>
          <w:rFonts w:cs="Times New Roman"/>
          <w:lang w:val="en-US"/>
        </w:rPr>
        <w:t xml:space="preserve">Methods for analyzing </w:t>
      </w:r>
      <w:r w:rsidRPr="00E92F7C">
        <w:rPr>
          <w:rFonts w:cs="Times New Roman"/>
          <w:lang w:val="en-US"/>
        </w:rPr>
        <w:t xml:space="preserve">exhaust </w:t>
      </w:r>
      <w:r w:rsidRPr="00276F42">
        <w:rPr>
          <w:lang w:val="en-US"/>
        </w:rPr>
        <w:t xml:space="preserve">gas from an anode baking furnace both before and after dry scrubbing has proved to be feasible </w:t>
      </w:r>
      <w:r w:rsidR="0076703C">
        <w:rPr>
          <w:lang w:val="en-US"/>
        </w:rPr>
        <w:fldChar w:fldCharType="begin"/>
      </w:r>
      <w:r w:rsidR="0054179C">
        <w:rPr>
          <w:lang w:val="en-US"/>
        </w:rPr>
        <w:instrText xml:space="preserve"> ADDIN EN.CITE &lt;EndNote&gt;&lt;Cite&gt;&lt;Author&gt;Kjos&lt;/Author&gt;&lt;Year&gt;2014&lt;/Year&gt;&lt;RecNum&gt;7&lt;/RecNum&gt;&lt;DisplayText&gt;[7]&lt;/DisplayText&gt;&lt;record&gt;&lt;rec-number&gt;7&lt;/rec-number&gt;&lt;foreign-keys&gt;&lt;key app="EN" db-id="zazap0pzwazv5se2z5sp0peh22rz0rszrvsv" timestamp="1503563456"&gt;7&lt;/key&gt;&lt;/foreign-keys&gt;&lt;ref-type name="Journal Article"&gt;17&lt;/ref-type&gt;&lt;contributors&gt;&lt;authors&gt;&lt;author&gt;Ole Sigmund Kjos&lt;/author&gt;&lt;author&gt;Thor Anders Aarhaug&lt;/author&gt;&lt;author&gt;Bernd Wittgens&lt;/author&gt;&lt;author&gt;Anders Brunsvik&lt;/author&gt;&lt;/authors&gt;&lt;/contributors&gt;&lt;titles&gt;&lt;secondary-title&gt;Light Metals&lt;/secondary-title&gt;&lt;/titles&gt;&lt;periodical&gt;&lt;full-title&gt;Light Metals&lt;/full-title&gt;&lt;/periodical&gt;&lt;pages&gt;541-546&lt;/pages&gt;&lt;dates&gt;&lt;year&gt;2014&lt;/year&gt;&lt;/dates&gt;&lt;urls&gt;&lt;/urls&gt;&lt;/record&gt;&lt;/Cite&gt;&lt;/EndNote&gt;</w:instrText>
      </w:r>
      <w:r w:rsidR="0076703C">
        <w:rPr>
          <w:lang w:val="en-US"/>
        </w:rPr>
        <w:fldChar w:fldCharType="separate"/>
      </w:r>
      <w:r w:rsidR="0054179C">
        <w:rPr>
          <w:noProof/>
          <w:lang w:val="en-US"/>
        </w:rPr>
        <w:t>[7]</w:t>
      </w:r>
      <w:r w:rsidR="0076703C">
        <w:rPr>
          <w:lang w:val="en-US"/>
        </w:rPr>
        <w:fldChar w:fldCharType="end"/>
      </w:r>
      <w:r w:rsidRPr="00276F42">
        <w:rPr>
          <w:lang w:val="en-US"/>
        </w:rPr>
        <w:t xml:space="preserve">. </w:t>
      </w:r>
      <w:r w:rsidRPr="007F7B5D">
        <w:rPr>
          <w:lang w:val="en-GB"/>
        </w:rPr>
        <w:t>In</w:t>
      </w:r>
      <w:r>
        <w:rPr>
          <w:rFonts w:cs="Times New Roman"/>
          <w:lang w:val="en-US"/>
        </w:rPr>
        <w:t xml:space="preserve"> addition, there has been experiments measuring the off-gas from the electrolysis cell, both with respect to formation </w:t>
      </w:r>
      <w:proofErr w:type="gramStart"/>
      <w:r>
        <w:rPr>
          <w:rFonts w:cs="Times New Roman"/>
          <w:lang w:val="en-US"/>
        </w:rPr>
        <w:t>mechanisms for certain</w:t>
      </w:r>
      <w:proofErr w:type="gramEnd"/>
      <w:r>
        <w:rPr>
          <w:rFonts w:cs="Times New Roman"/>
          <w:lang w:val="en-US"/>
        </w:rPr>
        <w:t xml:space="preserve"> gas components, but also as a</w:t>
      </w:r>
      <w:r w:rsidR="008540AE">
        <w:rPr>
          <w:rFonts w:cs="Times New Roman"/>
          <w:lang w:val="en-US"/>
        </w:rPr>
        <w:t>n</w:t>
      </w:r>
      <w:r>
        <w:rPr>
          <w:rFonts w:cs="Times New Roman"/>
          <w:lang w:val="en-US"/>
        </w:rPr>
        <w:t xml:space="preserve"> emission control step before </w:t>
      </w:r>
      <w:r w:rsidRPr="007F7B5D">
        <w:rPr>
          <w:lang w:val="en-GB"/>
        </w:rPr>
        <w:t>release to the surroundings</w:t>
      </w:r>
      <w:r w:rsidR="00416F7B">
        <w:rPr>
          <w:lang w:val="en-GB"/>
        </w:rPr>
        <w:t xml:space="preserve"> </w:t>
      </w:r>
      <w:r w:rsidR="0076703C">
        <w:rPr>
          <w:lang w:val="en-US"/>
        </w:rPr>
        <w:fldChar w:fldCharType="begin">
          <w:fldData xml:space="preserve">PEVuZE5vdGU+PENpdGU+PEF1dGhvcj5BYXJoYXVnPC9BdXRob3I+PFllYXI+MjAxNDwvWWVhcj48
UmVjTnVtPjk8L1JlY051bT48RGlzcGxheVRleHQ+WzctMTBdPC9EaXNwbGF5VGV4dD48cmVjb3Jk
PjxyZWMtbnVtYmVyPjk8L3JlYy1udW1iZXI+PGZvcmVpZ24ta2V5cz48a2V5IGFwcD0iRU4iIGRi
LWlkPSJ6YXphcDBwendhenY1c2UyejVzcDBwZWgyMnJ6MHJzenJ2c3YiIHRpbWVzdGFtcD0iMTUw
MzU2MzY4MiI+OTwva2V5PjwvZm9yZWlnbi1rZXlzPjxyZWYtdHlwZSBuYW1lPSJKb3VybmFsIEFy
dGljbGUiPjE3PC9yZWYtdHlwZT48Y29udHJpYnV0b3JzPjxhdXRob3JzPjxhdXRob3I+VGhvciBB
bmRlcnMgQWFyaGF1ZzwvYXV0aG9yPjxhdXRob3I+QWxhaW4gRmVyYmVyPC9hdXRob3I+PGF1dGhv
cj5PbGUgU2lnbXVuZCBLam9zPC9hdXRob3I+PGF1dGhvcj5IZWlrbyBHYWVydG5lcjwvYXV0aG9y
PjwvYXV0aG9ycz48L2NvbnRyaWJ1dG9ycz48dGl0bGVzPjxzZWNvbmRhcnktdGl0bGU+TGlnaHQg
TWV0YWxzPC9zZWNvbmRhcnktdGl0bGU+PC90aXRsZXM+PHBlcmlvZGljYWw+PGZ1bGwtdGl0bGU+
TGlnaHQgTWV0YWxzPC9mdWxsLXRpdGxlPjwvcGVyaW9kaWNhbD48cGFnZXM+NjQ3LTY1MjwvcGFn
ZXM+PGRhdGVzPjx5ZWFyPjIwMTQ8L3llYXI+PC9kYXRlcz48dXJscz48L3VybHM+PC9yZWNvcmQ+
PC9DaXRlPjxDaXRlPjxBdXRob3I+QWFyaGF1ZzwvQXV0aG9yPjxZZWFyPjIwMTY8L1llYXI+PFJl
Y051bT44PC9SZWNOdW0+PHJlY29yZD48cmVjLW51bWJlcj44PC9yZWMtbnVtYmVyPjxmb3JlaWdu
LWtleXM+PGtleSBhcHA9IkVOIiBkYi1pZD0iemF6YXAwcHp3YXp2NXNlMno1c3AwcGVoMjJyejBy
c3pydnN2IiB0aW1lc3RhbXA9IjE1MDM1NjM1NzYiPjg8L2tleT48L2ZvcmVpZ24ta2V5cz48cmVm
LXR5cGUgbmFtZT0iSm91cm5hbCBBcnRpY2xlIj4xNzwvcmVmLXR5cGU+PGNvbnRyaWJ1dG9ycz48
YXV0aG9ycz48YXV0aG9yPlRob3IgQW5kZXJzIEFhcmhhdWc8L2F1dGhvcj48YXV0aG9yPk9sZSBT
aWdtdW5kIEtqb3M8L2F1dGhvcj48YXV0aG9yPkhlbnJpayBHdWRicmFuZHNlbjwvYXV0aG9yPjxh
dXRob3I+QWxhaW4gRmVyYmVyPC9hdXRob3I+PGF1dGhvcj5Bcm5lIFBldHRlciBSYXR2aWs8L2F1
dGhvcj48L2F1dGhvcnM+PC9jb250cmlidXRvcnM+PHRpdGxlcz48c2Vjb25kYXJ5LXRpdGxlPkxp
Z2h0IG1ldGFsczwvc2Vjb25kYXJ5LXRpdGxlPjwvdGl0bGVzPjxwZXJpb2RpY2FsPjxmdWxsLXRp
dGxlPkxpZ2h0IE1ldGFsczwvZnVsbC10aXRsZT48L3BlcmlvZGljYWw+PHBhZ2VzPjUzMy01MzY8
L3BhZ2VzPjxkYXRlcz48eWVhcj4yMDE2PC95ZWFyPjwvZGF0ZXM+PHVybHM+PC91cmxzPjwvcmVj
b3JkPjwvQ2l0ZT48Q2l0ZT48QXV0aG9yPktqb3M8L0F1dGhvcj48WWVhcj4yMDE0PC9ZZWFyPjxS
ZWNOdW0+NzwvUmVjTnVtPjxyZWNvcmQ+PHJlYy1udW1iZXI+NzwvcmVjLW51bWJlcj48Zm9yZWln
bi1rZXlzPjxrZXkgYXBwPSJFTiIgZGItaWQ9InphemFwMHB6d2F6djVzZTJ6NXNwMHBlaDIycnow
cnN6cnZzdiIgdGltZXN0YW1wPSIxNTAzNTYzNDU2Ij43PC9rZXk+PC9mb3JlaWduLWtleXM+PHJl
Zi10eXBlIG5hbWU9IkpvdXJuYWwgQXJ0aWNsZSI+MTc8L3JlZi10eXBlPjxjb250cmlidXRvcnM+
PGF1dGhvcnM+PGF1dGhvcj5PbGUgU2lnbXVuZCBLam9zPC9hdXRob3I+PGF1dGhvcj5UaG9yIEFu
ZGVycyBBYXJoYXVnPC9hdXRob3I+PGF1dGhvcj5CZXJuZCBXaXR0Z2VuczwvYXV0aG9yPjxhdXRo
b3I+QW5kZXJzIEJydW5zdmlrPC9hdXRob3I+PC9hdXRob3JzPjwvY29udHJpYnV0b3JzPjx0aXRs
ZXM+PHNlY29uZGFyeS10aXRsZT5MaWdodCBNZXRhbHM8L3NlY29uZGFyeS10aXRsZT48L3RpdGxl
cz48cGVyaW9kaWNhbD48ZnVsbC10aXRsZT5MaWdodCBNZXRhbHM8L2Z1bGwtdGl0bGU+PC9wZXJp
b2RpY2FsPjxwYWdlcz41NDEtNTQ2PC9wYWdlcz48ZGF0ZXM+PHllYXI+MjAxNDwveWVhcj48L2Rh
dGVzPjx1cmxzPjwvdXJscz48L3JlY29yZD48L0NpdGU+PENpdGU+PEF1dGhvcj5UaG9ybmU8L0F1
dGhvcj48WWVhcj4yMDEzPC9ZZWFyPjxSZWNOdW0+MTA8L1JlY051bT48cmVjb3JkPjxyZWMtbnVt
YmVyPjEwPC9yZWMtbnVtYmVyPjxmb3JlaWduLWtleXM+PGtleSBhcHA9IkVOIiBkYi1pZD0iemF6
YXAwcHp3YXp2NXNlMno1c3AwcGVoMjJyejByc3pydnN2IiB0aW1lc3RhbXA9IjE1MDM1NjM3NTUi
PjEwPC9rZXk+PC9mb3JlaWduLWtleXM+PHJlZi10eXBlIG5hbWU9IkpvdXJuYWwgQXJ0aWNsZSI+
MTc8L3JlZi10eXBlPjxjb250cmlidXRvcnM+PGF1dGhvcnM+PGF1dGhvcj5SZWJlY2NhIEouIFRo
b3JuZTwvYXV0aG9yPjxhdXRob3I+Q2FtaWxsYSBTb21tZXJzZXRoPC9hdXRob3I+PGF1dGhvcj5F
c3BlbiBTYW5kbmVzPC9hdXRob3I+PGF1dGhvcj5PbGUgU2lnbXVuZCBLam9zPC9hdXRob3I+PGF1
dGhvcj5UaG9yIEFuZGVycyBBYXJoYXVnPC9hdXRob3I+PGF1dGhvcj5MLlAuIExvc3NpdXM8L2F1
dGhvcj48YXV0aG9yPkhvZ25lIExpbmdhPC9hdXRob3I+PGF1dGhvcj5SYXR2aWssIEFybmUgUGV0
dGVyPC9hdXRob3I+PC9hdXRob3JzPjwvY29udHJpYnV0b3JzPjx0aXRsZXM+PHNlY29uZGFyeS10
aXRsZT5MaWdodCBNZXRhbHM8L3NlY29uZGFyeS10aXRsZT48L3RpdGxlcz48cGVyaW9kaWNhbD48
ZnVsbC10aXRsZT5MaWdodCBNZXRhbHM8L2Z1bGwtdGl0bGU+PC9wZXJpb2RpY2FsPjxwYWdlcz4x
MjA3LTEyMTA8L3BhZ2VzPjxkYXRlcz48eWVhcj4yMDEzPC95ZWFyPjwvZGF0ZXM+PHVybHM+PC91
cmxzPjwvcmVjb3JkPjwvQ2l0ZT48L0VuZE5vdGU+AG==
</w:fldData>
        </w:fldChar>
      </w:r>
      <w:r w:rsidR="0054179C">
        <w:rPr>
          <w:lang w:val="en-US"/>
        </w:rPr>
        <w:instrText xml:space="preserve"> ADDIN EN.CITE </w:instrText>
      </w:r>
      <w:r w:rsidR="0054179C">
        <w:rPr>
          <w:lang w:val="en-US"/>
        </w:rPr>
        <w:fldChar w:fldCharType="begin">
          <w:fldData xml:space="preserve">PEVuZE5vdGU+PENpdGU+PEF1dGhvcj5BYXJoYXVnPC9BdXRob3I+PFllYXI+MjAxNDwvWWVhcj48
UmVjTnVtPjk8L1JlY051bT48RGlzcGxheVRleHQ+WzctMTBdPC9EaXNwbGF5VGV4dD48cmVjb3Jk
PjxyZWMtbnVtYmVyPjk8L3JlYy1udW1iZXI+PGZvcmVpZ24ta2V5cz48a2V5IGFwcD0iRU4iIGRi
LWlkPSJ6YXphcDBwendhenY1c2UyejVzcDBwZWgyMnJ6MHJzenJ2c3YiIHRpbWVzdGFtcD0iMTUw
MzU2MzY4MiI+OTwva2V5PjwvZm9yZWlnbi1rZXlzPjxyZWYtdHlwZSBuYW1lPSJKb3VybmFsIEFy
dGljbGUiPjE3PC9yZWYtdHlwZT48Y29udHJpYnV0b3JzPjxhdXRob3JzPjxhdXRob3I+VGhvciBB
bmRlcnMgQWFyaGF1ZzwvYXV0aG9yPjxhdXRob3I+QWxhaW4gRmVyYmVyPC9hdXRob3I+PGF1dGhv
cj5PbGUgU2lnbXVuZCBLam9zPC9hdXRob3I+PGF1dGhvcj5IZWlrbyBHYWVydG5lcjwvYXV0aG9y
PjwvYXV0aG9ycz48L2NvbnRyaWJ1dG9ycz48dGl0bGVzPjxzZWNvbmRhcnktdGl0bGU+TGlnaHQg
TWV0YWxzPC9zZWNvbmRhcnktdGl0bGU+PC90aXRsZXM+PHBlcmlvZGljYWw+PGZ1bGwtdGl0bGU+
TGlnaHQgTWV0YWxzPC9mdWxsLXRpdGxlPjwvcGVyaW9kaWNhbD48cGFnZXM+NjQ3LTY1MjwvcGFn
ZXM+PGRhdGVzPjx5ZWFyPjIwMTQ8L3llYXI+PC9kYXRlcz48dXJscz48L3VybHM+PC9yZWNvcmQ+
PC9DaXRlPjxDaXRlPjxBdXRob3I+QWFyaGF1ZzwvQXV0aG9yPjxZZWFyPjIwMTY8L1llYXI+PFJl
Y051bT44PC9SZWNOdW0+PHJlY29yZD48cmVjLW51bWJlcj44PC9yZWMtbnVtYmVyPjxmb3JlaWdu
LWtleXM+PGtleSBhcHA9IkVOIiBkYi1pZD0iemF6YXAwcHp3YXp2NXNlMno1c3AwcGVoMjJyejBy
c3pydnN2IiB0aW1lc3RhbXA9IjE1MDM1NjM1NzYiPjg8L2tleT48L2ZvcmVpZ24ta2V5cz48cmVm
LXR5cGUgbmFtZT0iSm91cm5hbCBBcnRpY2xlIj4xNzwvcmVmLXR5cGU+PGNvbnRyaWJ1dG9ycz48
YXV0aG9ycz48YXV0aG9yPlRob3IgQW5kZXJzIEFhcmhhdWc8L2F1dGhvcj48YXV0aG9yPk9sZSBT
aWdtdW5kIEtqb3M8L2F1dGhvcj48YXV0aG9yPkhlbnJpayBHdWRicmFuZHNlbjwvYXV0aG9yPjxh
dXRob3I+QWxhaW4gRmVyYmVyPC9hdXRob3I+PGF1dGhvcj5Bcm5lIFBldHRlciBSYXR2aWs8L2F1
dGhvcj48L2F1dGhvcnM+PC9jb250cmlidXRvcnM+PHRpdGxlcz48c2Vjb25kYXJ5LXRpdGxlPkxp
Z2h0IG1ldGFsczwvc2Vjb25kYXJ5LXRpdGxlPjwvdGl0bGVzPjxwZXJpb2RpY2FsPjxmdWxsLXRp
dGxlPkxpZ2h0IE1ldGFsczwvZnVsbC10aXRsZT48L3BlcmlvZGljYWw+PHBhZ2VzPjUzMy01MzY8
L3BhZ2VzPjxkYXRlcz48eWVhcj4yMDE2PC95ZWFyPjwvZGF0ZXM+PHVybHM+PC91cmxzPjwvcmVj
b3JkPjwvQ2l0ZT48Q2l0ZT48QXV0aG9yPktqb3M8L0F1dGhvcj48WWVhcj4yMDE0PC9ZZWFyPjxS
ZWNOdW0+NzwvUmVjTnVtPjxyZWNvcmQ+PHJlYy1udW1iZXI+NzwvcmVjLW51bWJlcj48Zm9yZWln
bi1rZXlzPjxrZXkgYXBwPSJFTiIgZGItaWQ9InphemFwMHB6d2F6djVzZTJ6NXNwMHBlaDIycnow
cnN6cnZzdiIgdGltZXN0YW1wPSIxNTAzNTYzNDU2Ij43PC9rZXk+PC9mb3JlaWduLWtleXM+PHJl
Zi10eXBlIG5hbWU9IkpvdXJuYWwgQXJ0aWNsZSI+MTc8L3JlZi10eXBlPjxjb250cmlidXRvcnM+
PGF1dGhvcnM+PGF1dGhvcj5PbGUgU2lnbXVuZCBLam9zPC9hdXRob3I+PGF1dGhvcj5UaG9yIEFu
ZGVycyBBYXJoYXVnPC9hdXRob3I+PGF1dGhvcj5CZXJuZCBXaXR0Z2VuczwvYXV0aG9yPjxhdXRo
b3I+QW5kZXJzIEJydW5zdmlrPC9hdXRob3I+PC9hdXRob3JzPjwvY29udHJpYnV0b3JzPjx0aXRs
ZXM+PHNlY29uZGFyeS10aXRsZT5MaWdodCBNZXRhbHM8L3NlY29uZGFyeS10aXRsZT48L3RpdGxl
cz48cGVyaW9kaWNhbD48ZnVsbC10aXRsZT5MaWdodCBNZXRhbHM8L2Z1bGwtdGl0bGU+PC9wZXJp
b2RpY2FsPjxwYWdlcz41NDEtNTQ2PC9wYWdlcz48ZGF0ZXM+PHllYXI+MjAxNDwveWVhcj48L2Rh
dGVzPjx1cmxzPjwvdXJscz48L3JlY29yZD48L0NpdGU+PENpdGU+PEF1dGhvcj5UaG9ybmU8L0F1
dGhvcj48WWVhcj4yMDEzPC9ZZWFyPjxSZWNOdW0+MTA8L1JlY051bT48cmVjb3JkPjxyZWMtbnVt
YmVyPjEwPC9yZWMtbnVtYmVyPjxmb3JlaWduLWtleXM+PGtleSBhcHA9IkVOIiBkYi1pZD0iemF6
YXAwcHp3YXp2NXNlMno1c3AwcGVoMjJyejByc3pydnN2IiB0aW1lc3RhbXA9IjE1MDM1NjM3NTUi
PjEwPC9rZXk+PC9mb3JlaWduLWtleXM+PHJlZi10eXBlIG5hbWU9IkpvdXJuYWwgQXJ0aWNsZSI+
MTc8L3JlZi10eXBlPjxjb250cmlidXRvcnM+PGF1dGhvcnM+PGF1dGhvcj5SZWJlY2NhIEouIFRo
b3JuZTwvYXV0aG9yPjxhdXRob3I+Q2FtaWxsYSBTb21tZXJzZXRoPC9hdXRob3I+PGF1dGhvcj5F
c3BlbiBTYW5kbmVzPC9hdXRob3I+PGF1dGhvcj5PbGUgU2lnbXVuZCBLam9zPC9hdXRob3I+PGF1
dGhvcj5UaG9yIEFuZGVycyBBYXJoYXVnPC9hdXRob3I+PGF1dGhvcj5MLlAuIExvc3NpdXM8L2F1
dGhvcj48YXV0aG9yPkhvZ25lIExpbmdhPC9hdXRob3I+PGF1dGhvcj5SYXR2aWssIEFybmUgUGV0
dGVyPC9hdXRob3I+PC9hdXRob3JzPjwvY29udHJpYnV0b3JzPjx0aXRsZXM+PHNlY29uZGFyeS10
aXRsZT5MaWdodCBNZXRhbHM8L3NlY29uZGFyeS10aXRsZT48L3RpdGxlcz48cGVyaW9kaWNhbD48
ZnVsbC10aXRsZT5MaWdodCBNZXRhbHM8L2Z1bGwtdGl0bGU+PC9wZXJpb2RpY2FsPjxwYWdlcz4x
MjA3LTEyMTA8L3BhZ2VzPjxkYXRlcz48eWVhcj4yMDEzPC95ZWFyPjwvZGF0ZXM+PHVybHM+PC91
cmxzPjwvcmVjb3JkPjwvQ2l0ZT48L0VuZE5vdGU+AG==
</w:fldData>
        </w:fldChar>
      </w:r>
      <w:r w:rsidR="0054179C">
        <w:rPr>
          <w:lang w:val="en-US"/>
        </w:rPr>
        <w:instrText xml:space="preserve"> ADDIN EN.CITE.DATA </w:instrText>
      </w:r>
      <w:r w:rsidR="0054179C">
        <w:rPr>
          <w:lang w:val="en-US"/>
        </w:rPr>
      </w:r>
      <w:r w:rsidR="0054179C">
        <w:rPr>
          <w:lang w:val="en-US"/>
        </w:rPr>
        <w:fldChar w:fldCharType="end"/>
      </w:r>
      <w:r w:rsidR="0076703C">
        <w:rPr>
          <w:lang w:val="en-US"/>
        </w:rPr>
      </w:r>
      <w:r w:rsidR="0076703C">
        <w:rPr>
          <w:lang w:val="en-US"/>
        </w:rPr>
        <w:fldChar w:fldCharType="separate"/>
      </w:r>
      <w:r w:rsidR="0054179C">
        <w:rPr>
          <w:noProof/>
          <w:lang w:val="en-US"/>
        </w:rPr>
        <w:t>[7-10]</w:t>
      </w:r>
      <w:r w:rsidR="0076703C">
        <w:rPr>
          <w:lang w:val="en-US"/>
        </w:rPr>
        <w:fldChar w:fldCharType="end"/>
      </w:r>
      <w:r w:rsidR="00416F7B">
        <w:rPr>
          <w:lang w:val="en-US"/>
        </w:rPr>
        <w:t>.</w:t>
      </w:r>
    </w:p>
    <w:p w14:paraId="382FF89F" w14:textId="7069468E" w:rsidR="00A65D14" w:rsidRDefault="00A65D14" w:rsidP="00A65D14">
      <w:pPr>
        <w:jc w:val="both"/>
        <w:rPr>
          <w:rFonts w:cs="Times New Roman"/>
          <w:lang w:val="en-US"/>
        </w:rPr>
      </w:pPr>
      <w:r w:rsidRPr="007F7B5D">
        <w:rPr>
          <w:lang w:val="en-GB"/>
        </w:rPr>
        <w:lastRenderedPageBreak/>
        <w:t>The baking furnace is constructed with baking sections connected in</w:t>
      </w:r>
      <w:r>
        <w:rPr>
          <w:rFonts w:cs="Times New Roman"/>
          <w:lang w:val="en-US"/>
        </w:rPr>
        <w:t xml:space="preserve"> series, where the anode baking process is at various stages simultaneously throughout the</w:t>
      </w:r>
      <w:r w:rsidR="008540AE">
        <w:rPr>
          <w:rFonts w:cs="Times New Roman"/>
          <w:lang w:val="en-US"/>
        </w:rPr>
        <w:t xml:space="preserve"> sections in the</w:t>
      </w:r>
      <w:r>
        <w:rPr>
          <w:rFonts w:cs="Times New Roman"/>
          <w:lang w:val="en-US"/>
        </w:rPr>
        <w:t xml:space="preserve"> furnace. Due to the large variations in temperature, the gas composition in each section relates to where in the baking cycle the given section is. By analyzing the exhaust gas from the entire furnace, the gas composition will be an average of all sections in the furnace, resulting in no specific information from the individual sections during the baking process. The average measurements from the exhaust gas is important when </w:t>
      </w:r>
      <w:r w:rsidR="008540AE">
        <w:rPr>
          <w:rFonts w:cs="Times New Roman"/>
          <w:lang w:val="en-US"/>
        </w:rPr>
        <w:t xml:space="preserve">related to atmospheric </w:t>
      </w:r>
      <w:r>
        <w:rPr>
          <w:rFonts w:cs="Times New Roman"/>
          <w:lang w:val="en-US"/>
        </w:rPr>
        <w:t>emissions, but less important when considering material degradation of the flue walls. In order to describe the gas composition in a given section throughout the baking cycle, a new setup had to be de</w:t>
      </w:r>
      <w:r w:rsidR="00BB04DF">
        <w:rPr>
          <w:rFonts w:cs="Times New Roman"/>
          <w:lang w:val="en-US"/>
        </w:rPr>
        <w:t xml:space="preserve">vised. </w:t>
      </w:r>
      <w:r>
        <w:rPr>
          <w:rFonts w:cs="Times New Roman"/>
          <w:lang w:val="en-US"/>
        </w:rPr>
        <w:t xml:space="preserve">Based on previous knowledge on gas analysis, an experimental setup for gas sampling in an </w:t>
      </w:r>
      <w:proofErr w:type="gramStart"/>
      <w:r>
        <w:rPr>
          <w:rFonts w:cs="Times New Roman"/>
          <w:lang w:val="en-US"/>
        </w:rPr>
        <w:t>anode baking</w:t>
      </w:r>
      <w:proofErr w:type="gramEnd"/>
      <w:r>
        <w:rPr>
          <w:rFonts w:cs="Times New Roman"/>
          <w:lang w:val="en-US"/>
        </w:rPr>
        <w:t xml:space="preserve"> furnace was designed. The main idea was to use a probe to sample gas from the </w:t>
      </w:r>
      <w:r w:rsidR="001651B4">
        <w:rPr>
          <w:rFonts w:cs="Times New Roman"/>
          <w:lang w:val="en-US"/>
        </w:rPr>
        <w:t>lower part</w:t>
      </w:r>
      <w:r>
        <w:rPr>
          <w:rFonts w:cs="Times New Roman"/>
          <w:lang w:val="en-US"/>
        </w:rPr>
        <w:t xml:space="preserve"> of pit while operating the anode baking furnace, and subsequently analyze the composition by Fourier transformed infrared spectroscopy</w:t>
      </w:r>
      <w:r w:rsidR="001651B4">
        <w:rPr>
          <w:rFonts w:cs="Times New Roman"/>
          <w:lang w:val="en-US"/>
        </w:rPr>
        <w:t xml:space="preserve"> (FTIR)</w:t>
      </w:r>
      <w:r>
        <w:rPr>
          <w:rFonts w:cs="Times New Roman"/>
          <w:lang w:val="en-US"/>
        </w:rPr>
        <w:t xml:space="preserve">. </w:t>
      </w:r>
      <w:r w:rsidR="00237754">
        <w:rPr>
          <w:rFonts w:cs="Times New Roman"/>
          <w:lang w:val="en-US"/>
        </w:rPr>
        <w:t>Due to the novelty of this approach, an</w:t>
      </w:r>
      <w:r>
        <w:rPr>
          <w:rFonts w:cs="Times New Roman"/>
          <w:lang w:val="en-US"/>
        </w:rPr>
        <w:t xml:space="preserve"> open </w:t>
      </w:r>
      <w:proofErr w:type="gramStart"/>
      <w:r w:rsidR="00237754">
        <w:rPr>
          <w:rFonts w:cs="Times New Roman"/>
          <w:lang w:val="en-US"/>
        </w:rPr>
        <w:t>pit</w:t>
      </w:r>
      <w:r>
        <w:rPr>
          <w:rFonts w:cs="Times New Roman"/>
          <w:lang w:val="en-US"/>
        </w:rPr>
        <w:t xml:space="preserve"> baking</w:t>
      </w:r>
      <w:proofErr w:type="gramEnd"/>
      <w:r>
        <w:rPr>
          <w:rFonts w:cs="Times New Roman"/>
          <w:lang w:val="en-US"/>
        </w:rPr>
        <w:t xml:space="preserve"> furnace was chosen due to </w:t>
      </w:r>
      <w:r w:rsidR="00237754">
        <w:rPr>
          <w:rFonts w:cs="Times New Roman"/>
          <w:lang w:val="en-US"/>
        </w:rPr>
        <w:t xml:space="preserve">easier access than is the case with a closed furnace with </w:t>
      </w:r>
      <w:r>
        <w:rPr>
          <w:rFonts w:cs="Times New Roman"/>
          <w:lang w:val="en-US"/>
        </w:rPr>
        <w:t xml:space="preserve">section covers. </w:t>
      </w:r>
    </w:p>
    <w:p w14:paraId="4F384E8F" w14:textId="77777777" w:rsidR="00E26AB6" w:rsidRPr="00620B33" w:rsidRDefault="009B79FE" w:rsidP="000A156C">
      <w:pPr>
        <w:pStyle w:val="Heading1"/>
        <w:rPr>
          <w:lang w:val="en-US"/>
        </w:rPr>
      </w:pPr>
      <w:r w:rsidRPr="00620B33">
        <w:rPr>
          <w:lang w:val="en-US"/>
        </w:rPr>
        <w:t>Experimental</w:t>
      </w:r>
    </w:p>
    <w:p w14:paraId="4051159B" w14:textId="03B58DA8" w:rsidR="00820CB3" w:rsidRPr="00F95C8E" w:rsidRDefault="00620B33" w:rsidP="004110CB">
      <w:pPr>
        <w:pStyle w:val="Caption"/>
        <w:rPr>
          <w:noProof/>
          <w:lang w:val="en-US" w:eastAsia="nb-NO"/>
        </w:rPr>
      </w:pPr>
      <w:r>
        <w:rPr>
          <w:lang w:val="en-US"/>
        </w:rPr>
        <w:t xml:space="preserve">Access to the pit was done by insertion of a probe in the packing coke while setting the anodes. </w:t>
      </w:r>
      <w:r w:rsidR="006E4233">
        <w:rPr>
          <w:lang w:val="en-US"/>
        </w:rPr>
        <w:t xml:space="preserve">A double-probe construction was designed so that the inner probe could be removed and reinserted in the pit after anode setting. </w:t>
      </w:r>
      <w:r w:rsidR="00237754">
        <w:rPr>
          <w:lang w:val="en-US"/>
        </w:rPr>
        <w:t xml:space="preserve">In addition, this would better protect the suction pipe from being clogged by packing coke. </w:t>
      </w:r>
      <w:r w:rsidR="006E4233">
        <w:rPr>
          <w:lang w:val="en-US"/>
        </w:rPr>
        <w:t>The OD and ID of each probe was 40/34 mm and 26.</w:t>
      </w:r>
      <w:r w:rsidR="00237754">
        <w:rPr>
          <w:lang w:val="en-US"/>
        </w:rPr>
        <w:t>7</w:t>
      </w:r>
      <w:r w:rsidR="00BB04DF">
        <w:rPr>
          <w:lang w:val="en-US"/>
        </w:rPr>
        <w:t>/</w:t>
      </w:r>
      <w:r w:rsidR="006E4233">
        <w:rPr>
          <w:lang w:val="en-US"/>
        </w:rPr>
        <w:t>20.9 mm</w:t>
      </w:r>
      <w:r w:rsidR="00237754">
        <w:rPr>
          <w:lang w:val="en-US"/>
        </w:rPr>
        <w:t>,</w:t>
      </w:r>
      <w:r w:rsidR="006E4233">
        <w:rPr>
          <w:lang w:val="en-US"/>
        </w:rPr>
        <w:t xml:space="preserve"> respectively. </w:t>
      </w:r>
      <w:r>
        <w:rPr>
          <w:lang w:val="en-US"/>
        </w:rPr>
        <w:t xml:space="preserve">A high temperature </w:t>
      </w:r>
      <w:proofErr w:type="spellStart"/>
      <w:r>
        <w:rPr>
          <w:lang w:val="en-US"/>
        </w:rPr>
        <w:t>FeCrAl</w:t>
      </w:r>
      <w:proofErr w:type="spellEnd"/>
      <w:r>
        <w:rPr>
          <w:lang w:val="en-US"/>
        </w:rPr>
        <w:t xml:space="preserve"> alloy</w:t>
      </w:r>
      <w:r w:rsidR="006E4233">
        <w:rPr>
          <w:lang w:val="en-US"/>
        </w:rPr>
        <w:t>,</w:t>
      </w:r>
      <w:r>
        <w:rPr>
          <w:lang w:val="en-US"/>
        </w:rPr>
        <w:t xml:space="preserve"> </w:t>
      </w:r>
      <w:proofErr w:type="spellStart"/>
      <w:r>
        <w:rPr>
          <w:lang w:val="en-US"/>
        </w:rPr>
        <w:t>Kanthal</w:t>
      </w:r>
      <w:proofErr w:type="spellEnd"/>
      <w:r>
        <w:rPr>
          <w:rFonts w:cs="Times New Roman"/>
          <w:lang w:val="en-US"/>
        </w:rPr>
        <w:t>™</w:t>
      </w:r>
      <w:r w:rsidR="006E4233">
        <w:rPr>
          <w:rFonts w:cs="Times New Roman"/>
          <w:lang w:val="en-US"/>
        </w:rPr>
        <w:t>,</w:t>
      </w:r>
      <w:r w:rsidR="006E4233">
        <w:rPr>
          <w:lang w:val="en-US"/>
        </w:rPr>
        <w:t xml:space="preserve"> was used in the probe material.</w:t>
      </w:r>
      <w:r w:rsidR="00372B62">
        <w:rPr>
          <w:lang w:val="en-US"/>
        </w:rPr>
        <w:t xml:space="preserve"> The probes were both 4500 mm long, but the inner tube was offset approximately 30</w:t>
      </w:r>
      <w:r w:rsidR="00F976F0">
        <w:rPr>
          <w:lang w:val="en-US"/>
        </w:rPr>
        <w:t xml:space="preserve">0 mm with respect to the outer. </w:t>
      </w:r>
      <w:r w:rsidR="00372B62">
        <w:rPr>
          <w:lang w:val="en-US"/>
        </w:rPr>
        <w:t xml:space="preserve">A </w:t>
      </w:r>
      <w:r w:rsidR="00745FD0">
        <w:rPr>
          <w:lang w:val="en-US"/>
        </w:rPr>
        <w:t>connector</w:t>
      </w:r>
      <w:r w:rsidR="00372B62">
        <w:rPr>
          <w:lang w:val="en-US"/>
        </w:rPr>
        <w:t xml:space="preserve"> made from stainless steel </w:t>
      </w:r>
      <w:r w:rsidR="003F75F2">
        <w:rPr>
          <w:lang w:val="en-US"/>
        </w:rPr>
        <w:t xml:space="preserve">(SS) </w:t>
      </w:r>
      <w:r w:rsidR="00372B62">
        <w:rPr>
          <w:lang w:val="en-US"/>
        </w:rPr>
        <w:t>connecte</w:t>
      </w:r>
      <w:r w:rsidR="00745FD0">
        <w:rPr>
          <w:lang w:val="en-US"/>
        </w:rPr>
        <w:t xml:space="preserve">d the two probes by threads on the pit side and provided a </w:t>
      </w:r>
      <w:r w:rsidR="00D737A0" w:rsidRPr="007F7B5D">
        <w:rPr>
          <w:lang w:val="en-GB"/>
        </w:rPr>
        <w:t>1/4</w:t>
      </w:r>
      <w:r w:rsidR="00D737A0">
        <w:rPr>
          <w:lang w:val="en-US"/>
        </w:rPr>
        <w:t xml:space="preserve">" </w:t>
      </w:r>
      <w:r w:rsidR="003F75F2">
        <w:rPr>
          <w:lang w:val="en-US"/>
        </w:rPr>
        <w:t xml:space="preserve">SS </w:t>
      </w:r>
      <w:r w:rsidR="00745FD0">
        <w:rPr>
          <w:lang w:val="en-US"/>
        </w:rPr>
        <w:t xml:space="preserve">tube connector </w:t>
      </w:r>
      <w:r w:rsidR="00D737A0">
        <w:rPr>
          <w:lang w:val="en-US"/>
        </w:rPr>
        <w:t>to the outside tube reaching over the pit from the sampling equipment</w:t>
      </w:r>
      <w:r w:rsidR="00745FD0">
        <w:rPr>
          <w:lang w:val="en-US"/>
        </w:rPr>
        <w:t>.</w:t>
      </w:r>
      <w:r w:rsidR="003F75F2">
        <w:rPr>
          <w:lang w:val="en-US"/>
        </w:rPr>
        <w:t xml:space="preserve"> </w:t>
      </w:r>
      <w:r w:rsidR="00F976F0">
        <w:rPr>
          <w:lang w:val="en-US"/>
        </w:rPr>
        <w:t xml:space="preserve">With a pit depth of 5 meters, the top side connector </w:t>
      </w:r>
      <w:r w:rsidR="00D01892">
        <w:rPr>
          <w:lang w:val="en-US"/>
        </w:rPr>
        <w:t xml:space="preserve">is </w:t>
      </w:r>
      <w:r w:rsidR="00F976F0">
        <w:rPr>
          <w:lang w:val="en-US"/>
        </w:rPr>
        <w:t xml:space="preserve">protruding from the packing coke covering the top of the </w:t>
      </w:r>
      <w:commentRangeStart w:id="4"/>
      <w:r w:rsidR="00F976F0">
        <w:rPr>
          <w:lang w:val="en-US"/>
        </w:rPr>
        <w:t>pit</w:t>
      </w:r>
      <w:commentRangeEnd w:id="4"/>
      <w:r w:rsidR="002B7A1F">
        <w:rPr>
          <w:rStyle w:val="CommentReference"/>
        </w:rPr>
        <w:commentReference w:id="4"/>
      </w:r>
      <w:r w:rsidR="00F95C8E">
        <w:rPr>
          <w:lang w:val="en-US"/>
        </w:rPr>
        <w:t xml:space="preserve"> (see </w:t>
      </w:r>
      <w:r w:rsidR="00F95C8E">
        <w:rPr>
          <w:lang w:val="en-US"/>
        </w:rPr>
        <w:fldChar w:fldCharType="begin"/>
      </w:r>
      <w:r w:rsidR="00F95C8E">
        <w:rPr>
          <w:lang w:val="en-US"/>
        </w:rPr>
        <w:instrText xml:space="preserve"> REF _Ref492476633 \h </w:instrText>
      </w:r>
      <w:r w:rsidR="00F95C8E">
        <w:rPr>
          <w:lang w:val="en-US"/>
        </w:rPr>
      </w:r>
      <w:r w:rsidR="00F95C8E">
        <w:rPr>
          <w:lang w:val="en-US"/>
        </w:rPr>
        <w:fldChar w:fldCharType="separate"/>
      </w:r>
      <w:r w:rsidR="00F95C8E" w:rsidRPr="004110CB">
        <w:rPr>
          <w:lang w:val="en-US"/>
        </w:rPr>
        <w:t xml:space="preserve">Figure </w:t>
      </w:r>
      <w:r w:rsidR="00F95C8E" w:rsidRPr="004110CB">
        <w:rPr>
          <w:noProof/>
          <w:lang w:val="en-US"/>
        </w:rPr>
        <w:t>1</w:t>
      </w:r>
      <w:r w:rsidR="00F95C8E">
        <w:rPr>
          <w:lang w:val="en-US"/>
        </w:rPr>
        <w:fldChar w:fldCharType="end"/>
      </w:r>
      <w:r w:rsidR="00F95C8E">
        <w:rPr>
          <w:lang w:val="en-US"/>
        </w:rPr>
        <w:t xml:space="preserve"> </w:t>
      </w:r>
      <w:r w:rsidR="00D01892">
        <w:rPr>
          <w:lang w:val="en-US"/>
        </w:rPr>
        <w:t>).</w:t>
      </w:r>
      <w:r w:rsidR="00F95C8E">
        <w:rPr>
          <w:lang w:val="en-US"/>
        </w:rPr>
        <w:t xml:space="preserve"> </w:t>
      </w:r>
      <w:bookmarkStart w:id="5" w:name="_GoBack"/>
      <w:bookmarkEnd w:id="5"/>
    </w:p>
    <w:p w14:paraId="0B7CC06E" w14:textId="77777777" w:rsidR="00F95C8E" w:rsidRDefault="00D01892" w:rsidP="00F95C8E">
      <w:pPr>
        <w:keepNext/>
        <w:jc w:val="center"/>
        <w:rPr>
          <w:ins w:id="6" w:author="Trond Brandvik" w:date="2017-09-06T15:52:00Z"/>
        </w:rPr>
      </w:pPr>
      <w:r>
        <w:rPr>
          <w:noProof/>
          <w:lang w:eastAsia="nb-NO"/>
        </w:rPr>
        <w:drawing>
          <wp:inline distT="0" distB="0" distL="0" distR="0" wp14:anchorId="1801114B" wp14:editId="5741304B">
            <wp:extent cx="1202690" cy="35490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isse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9690" cy="3569716"/>
                    </a:xfrm>
                    <a:prstGeom prst="rect">
                      <a:avLst/>
                    </a:prstGeom>
                  </pic:spPr>
                </pic:pic>
              </a:graphicData>
            </a:graphic>
          </wp:inline>
        </w:drawing>
      </w:r>
      <w:r>
        <w:rPr>
          <w:lang w:val="en-US"/>
        </w:rPr>
        <w:t xml:space="preserve"> </w:t>
      </w:r>
      <w:r w:rsidR="00820CB3">
        <w:rPr>
          <w:noProof/>
          <w:lang w:eastAsia="nb-NO"/>
        </w:rPr>
        <w:drawing>
          <wp:inline distT="0" distB="0" distL="0" distR="0" wp14:anchorId="4BFCFDEC" wp14:editId="5FAB9419">
            <wp:extent cx="2814158" cy="2584509"/>
            <wp:effectExtent l="318" t="0" r="6032" b="603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945.JPG"/>
                    <pic:cNvPicPr/>
                  </pic:nvPicPr>
                  <pic:blipFill rotWithShape="1">
                    <a:blip r:embed="rId9" cstate="print">
                      <a:extLst>
                        <a:ext uri="{28A0092B-C50C-407E-A947-70E740481C1C}">
                          <a14:useLocalDpi xmlns:a14="http://schemas.microsoft.com/office/drawing/2010/main" val="0"/>
                        </a:ext>
                      </a:extLst>
                    </a:blip>
                    <a:srcRect l="33599" t="18835" r="23097" b="28138"/>
                    <a:stretch/>
                  </pic:blipFill>
                  <pic:spPr bwMode="auto">
                    <a:xfrm rot="5400000">
                      <a:off x="0" y="0"/>
                      <a:ext cx="2820988" cy="2590782"/>
                    </a:xfrm>
                    <a:prstGeom prst="rect">
                      <a:avLst/>
                    </a:prstGeom>
                    <a:ln>
                      <a:noFill/>
                    </a:ln>
                    <a:extLst>
                      <a:ext uri="{53640926-AAD7-44D8-BBD7-CCE9431645EC}">
                        <a14:shadowObscured xmlns:a14="http://schemas.microsoft.com/office/drawing/2010/main"/>
                      </a:ext>
                    </a:extLst>
                  </pic:spPr>
                </pic:pic>
              </a:graphicData>
            </a:graphic>
          </wp:inline>
        </w:drawing>
      </w:r>
    </w:p>
    <w:p w14:paraId="43B49758" w14:textId="262E3DD5" w:rsidR="00820CB3" w:rsidDel="00F95C8E" w:rsidRDefault="00F95C8E" w:rsidP="00613184">
      <w:pPr>
        <w:pStyle w:val="Caption"/>
        <w:rPr>
          <w:del w:id="7" w:author="Trond Brandvik" w:date="2017-09-06T15:54:00Z"/>
          <w:lang w:val="en-US"/>
        </w:rPr>
        <w:pPrChange w:id="8" w:author="Trond Brandvik" w:date="2017-09-06T16:19:00Z">
          <w:pPr>
            <w:pStyle w:val="Caption"/>
            <w:jc w:val="center"/>
          </w:pPr>
        </w:pPrChange>
      </w:pPr>
      <w:bookmarkStart w:id="9" w:name="_Ref492476633"/>
      <w:ins w:id="10" w:author="Trond Brandvik" w:date="2017-09-06T15:52:00Z">
        <w:r w:rsidRPr="00F95C8E">
          <w:rPr>
            <w:lang w:val="en-US"/>
            <w:rPrChange w:id="11" w:author="Trond Brandvik" w:date="2017-09-06T15:54:00Z">
              <w:rPr/>
            </w:rPrChange>
          </w:rPr>
          <w:t xml:space="preserve">Figure </w:t>
        </w:r>
      </w:ins>
      <w:r>
        <w:fldChar w:fldCharType="begin"/>
      </w:r>
      <w:r w:rsidRPr="00F95C8E">
        <w:rPr>
          <w:lang w:val="en-US"/>
        </w:rPr>
        <w:instrText xml:space="preserve"> SEQ Figure \* ARABIC </w:instrText>
      </w:r>
      <w:r>
        <w:fldChar w:fldCharType="separate"/>
      </w:r>
      <w:ins w:id="12" w:author="Trond Brandvik" w:date="2017-09-06T15:52:00Z">
        <w:r w:rsidRPr="00F95C8E">
          <w:rPr>
            <w:noProof/>
            <w:lang w:val="en-US"/>
            <w:rPrChange w:id="13" w:author="Trond Brandvik" w:date="2017-09-06T15:54:00Z">
              <w:rPr>
                <w:noProof/>
              </w:rPr>
            </w:rPrChange>
          </w:rPr>
          <w:t>1</w:t>
        </w:r>
        <w:r>
          <w:fldChar w:fldCharType="end"/>
        </w:r>
      </w:ins>
      <w:bookmarkEnd w:id="9"/>
      <w:ins w:id="14" w:author="Trond Brandvik" w:date="2017-09-06T15:54:00Z">
        <w:r w:rsidRPr="00F95C8E">
          <w:rPr>
            <w:lang w:val="en-US"/>
            <w:rPrChange w:id="15" w:author="Trond Brandvik" w:date="2017-09-06T15:54:00Z">
              <w:rPr/>
            </w:rPrChange>
          </w:rPr>
          <w:t xml:space="preserve">. </w:t>
        </w:r>
        <w:r>
          <w:rPr>
            <w:lang w:val="en-US"/>
          </w:rPr>
          <w:t>Sketch of the probe inserted into the pit (left), and a picture of the probe coming up from the packing coke (right).</w:t>
        </w:r>
      </w:ins>
      <w:ins w:id="16" w:author="Trond Brandvik" w:date="2017-09-06T16:20:00Z">
        <w:r w:rsidR="00613184">
          <w:rPr>
            <w:lang w:val="en-US"/>
          </w:rPr>
          <w:t xml:space="preserve"> The blue pipe contains the thermocouple </w:t>
        </w:r>
      </w:ins>
      <w:ins w:id="17" w:author="Trond Brandvik" w:date="2017-09-06T16:21:00Z">
        <w:r w:rsidR="00613184">
          <w:rPr>
            <w:lang w:val="en-US"/>
          </w:rPr>
          <w:t xml:space="preserve">used during the experiment. </w:t>
        </w:r>
      </w:ins>
    </w:p>
    <w:p w14:paraId="6A5CD6B1" w14:textId="057F7B88" w:rsidR="00D01892" w:rsidRDefault="00D01892" w:rsidP="00F95C8E">
      <w:pPr>
        <w:pStyle w:val="Caption"/>
        <w:jc w:val="center"/>
        <w:rPr>
          <w:ins w:id="18" w:author="Trond Brandvik" w:date="2017-09-06T15:35:00Z"/>
          <w:lang w:val="en-US"/>
        </w:rPr>
        <w:pPrChange w:id="19" w:author="Trond Brandvik" w:date="2017-09-06T15:54:00Z">
          <w:pPr>
            <w:jc w:val="center"/>
          </w:pPr>
        </w:pPrChange>
      </w:pPr>
    </w:p>
    <w:p w14:paraId="04D1761A" w14:textId="628650D8" w:rsidR="00745FD0" w:rsidRDefault="003F75F2" w:rsidP="00A15960">
      <w:pPr>
        <w:jc w:val="both"/>
        <w:rPr>
          <w:lang w:val="en-US"/>
        </w:rPr>
      </w:pPr>
      <w:r>
        <w:rPr>
          <w:lang w:val="en-US"/>
        </w:rPr>
        <w:t>A ¼" SS tube of ca. 5</w:t>
      </w:r>
      <w:r w:rsidR="00E9423A">
        <w:rPr>
          <w:lang w:val="en-US"/>
        </w:rPr>
        <w:t>000</w:t>
      </w:r>
      <w:r>
        <w:rPr>
          <w:lang w:val="en-US"/>
        </w:rPr>
        <w:t xml:space="preserve"> m</w:t>
      </w:r>
      <w:r w:rsidR="00E9423A">
        <w:rPr>
          <w:lang w:val="en-US"/>
        </w:rPr>
        <w:t>m</w:t>
      </w:r>
      <w:r>
        <w:rPr>
          <w:lang w:val="en-US"/>
        </w:rPr>
        <w:t xml:space="preserve"> length was</w:t>
      </w:r>
      <w:r w:rsidR="00E9423A">
        <w:rPr>
          <w:lang w:val="en-US"/>
        </w:rPr>
        <w:t xml:space="preserve"> used to connect the probe to the gas analyzing equipment.</w:t>
      </w:r>
      <w:r w:rsidR="00F976F0">
        <w:rPr>
          <w:lang w:val="en-US"/>
        </w:rPr>
        <w:t xml:space="preserve"> </w:t>
      </w:r>
      <w:r w:rsidR="00E9423A">
        <w:rPr>
          <w:lang w:val="en-US"/>
        </w:rPr>
        <w:t xml:space="preserve">A 20 meter, heated ¼" Teflon tube was </w:t>
      </w:r>
      <w:r w:rsidR="00D83E94">
        <w:rPr>
          <w:lang w:val="en-US"/>
        </w:rPr>
        <w:t xml:space="preserve">used to connect the probe with the gas analyzer. In order to protect the analyzer from condensing gas species, a 6.67 </w:t>
      </w:r>
      <w:r w:rsidR="00D737A0">
        <w:rPr>
          <w:lang w:val="en-US"/>
        </w:rPr>
        <w:t>mm</w:t>
      </w:r>
      <w:r w:rsidR="00CA15E1">
        <w:rPr>
          <w:lang w:val="en-US"/>
        </w:rPr>
        <w:t xml:space="preserve"> </w:t>
      </w:r>
      <w:r w:rsidR="00D737A0">
        <w:rPr>
          <w:lang w:val="en-US"/>
        </w:rPr>
        <w:t xml:space="preserve">Ø </w:t>
      </w:r>
      <w:r w:rsidR="00D83E94">
        <w:rPr>
          <w:lang w:val="en-US"/>
        </w:rPr>
        <w:t>by 28.89</w:t>
      </w:r>
      <w:r>
        <w:rPr>
          <w:lang w:val="en-US"/>
        </w:rPr>
        <w:t xml:space="preserve"> </w:t>
      </w:r>
      <w:r w:rsidR="00D83E94">
        <w:rPr>
          <w:lang w:val="en-US"/>
        </w:rPr>
        <w:t>mm column packed with glass wool was placed upstream the heated Teflon tube</w:t>
      </w:r>
      <w:r w:rsidR="008C50DA">
        <w:rPr>
          <w:lang w:val="en-US"/>
        </w:rPr>
        <w:t>.</w:t>
      </w:r>
      <w:r w:rsidR="00D83E94">
        <w:rPr>
          <w:lang w:val="en-US"/>
        </w:rPr>
        <w:t xml:space="preserve"> The gas analyzer used was a </w:t>
      </w:r>
      <w:proofErr w:type="spellStart"/>
      <w:r w:rsidR="00D83E94">
        <w:rPr>
          <w:lang w:val="en-US"/>
        </w:rPr>
        <w:t>Protea</w:t>
      </w:r>
      <w:proofErr w:type="spellEnd"/>
      <w:r w:rsidR="00D83E94">
        <w:rPr>
          <w:lang w:val="en-US"/>
        </w:rPr>
        <w:t xml:space="preserve"> LTD </w:t>
      </w:r>
      <w:proofErr w:type="spellStart"/>
      <w:r w:rsidR="00D83E94">
        <w:rPr>
          <w:lang w:val="en-US"/>
        </w:rPr>
        <w:t>ProtIR</w:t>
      </w:r>
      <w:proofErr w:type="spellEnd"/>
      <w:r w:rsidR="00D83E94">
        <w:rPr>
          <w:lang w:val="en-US"/>
        </w:rPr>
        <w:t xml:space="preserve"> 204M. Spectral data </w:t>
      </w:r>
      <w:r w:rsidR="008C50DA">
        <w:rPr>
          <w:lang w:val="en-US"/>
        </w:rPr>
        <w:t>was recorded at 1 cm</w:t>
      </w:r>
      <w:r w:rsidR="008C50DA" w:rsidRPr="008C50DA">
        <w:rPr>
          <w:vertAlign w:val="superscript"/>
          <w:lang w:val="en-US"/>
        </w:rPr>
        <w:t>-1</w:t>
      </w:r>
      <w:r w:rsidR="008C50DA">
        <w:rPr>
          <w:lang w:val="en-US"/>
        </w:rPr>
        <w:t xml:space="preserve"> resolution, and spectra averaged to produce a new spectrum every minute. Instrument and 20 meter Teflon tube was heated to 180 °C. Spectral interpretation was performed by manual evaluation of the spectral information</w:t>
      </w:r>
      <w:r w:rsidR="00963943">
        <w:rPr>
          <w:lang w:val="en-US"/>
        </w:rPr>
        <w:t xml:space="preserve"> and comparison with </w:t>
      </w:r>
      <w:r w:rsidR="00AC256C">
        <w:rPr>
          <w:lang w:val="en-US"/>
        </w:rPr>
        <w:t xml:space="preserve">library </w:t>
      </w:r>
      <w:r w:rsidR="00D737A0">
        <w:rPr>
          <w:lang w:val="en-US"/>
        </w:rPr>
        <w:t xml:space="preserve">spectral </w:t>
      </w:r>
      <w:r w:rsidR="00AC256C">
        <w:rPr>
          <w:lang w:val="en-US"/>
        </w:rPr>
        <w:t xml:space="preserve">data. Quantitation was </w:t>
      </w:r>
      <w:r w:rsidR="00F365C8">
        <w:rPr>
          <w:lang w:val="en-US"/>
        </w:rPr>
        <w:t xml:space="preserve">for most cases </w:t>
      </w:r>
      <w:r w:rsidR="00AC256C">
        <w:rPr>
          <w:lang w:val="en-US"/>
        </w:rPr>
        <w:t xml:space="preserve">performed by linear regression of peak height values of library spectra. Extrapolation beyond the absorbance range of the library </w:t>
      </w:r>
      <w:r w:rsidR="006444F7">
        <w:rPr>
          <w:lang w:val="en-US"/>
        </w:rPr>
        <w:t>spectral data was only applied when necessary and</w:t>
      </w:r>
      <w:r w:rsidR="00D737A0">
        <w:rPr>
          <w:lang w:val="en-US"/>
        </w:rPr>
        <w:t>, when used,</w:t>
      </w:r>
      <w:r w:rsidR="006444F7">
        <w:rPr>
          <w:lang w:val="en-US"/>
        </w:rPr>
        <w:t xml:space="preserve"> explicitly mentioned.</w:t>
      </w:r>
      <w:r w:rsidR="00F365C8">
        <w:rPr>
          <w:lang w:val="en-US"/>
        </w:rPr>
        <w:t xml:space="preserve"> In cases where the </w:t>
      </w:r>
      <w:proofErr w:type="spellStart"/>
      <w:r w:rsidR="00F365C8">
        <w:rPr>
          <w:lang w:val="en-US"/>
        </w:rPr>
        <w:t>Protea</w:t>
      </w:r>
      <w:proofErr w:type="spellEnd"/>
      <w:r w:rsidR="00F365C8">
        <w:rPr>
          <w:lang w:val="en-US"/>
        </w:rPr>
        <w:t xml:space="preserve"> built in calibration models were applicable, they were used. The partial least squares modelling applied </w:t>
      </w:r>
      <w:r w:rsidR="00D841A8">
        <w:rPr>
          <w:lang w:val="en-US"/>
        </w:rPr>
        <w:t xml:space="preserve">in these models </w:t>
      </w:r>
      <w:r w:rsidR="00F365C8">
        <w:rPr>
          <w:lang w:val="en-US"/>
        </w:rPr>
        <w:t>come</w:t>
      </w:r>
      <w:r w:rsidR="00D841A8">
        <w:rPr>
          <w:lang w:val="en-US"/>
        </w:rPr>
        <w:t>s</w:t>
      </w:r>
      <w:r w:rsidR="00F365C8">
        <w:rPr>
          <w:lang w:val="en-US"/>
        </w:rPr>
        <w:t xml:space="preserve"> with error estimation, and thus prediction goodness can be evalu</w:t>
      </w:r>
      <w:r w:rsidR="0028266E">
        <w:rPr>
          <w:lang w:val="en-US"/>
        </w:rPr>
        <w:t>ated.</w:t>
      </w:r>
    </w:p>
    <w:p w14:paraId="72AC6C0E" w14:textId="50E116FF" w:rsidR="00F976F0" w:rsidRDefault="00F976F0" w:rsidP="00A15960">
      <w:pPr>
        <w:jc w:val="both"/>
        <w:rPr>
          <w:lang w:val="en-US"/>
        </w:rPr>
      </w:pPr>
      <w:r>
        <w:rPr>
          <w:lang w:val="en-US"/>
        </w:rPr>
        <w:t>Gas was sampled from the pit in two intervals: the first interval at around 700 °C for a few hours to test the integrity of the instrumentation and</w:t>
      </w:r>
      <w:r w:rsidR="00D737A0">
        <w:rPr>
          <w:lang w:val="en-US"/>
        </w:rPr>
        <w:t>,</w:t>
      </w:r>
      <w:r>
        <w:rPr>
          <w:lang w:val="en-US"/>
        </w:rPr>
        <w:t xml:space="preserve"> subsequently</w:t>
      </w:r>
      <w:r w:rsidR="00D737A0">
        <w:rPr>
          <w:lang w:val="en-US"/>
        </w:rPr>
        <w:t>,</w:t>
      </w:r>
      <w:r>
        <w:rPr>
          <w:lang w:val="en-US"/>
        </w:rPr>
        <w:t xml:space="preserve"> over a week where temperature was dropping from the peak value.</w:t>
      </w:r>
    </w:p>
    <w:p w14:paraId="5BBA4028" w14:textId="446FC003" w:rsidR="00F976F0" w:rsidRDefault="00F80A5E" w:rsidP="002E088D">
      <w:pPr>
        <w:pStyle w:val="Heading1"/>
        <w:rPr>
          <w:lang w:val="en-US"/>
        </w:rPr>
      </w:pPr>
      <w:r>
        <w:rPr>
          <w:lang w:val="en-US"/>
        </w:rPr>
        <w:t>Results</w:t>
      </w:r>
      <w:r w:rsidR="00F1035B">
        <w:rPr>
          <w:lang w:val="en-US"/>
        </w:rPr>
        <w:t xml:space="preserve"> </w:t>
      </w:r>
      <w:r w:rsidR="00D737A0">
        <w:rPr>
          <w:lang w:val="en-US"/>
        </w:rPr>
        <w:t>and</w:t>
      </w:r>
      <w:r w:rsidR="00F1035B">
        <w:rPr>
          <w:lang w:val="en-US"/>
        </w:rPr>
        <w:t xml:space="preserve"> </w:t>
      </w:r>
      <w:r w:rsidR="00D737A0">
        <w:rPr>
          <w:lang w:val="en-US"/>
        </w:rPr>
        <w:t>D</w:t>
      </w:r>
      <w:r w:rsidR="00F1035B">
        <w:rPr>
          <w:lang w:val="en-US"/>
        </w:rPr>
        <w:t>iscussion</w:t>
      </w:r>
      <w:r w:rsidR="00D737A0">
        <w:rPr>
          <w:lang w:val="en-US"/>
        </w:rPr>
        <w:t>s</w:t>
      </w:r>
    </w:p>
    <w:p w14:paraId="133C2E1A" w14:textId="77777777" w:rsidR="00A84CBD" w:rsidRDefault="00E67AF1" w:rsidP="002C2260">
      <w:pPr>
        <w:pStyle w:val="Heading2"/>
        <w:rPr>
          <w:lang w:val="en-US"/>
        </w:rPr>
      </w:pPr>
      <w:r>
        <w:rPr>
          <w:lang w:val="en-US"/>
        </w:rPr>
        <w:t>Initial sampling</w:t>
      </w:r>
    </w:p>
    <w:p w14:paraId="06C160AF" w14:textId="0E261061" w:rsidR="00E67AF1" w:rsidRDefault="002C2260" w:rsidP="00AE6B18">
      <w:pPr>
        <w:jc w:val="both"/>
        <w:rPr>
          <w:lang w:val="en-US"/>
        </w:rPr>
      </w:pPr>
      <w:r>
        <w:rPr>
          <w:lang w:val="en-US"/>
        </w:rPr>
        <w:t>The instrument setup was tested for a short period at a furnace temperature</w:t>
      </w:r>
      <w:r w:rsidR="004D73D0">
        <w:rPr>
          <w:lang w:val="en-US"/>
        </w:rPr>
        <w:t xml:space="preserve"> slightly below 700 °C. The obtained gas spectra </w:t>
      </w:r>
      <w:r w:rsidR="006444F7">
        <w:rPr>
          <w:lang w:val="en-US"/>
        </w:rPr>
        <w:t>were</w:t>
      </w:r>
      <w:r w:rsidR="008F6E5E">
        <w:rPr>
          <w:lang w:val="en-US"/>
        </w:rPr>
        <w:t xml:space="preserve"> busy</w:t>
      </w:r>
      <w:r w:rsidR="000068CC">
        <w:rPr>
          <w:lang w:val="en-US"/>
        </w:rPr>
        <w:t>,</w:t>
      </w:r>
      <w:r w:rsidR="008F6E5E">
        <w:rPr>
          <w:lang w:val="en-US"/>
        </w:rPr>
        <w:t xml:space="preserve"> and</w:t>
      </w:r>
      <w:r w:rsidR="004D73D0">
        <w:rPr>
          <w:lang w:val="en-US"/>
        </w:rPr>
        <w:t xml:space="preserve"> </w:t>
      </w:r>
      <w:proofErr w:type="gramStart"/>
      <w:r w:rsidR="004D73D0">
        <w:rPr>
          <w:lang w:val="en-US"/>
        </w:rPr>
        <w:t>ideally</w:t>
      </w:r>
      <w:proofErr w:type="gramEnd"/>
      <w:r w:rsidR="004D73D0">
        <w:rPr>
          <w:lang w:val="en-US"/>
        </w:rPr>
        <w:t xml:space="preserve"> a dilution of the</w:t>
      </w:r>
      <w:r w:rsidR="008F6E5E">
        <w:rPr>
          <w:lang w:val="en-US"/>
        </w:rPr>
        <w:t xml:space="preserve"> gas should have been applied. </w:t>
      </w:r>
      <w:r w:rsidR="000068CC">
        <w:rPr>
          <w:lang w:val="en-US"/>
        </w:rPr>
        <w:t>O</w:t>
      </w:r>
      <w:r w:rsidR="008F6E5E">
        <w:rPr>
          <w:lang w:val="en-US"/>
        </w:rPr>
        <w:t xml:space="preserve">bservation of the glass wool inside the transparent column </w:t>
      </w:r>
      <w:r w:rsidR="00D841A8">
        <w:rPr>
          <w:lang w:val="en-US"/>
        </w:rPr>
        <w:t xml:space="preserve">containing glass wool </w:t>
      </w:r>
      <w:r w:rsidR="008F6E5E">
        <w:rPr>
          <w:lang w:val="en-US"/>
        </w:rPr>
        <w:t>revealed condensation of water as well as a yellow coloring of the glass wool.</w:t>
      </w:r>
    </w:p>
    <w:p w14:paraId="7023C841" w14:textId="4990BA9F" w:rsidR="008F6E5E" w:rsidRDefault="008F6E5E" w:rsidP="00AE6B18">
      <w:pPr>
        <w:jc w:val="both"/>
        <w:rPr>
          <w:lang w:val="en-US"/>
        </w:rPr>
      </w:pPr>
      <w:r>
        <w:rPr>
          <w:lang w:val="en-US"/>
        </w:rPr>
        <w:t xml:space="preserve">The result of the quantitation of the main gas constituents is summarized in </w:t>
      </w:r>
      <w:r w:rsidR="00C525BB">
        <w:rPr>
          <w:lang w:val="en-US"/>
        </w:rPr>
        <w:fldChar w:fldCharType="begin"/>
      </w:r>
      <w:r w:rsidR="00C525BB">
        <w:rPr>
          <w:lang w:val="en-US"/>
        </w:rPr>
        <w:instrText xml:space="preserve"> REF _Ref490230542 \h </w:instrText>
      </w:r>
      <w:r w:rsidR="00AE6B18">
        <w:rPr>
          <w:lang w:val="en-US"/>
        </w:rPr>
        <w:instrText xml:space="preserve"> \* MERGEFORMAT </w:instrText>
      </w:r>
      <w:r w:rsidR="00C525BB">
        <w:rPr>
          <w:lang w:val="en-US"/>
        </w:rPr>
      </w:r>
      <w:r w:rsidR="00C525BB">
        <w:rPr>
          <w:lang w:val="en-US"/>
        </w:rPr>
        <w:fldChar w:fldCharType="separate"/>
      </w:r>
      <w:r w:rsidR="00C525BB" w:rsidRPr="00691F3C">
        <w:rPr>
          <w:lang w:val="en-US"/>
        </w:rPr>
        <w:t xml:space="preserve">Table </w:t>
      </w:r>
      <w:r w:rsidR="00C525BB" w:rsidRPr="00691F3C">
        <w:rPr>
          <w:noProof/>
          <w:lang w:val="en-US"/>
        </w:rPr>
        <w:t>1</w:t>
      </w:r>
      <w:r w:rsidR="00C525BB">
        <w:rPr>
          <w:lang w:val="en-US"/>
        </w:rPr>
        <w:fldChar w:fldCharType="end"/>
      </w:r>
      <w:r w:rsidR="00C525BB">
        <w:rPr>
          <w:lang w:val="en-US"/>
        </w:rPr>
        <w:t>.</w:t>
      </w:r>
    </w:p>
    <w:p w14:paraId="27C66644" w14:textId="77777777" w:rsidR="00691F3C" w:rsidRPr="00691F3C" w:rsidRDefault="00691F3C" w:rsidP="00AE6B18">
      <w:pPr>
        <w:pStyle w:val="Caption"/>
        <w:keepNext/>
        <w:jc w:val="both"/>
        <w:rPr>
          <w:lang w:val="en-US"/>
        </w:rPr>
      </w:pPr>
      <w:bookmarkStart w:id="20" w:name="_Ref490230542"/>
      <w:r w:rsidRPr="00691F3C">
        <w:rPr>
          <w:lang w:val="en-US"/>
        </w:rPr>
        <w:lastRenderedPageBreak/>
        <w:t xml:space="preserve">Table </w:t>
      </w:r>
      <w:r>
        <w:fldChar w:fldCharType="begin"/>
      </w:r>
      <w:r w:rsidRPr="00691F3C">
        <w:rPr>
          <w:lang w:val="en-US"/>
        </w:rPr>
        <w:instrText xml:space="preserve"> SEQ Table \* ARABIC </w:instrText>
      </w:r>
      <w:r>
        <w:fldChar w:fldCharType="separate"/>
      </w:r>
      <w:r w:rsidRPr="00691F3C">
        <w:rPr>
          <w:noProof/>
          <w:lang w:val="en-US"/>
        </w:rPr>
        <w:t>1</w:t>
      </w:r>
      <w:r>
        <w:fldChar w:fldCharType="end"/>
      </w:r>
      <w:bookmarkEnd w:id="20"/>
      <w:r w:rsidRPr="00691F3C">
        <w:rPr>
          <w:lang w:val="en-US"/>
        </w:rPr>
        <w:t>. Main gas constituents from initial sampling.</w:t>
      </w:r>
      <w:r>
        <w:rPr>
          <w:lang w:val="en-US"/>
        </w:rPr>
        <w:t xml:space="preserve"> The results were obtained from averaging </w:t>
      </w:r>
      <w:r w:rsidR="00C525BB">
        <w:rPr>
          <w:lang w:val="en-US"/>
        </w:rPr>
        <w:t xml:space="preserve">spectra from </w:t>
      </w:r>
      <w:r>
        <w:rPr>
          <w:lang w:val="en-US"/>
        </w:rPr>
        <w:t xml:space="preserve">one hour of </w:t>
      </w:r>
      <w:r w:rsidR="00C525BB">
        <w:rPr>
          <w:lang w:val="en-US"/>
        </w:rPr>
        <w:t xml:space="preserve">gas </w:t>
      </w:r>
      <w:r>
        <w:rPr>
          <w:lang w:val="en-US"/>
        </w:rPr>
        <w:t>sampling. Extrapolated results indicated by red.</w:t>
      </w:r>
      <w:r w:rsidR="00C525BB">
        <w:rPr>
          <w:lang w:val="en-US"/>
        </w:rPr>
        <w:t xml:space="preserve"> </w:t>
      </w:r>
    </w:p>
    <w:tbl>
      <w:tblPr>
        <w:tblStyle w:val="TableGrid"/>
        <w:tblW w:w="0" w:type="auto"/>
        <w:tblLook w:val="04A0" w:firstRow="1" w:lastRow="0" w:firstColumn="1" w:lastColumn="0" w:noHBand="0" w:noVBand="1"/>
      </w:tblPr>
      <w:tblGrid>
        <w:gridCol w:w="4531"/>
        <w:gridCol w:w="4531"/>
      </w:tblGrid>
      <w:tr w:rsidR="00691F3C" w:rsidRPr="00691F3C" w14:paraId="55EBCBCA" w14:textId="77777777" w:rsidTr="00691F3C">
        <w:tc>
          <w:tcPr>
            <w:tcW w:w="4531" w:type="dxa"/>
          </w:tcPr>
          <w:p w14:paraId="014E13E7" w14:textId="77777777" w:rsidR="00691F3C" w:rsidRPr="00691F3C" w:rsidRDefault="00691F3C" w:rsidP="007F7B5D">
            <w:pPr>
              <w:keepNext/>
              <w:jc w:val="center"/>
              <w:rPr>
                <w:b/>
                <w:lang w:val="en-US"/>
              </w:rPr>
            </w:pPr>
            <w:r w:rsidRPr="00691F3C">
              <w:rPr>
                <w:b/>
                <w:lang w:val="en-US"/>
              </w:rPr>
              <w:t>Constituent</w:t>
            </w:r>
          </w:p>
        </w:tc>
        <w:tc>
          <w:tcPr>
            <w:tcW w:w="4531" w:type="dxa"/>
          </w:tcPr>
          <w:p w14:paraId="2B5E2630" w14:textId="77777777" w:rsidR="00691F3C" w:rsidRPr="00691F3C" w:rsidRDefault="00691F3C" w:rsidP="007F7B5D">
            <w:pPr>
              <w:keepNext/>
              <w:jc w:val="center"/>
              <w:rPr>
                <w:b/>
                <w:lang w:val="en-US"/>
              </w:rPr>
            </w:pPr>
            <w:r w:rsidRPr="00691F3C">
              <w:rPr>
                <w:b/>
                <w:lang w:val="en-US"/>
              </w:rPr>
              <w:t>Concentration</w:t>
            </w:r>
          </w:p>
        </w:tc>
      </w:tr>
      <w:tr w:rsidR="00691F3C" w14:paraId="7C9B9BC4" w14:textId="77777777" w:rsidTr="00691F3C">
        <w:tc>
          <w:tcPr>
            <w:tcW w:w="4531" w:type="dxa"/>
          </w:tcPr>
          <w:p w14:paraId="51F5ED3F" w14:textId="77777777" w:rsidR="00691F3C" w:rsidRDefault="00691F3C" w:rsidP="007F7B5D">
            <w:pPr>
              <w:keepNext/>
              <w:jc w:val="center"/>
              <w:rPr>
                <w:lang w:val="en-US"/>
              </w:rPr>
            </w:pPr>
            <w:r>
              <w:rPr>
                <w:lang w:val="en-US"/>
              </w:rPr>
              <w:t>CO</w:t>
            </w:r>
          </w:p>
        </w:tc>
        <w:tc>
          <w:tcPr>
            <w:tcW w:w="4531" w:type="dxa"/>
          </w:tcPr>
          <w:p w14:paraId="629B5869" w14:textId="77777777" w:rsidR="00691F3C" w:rsidRDefault="00691F3C" w:rsidP="007F7B5D">
            <w:pPr>
              <w:keepNext/>
              <w:jc w:val="center"/>
              <w:rPr>
                <w:lang w:val="en-US"/>
              </w:rPr>
            </w:pPr>
            <w:r>
              <w:rPr>
                <w:lang w:val="en-US"/>
              </w:rPr>
              <w:t>1.5 %</w:t>
            </w:r>
          </w:p>
        </w:tc>
      </w:tr>
      <w:tr w:rsidR="00691F3C" w14:paraId="01B746A7" w14:textId="77777777" w:rsidTr="00691F3C">
        <w:tc>
          <w:tcPr>
            <w:tcW w:w="4531" w:type="dxa"/>
          </w:tcPr>
          <w:p w14:paraId="78B3B66B" w14:textId="77777777" w:rsidR="00691F3C" w:rsidRDefault="00C525BB" w:rsidP="007F7B5D">
            <w:pPr>
              <w:keepNext/>
              <w:jc w:val="center"/>
              <w:rPr>
                <w:lang w:val="en-US"/>
              </w:rPr>
            </w:pPr>
            <w:r w:rsidRPr="00C525BB">
              <w:rPr>
                <w:lang w:val="en-US"/>
              </w:rPr>
              <w:t>CO</w:t>
            </w:r>
            <w:r w:rsidRPr="00C525BB">
              <w:rPr>
                <w:vertAlign w:val="subscript"/>
                <w:lang w:val="en-US"/>
              </w:rPr>
              <w:t>2</w:t>
            </w:r>
          </w:p>
        </w:tc>
        <w:tc>
          <w:tcPr>
            <w:tcW w:w="4531" w:type="dxa"/>
          </w:tcPr>
          <w:p w14:paraId="216A2FC4" w14:textId="77777777" w:rsidR="00691F3C" w:rsidRDefault="00691F3C" w:rsidP="007F7B5D">
            <w:pPr>
              <w:keepNext/>
              <w:jc w:val="center"/>
              <w:rPr>
                <w:lang w:val="en-US"/>
              </w:rPr>
            </w:pPr>
            <w:r>
              <w:rPr>
                <w:lang w:val="en-US"/>
              </w:rPr>
              <w:t>0.15 %</w:t>
            </w:r>
          </w:p>
        </w:tc>
      </w:tr>
      <w:tr w:rsidR="00691F3C" w14:paraId="55C4D838" w14:textId="77777777" w:rsidTr="00691F3C">
        <w:tc>
          <w:tcPr>
            <w:tcW w:w="4531" w:type="dxa"/>
          </w:tcPr>
          <w:p w14:paraId="6F1E1CFA" w14:textId="77777777" w:rsidR="00691F3C" w:rsidRDefault="00691F3C" w:rsidP="007F7B5D">
            <w:pPr>
              <w:keepNext/>
              <w:jc w:val="center"/>
              <w:rPr>
                <w:lang w:val="en-US"/>
              </w:rPr>
            </w:pPr>
            <w:r>
              <w:rPr>
                <w:lang w:val="en-US"/>
              </w:rPr>
              <w:t>H</w:t>
            </w:r>
            <w:r w:rsidRPr="00691F3C">
              <w:rPr>
                <w:vertAlign w:val="subscript"/>
                <w:lang w:val="en-US"/>
              </w:rPr>
              <w:t>2</w:t>
            </w:r>
            <w:r>
              <w:rPr>
                <w:lang w:val="en-US"/>
              </w:rPr>
              <w:t>O</w:t>
            </w:r>
          </w:p>
        </w:tc>
        <w:tc>
          <w:tcPr>
            <w:tcW w:w="4531" w:type="dxa"/>
          </w:tcPr>
          <w:p w14:paraId="714A9862" w14:textId="77777777" w:rsidR="00691F3C" w:rsidRDefault="00691F3C" w:rsidP="007F7B5D">
            <w:pPr>
              <w:keepNext/>
              <w:jc w:val="center"/>
              <w:rPr>
                <w:lang w:val="en-US"/>
              </w:rPr>
            </w:pPr>
            <w:r>
              <w:rPr>
                <w:lang w:val="en-US"/>
              </w:rPr>
              <w:t>2.2 %</w:t>
            </w:r>
          </w:p>
        </w:tc>
      </w:tr>
      <w:tr w:rsidR="00691F3C" w14:paraId="4F2DF27D" w14:textId="77777777" w:rsidTr="00691F3C">
        <w:tc>
          <w:tcPr>
            <w:tcW w:w="4531" w:type="dxa"/>
          </w:tcPr>
          <w:p w14:paraId="7BA7B67B" w14:textId="77777777" w:rsidR="00691F3C" w:rsidRDefault="00C525BB" w:rsidP="007F7B5D">
            <w:pPr>
              <w:keepNext/>
              <w:jc w:val="center"/>
              <w:rPr>
                <w:lang w:val="en-US"/>
              </w:rPr>
            </w:pPr>
            <w:r w:rsidRPr="00C525BB">
              <w:rPr>
                <w:lang w:val="en-US"/>
              </w:rPr>
              <w:t>CH</w:t>
            </w:r>
            <w:r w:rsidRPr="00C525BB">
              <w:rPr>
                <w:vertAlign w:val="subscript"/>
                <w:lang w:val="en-US"/>
              </w:rPr>
              <w:t>4</w:t>
            </w:r>
          </w:p>
        </w:tc>
        <w:tc>
          <w:tcPr>
            <w:tcW w:w="4531" w:type="dxa"/>
          </w:tcPr>
          <w:p w14:paraId="6C107A3A" w14:textId="77777777" w:rsidR="00691F3C" w:rsidRDefault="00691F3C" w:rsidP="007F7B5D">
            <w:pPr>
              <w:keepNext/>
              <w:jc w:val="center"/>
              <w:rPr>
                <w:lang w:val="en-US"/>
              </w:rPr>
            </w:pPr>
            <w:r>
              <w:rPr>
                <w:lang w:val="en-US"/>
              </w:rPr>
              <w:t>29 %</w:t>
            </w:r>
          </w:p>
        </w:tc>
      </w:tr>
      <w:tr w:rsidR="00691F3C" w14:paraId="5AD43870" w14:textId="77777777" w:rsidTr="00691F3C">
        <w:tc>
          <w:tcPr>
            <w:tcW w:w="4531" w:type="dxa"/>
          </w:tcPr>
          <w:p w14:paraId="30BC8326" w14:textId="77777777" w:rsidR="00691F3C" w:rsidRPr="00691F3C" w:rsidRDefault="00691F3C" w:rsidP="007F7B5D">
            <w:pPr>
              <w:keepNext/>
              <w:jc w:val="center"/>
              <w:rPr>
                <w:lang w:val="en-US"/>
              </w:rPr>
            </w:pPr>
            <w:r w:rsidRPr="00691F3C">
              <w:rPr>
                <w:lang w:val="en-US"/>
              </w:rPr>
              <w:t>NH</w:t>
            </w:r>
            <w:r w:rsidRPr="00691F3C">
              <w:rPr>
                <w:vertAlign w:val="subscript"/>
                <w:lang w:val="en-US"/>
              </w:rPr>
              <w:t>3</w:t>
            </w:r>
          </w:p>
        </w:tc>
        <w:tc>
          <w:tcPr>
            <w:tcW w:w="4531" w:type="dxa"/>
          </w:tcPr>
          <w:p w14:paraId="4B000532" w14:textId="77777777" w:rsidR="00691F3C" w:rsidRPr="00C525BB" w:rsidRDefault="00691F3C" w:rsidP="007F7B5D">
            <w:pPr>
              <w:keepNext/>
              <w:jc w:val="center"/>
              <w:rPr>
                <w:color w:val="FF0000"/>
                <w:lang w:val="en-US"/>
              </w:rPr>
            </w:pPr>
            <w:r w:rsidRPr="00C525BB">
              <w:rPr>
                <w:color w:val="FF0000"/>
                <w:lang w:val="en-US"/>
              </w:rPr>
              <w:t>~ 1 %</w:t>
            </w:r>
          </w:p>
        </w:tc>
      </w:tr>
      <w:tr w:rsidR="00691F3C" w14:paraId="5B965A63" w14:textId="77777777" w:rsidTr="00691F3C">
        <w:tc>
          <w:tcPr>
            <w:tcW w:w="4531" w:type="dxa"/>
          </w:tcPr>
          <w:p w14:paraId="1A860266" w14:textId="77777777" w:rsidR="00691F3C" w:rsidRPr="00691F3C" w:rsidRDefault="00691F3C" w:rsidP="007F7B5D">
            <w:pPr>
              <w:keepNext/>
              <w:jc w:val="center"/>
              <w:rPr>
                <w:lang w:val="en-US"/>
              </w:rPr>
            </w:pPr>
            <w:r w:rsidRPr="00691F3C">
              <w:rPr>
                <w:lang w:val="en-US"/>
              </w:rPr>
              <w:t>C</w:t>
            </w:r>
            <w:r w:rsidRPr="00691F3C">
              <w:rPr>
                <w:vertAlign w:val="subscript"/>
                <w:lang w:val="en-US"/>
              </w:rPr>
              <w:t>6</w:t>
            </w:r>
            <w:r w:rsidRPr="00691F3C">
              <w:rPr>
                <w:lang w:val="en-US"/>
              </w:rPr>
              <w:t>H</w:t>
            </w:r>
            <w:r w:rsidRPr="00691F3C">
              <w:rPr>
                <w:vertAlign w:val="subscript"/>
                <w:lang w:val="en-US"/>
              </w:rPr>
              <w:t>6</w:t>
            </w:r>
          </w:p>
        </w:tc>
        <w:tc>
          <w:tcPr>
            <w:tcW w:w="4531" w:type="dxa"/>
          </w:tcPr>
          <w:p w14:paraId="2216B123" w14:textId="77777777" w:rsidR="00691F3C" w:rsidRPr="00C525BB" w:rsidRDefault="00691F3C" w:rsidP="007F7B5D">
            <w:pPr>
              <w:keepNext/>
              <w:jc w:val="center"/>
              <w:rPr>
                <w:color w:val="FF0000"/>
                <w:lang w:val="en-US"/>
              </w:rPr>
            </w:pPr>
            <w:r w:rsidRPr="00C525BB">
              <w:rPr>
                <w:color w:val="FF0000"/>
                <w:lang w:val="en-US"/>
              </w:rPr>
              <w:t xml:space="preserve">&gt; 1000 ppm  </w:t>
            </w:r>
            <w:proofErr w:type="spellStart"/>
            <w:r w:rsidRPr="00C525BB">
              <w:rPr>
                <w:color w:val="FF0000"/>
                <w:lang w:val="en-US"/>
              </w:rPr>
              <w:t>mol</w:t>
            </w:r>
            <w:proofErr w:type="spellEnd"/>
          </w:p>
        </w:tc>
      </w:tr>
      <w:tr w:rsidR="00691F3C" w:rsidDel="00613184" w14:paraId="1013792A" w14:textId="0BE06E27" w:rsidTr="00691F3C">
        <w:trPr>
          <w:del w:id="21" w:author="Trond Brandvik" w:date="2017-09-06T16:19:00Z"/>
        </w:trPr>
        <w:tc>
          <w:tcPr>
            <w:tcW w:w="4531" w:type="dxa"/>
          </w:tcPr>
          <w:p w14:paraId="32167D87" w14:textId="4D3A47F8" w:rsidR="00691F3C" w:rsidDel="00613184" w:rsidRDefault="00691F3C">
            <w:pPr>
              <w:rPr>
                <w:del w:id="22" w:author="Trond Brandvik" w:date="2017-09-06T16:19:00Z"/>
                <w:lang w:val="en-US"/>
              </w:rPr>
            </w:pPr>
          </w:p>
        </w:tc>
        <w:tc>
          <w:tcPr>
            <w:tcW w:w="4531" w:type="dxa"/>
          </w:tcPr>
          <w:p w14:paraId="23DA7DA9" w14:textId="4FE7D4ED" w:rsidR="00691F3C" w:rsidDel="00613184" w:rsidRDefault="00691F3C">
            <w:pPr>
              <w:rPr>
                <w:del w:id="23" w:author="Trond Brandvik" w:date="2017-09-06T16:19:00Z"/>
                <w:lang w:val="en-US"/>
              </w:rPr>
            </w:pPr>
          </w:p>
        </w:tc>
      </w:tr>
    </w:tbl>
    <w:p w14:paraId="561BFFA5" w14:textId="77777777" w:rsidR="008F6E5E" w:rsidRDefault="008F6E5E">
      <w:pPr>
        <w:rPr>
          <w:lang w:val="en-US"/>
        </w:rPr>
      </w:pPr>
    </w:p>
    <w:p w14:paraId="0B2B5069" w14:textId="257970B7" w:rsidR="00A84CBD" w:rsidRDefault="00C525BB" w:rsidP="00A15960">
      <w:pPr>
        <w:jc w:val="both"/>
        <w:rPr>
          <w:lang w:val="en-US"/>
        </w:rPr>
      </w:pPr>
      <w:r>
        <w:rPr>
          <w:lang w:val="en-US"/>
        </w:rPr>
        <w:t xml:space="preserve">The concentration estimates were found to be stable within the </w:t>
      </w:r>
      <w:proofErr w:type="gramStart"/>
      <w:r>
        <w:rPr>
          <w:lang w:val="en-US"/>
        </w:rPr>
        <w:t>one hour</w:t>
      </w:r>
      <w:proofErr w:type="gramEnd"/>
      <w:r>
        <w:rPr>
          <w:lang w:val="en-US"/>
        </w:rPr>
        <w:t xml:space="preserve"> sampling interval. For water, the condensation in the glass wool could influence the concentration estimate. For ammonia, </w:t>
      </w:r>
      <w:r w:rsidR="000068CC">
        <w:rPr>
          <w:lang w:val="en-US"/>
        </w:rPr>
        <w:t>an</w:t>
      </w:r>
      <w:r>
        <w:rPr>
          <w:lang w:val="en-US"/>
        </w:rPr>
        <w:t xml:space="preserve"> identification was made. However, as only spectral data up to </w:t>
      </w:r>
      <w:proofErr w:type="gramStart"/>
      <w:r>
        <w:rPr>
          <w:lang w:val="en-US"/>
        </w:rPr>
        <w:t>987 ppm</w:t>
      </w:r>
      <w:proofErr w:type="gramEnd"/>
      <w:r>
        <w:rPr>
          <w:lang w:val="en-US"/>
        </w:rPr>
        <w:t xml:space="preserve"> </w:t>
      </w:r>
      <w:proofErr w:type="spellStart"/>
      <w:r>
        <w:rPr>
          <w:lang w:val="en-US"/>
        </w:rPr>
        <w:t>mol</w:t>
      </w:r>
      <w:proofErr w:type="spellEnd"/>
      <w:r>
        <w:rPr>
          <w:lang w:val="en-US"/>
        </w:rPr>
        <w:t xml:space="preserve"> was available, linear extrapolation was performed for the 1 % estimate. As the absorbance at 3333 cm</w:t>
      </w:r>
      <w:r w:rsidRPr="007F7B5D">
        <w:rPr>
          <w:vertAlign w:val="superscript"/>
          <w:lang w:val="en-US"/>
        </w:rPr>
        <w:t>-1</w:t>
      </w:r>
      <w:r>
        <w:rPr>
          <w:lang w:val="en-US"/>
        </w:rPr>
        <w:t xml:space="preserve"> is higher than </w:t>
      </w:r>
      <w:proofErr w:type="gramStart"/>
      <w:r w:rsidR="00D841A8">
        <w:rPr>
          <w:lang w:val="en-US"/>
        </w:rPr>
        <w:t>2</w:t>
      </w:r>
      <w:proofErr w:type="gramEnd"/>
      <w:r>
        <w:rPr>
          <w:lang w:val="en-US"/>
        </w:rPr>
        <w:t>, this means that this is very likely to be an underestimate of the actual ammonia concentration.</w:t>
      </w:r>
      <w:r w:rsidR="0028266E">
        <w:rPr>
          <w:lang w:val="en-US"/>
        </w:rPr>
        <w:t xml:space="preserve"> </w:t>
      </w:r>
    </w:p>
    <w:p w14:paraId="17B87C1A" w14:textId="5C90D59D" w:rsidR="00C525BB" w:rsidRDefault="00C525BB" w:rsidP="00A15960">
      <w:pPr>
        <w:jc w:val="both"/>
        <w:rPr>
          <w:lang w:val="en-US"/>
        </w:rPr>
      </w:pPr>
      <w:r>
        <w:rPr>
          <w:lang w:val="en-US"/>
        </w:rPr>
        <w:t xml:space="preserve">A very high concentration of methane was observed for the sample interval. Given the much lower water concentration, this means that the </w:t>
      </w:r>
      <w:r w:rsidR="00D841A8">
        <w:rPr>
          <w:lang w:val="en-US"/>
        </w:rPr>
        <w:t xml:space="preserve">elemental </w:t>
      </w:r>
      <w:r>
        <w:rPr>
          <w:lang w:val="en-US"/>
        </w:rPr>
        <w:t xml:space="preserve">hydrogen in the anode reacts </w:t>
      </w:r>
      <w:r w:rsidR="00D841A8">
        <w:rPr>
          <w:lang w:val="en-US"/>
        </w:rPr>
        <w:t xml:space="preserve">mainly </w:t>
      </w:r>
      <w:r w:rsidR="000068CC">
        <w:rPr>
          <w:lang w:val="en-US"/>
        </w:rPr>
        <w:t xml:space="preserve">to form methane at this stage of the baking process. By analogy, the </w:t>
      </w:r>
      <w:r w:rsidR="00D841A8">
        <w:rPr>
          <w:lang w:val="en-US"/>
        </w:rPr>
        <w:t xml:space="preserve">elemental </w:t>
      </w:r>
      <w:r w:rsidR="000068CC">
        <w:rPr>
          <w:lang w:val="en-US"/>
        </w:rPr>
        <w:t>nitrogen in the anode reacts to form ammoni</w:t>
      </w:r>
      <w:r w:rsidR="0028266E">
        <w:rPr>
          <w:lang w:val="en-US"/>
        </w:rPr>
        <w:t xml:space="preserve">a: there are significant amounts of nitrogen in the anode raw materials </w:t>
      </w:r>
      <w:r w:rsidR="00416F7B">
        <w:rPr>
          <w:lang w:val="en-US"/>
        </w:rPr>
        <w:fldChar w:fldCharType="begin"/>
      </w:r>
      <w:r w:rsidR="0054179C">
        <w:rPr>
          <w:lang w:val="en-US"/>
        </w:rPr>
        <w:instrText xml:space="preserve"> ADDIN EN.CITE &lt;EndNote&gt;&lt;Cite&gt;&lt;Author&gt;Aarhaug&lt;/Author&gt;&lt;Year&gt;(submitted)&lt;/Year&gt;&lt;RecNum&gt;11&lt;/RecNum&gt;&lt;DisplayText&gt;[11]&lt;/DisplayText&gt;&lt;record&gt;&lt;rec-number&gt;11&lt;/rec-number&gt;&lt;foreign-keys&gt;&lt;key app="EN" db-id="zazap0pzwazv5se2z5sp0peh22rz0rszrvsv" timestamp="1503566260"&gt;11&lt;/key&gt;&lt;/foreign-keys&gt;&lt;ref-type name="Journal Article"&gt;17&lt;/ref-type&gt;&lt;contributors&gt;&lt;authors&gt;&lt;author&gt;Aarhaug, Thor Anders&lt;/author&gt;&lt;author&gt;Ratvik, Arne Petter&lt;/author&gt;&lt;/authors&gt;&lt;/contributors&gt;&lt;titles&gt;&lt;title&gt;An Overview of  Aluminium Primary Production Off-Gas Composition&lt;/title&gt;&lt;secondary-title&gt;Journal of Metals&lt;/secondary-title&gt;&lt;/titles&gt;&lt;periodical&gt;&lt;full-title&gt;Journal of Metals&lt;/full-title&gt;&lt;/periodical&gt;&lt;dates&gt;&lt;year&gt;(submitted)&lt;/year&gt;&lt;/dates&gt;&lt;urls&gt;&lt;/urls&gt;&lt;/record&gt;&lt;/Cite&gt;&lt;/EndNote&gt;</w:instrText>
      </w:r>
      <w:r w:rsidR="00416F7B">
        <w:rPr>
          <w:lang w:val="en-US"/>
        </w:rPr>
        <w:fldChar w:fldCharType="separate"/>
      </w:r>
      <w:r w:rsidR="0054179C">
        <w:rPr>
          <w:noProof/>
          <w:lang w:val="en-US"/>
        </w:rPr>
        <w:t>[11]</w:t>
      </w:r>
      <w:r w:rsidR="00416F7B">
        <w:rPr>
          <w:lang w:val="en-US"/>
        </w:rPr>
        <w:fldChar w:fldCharType="end"/>
      </w:r>
      <w:r w:rsidR="00416F7B">
        <w:rPr>
          <w:lang w:val="en-US"/>
        </w:rPr>
        <w:t>.</w:t>
      </w:r>
    </w:p>
    <w:p w14:paraId="1B7DAE84" w14:textId="2238BB0A" w:rsidR="00A84CBD" w:rsidRDefault="000068CC" w:rsidP="00A15960">
      <w:pPr>
        <w:jc w:val="both"/>
        <w:rPr>
          <w:lang w:val="en-US"/>
        </w:rPr>
      </w:pPr>
      <w:r>
        <w:rPr>
          <w:lang w:val="en-US"/>
        </w:rPr>
        <w:t xml:space="preserve">A positive identification of benzene was made. Quantification was difficult because of overlapping patterns from other gas species. Since comparison with a </w:t>
      </w:r>
      <w:proofErr w:type="gramStart"/>
      <w:r>
        <w:rPr>
          <w:lang w:val="en-US"/>
        </w:rPr>
        <w:t>1000 ppm</w:t>
      </w:r>
      <w:proofErr w:type="gramEnd"/>
      <w:r>
        <w:rPr>
          <w:lang w:val="en-US"/>
        </w:rPr>
        <w:t xml:space="preserve"> </w:t>
      </w:r>
      <w:proofErr w:type="spellStart"/>
      <w:r>
        <w:rPr>
          <w:lang w:val="en-US"/>
        </w:rPr>
        <w:t>mol</w:t>
      </w:r>
      <w:proofErr w:type="spellEnd"/>
      <w:r>
        <w:rPr>
          <w:lang w:val="en-US"/>
        </w:rPr>
        <w:t xml:space="preserve"> library spectrum was made, it was concluded that the benzene concentration was higher than this value. Naphthalene was not identified in the spectra. </w:t>
      </w:r>
      <w:proofErr w:type="gramStart"/>
      <w:r>
        <w:rPr>
          <w:lang w:val="en-US"/>
        </w:rPr>
        <w:t xml:space="preserve">Neither were any sulfurous gas species like </w:t>
      </w:r>
      <w:r w:rsidRPr="000068CC">
        <w:rPr>
          <w:lang w:val="en-US"/>
        </w:rPr>
        <w:t>SO</w:t>
      </w:r>
      <w:r w:rsidRPr="000068CC">
        <w:rPr>
          <w:vertAlign w:val="subscript"/>
          <w:lang w:val="en-US"/>
        </w:rPr>
        <w:t>2</w:t>
      </w:r>
      <w:r>
        <w:rPr>
          <w:lang w:val="en-US"/>
        </w:rPr>
        <w:t xml:space="preserve"> and</w:t>
      </w:r>
      <w:proofErr w:type="gramEnd"/>
      <w:r>
        <w:rPr>
          <w:lang w:val="en-US"/>
        </w:rPr>
        <w:t xml:space="preserve"> COS identified.</w:t>
      </w:r>
      <w:r w:rsidR="00D372C6">
        <w:rPr>
          <w:lang w:val="en-US"/>
        </w:rPr>
        <w:t xml:space="preserve"> </w:t>
      </w:r>
      <w:r w:rsidR="00D841A8">
        <w:rPr>
          <w:lang w:val="en-US"/>
        </w:rPr>
        <w:t>This is</w:t>
      </w:r>
      <w:r w:rsidR="00D372C6">
        <w:rPr>
          <w:lang w:val="en-US"/>
        </w:rPr>
        <w:t xml:space="preserve"> </w:t>
      </w:r>
      <w:r w:rsidR="00D841A8">
        <w:rPr>
          <w:lang w:val="en-US"/>
        </w:rPr>
        <w:t>p</w:t>
      </w:r>
      <w:r w:rsidR="00D372C6">
        <w:rPr>
          <w:lang w:val="en-US"/>
        </w:rPr>
        <w:t>ossibly because no desulfurization takes place at these temperatures.</w:t>
      </w:r>
    </w:p>
    <w:p w14:paraId="3F9CB2DA" w14:textId="77777777" w:rsidR="000068CC" w:rsidRDefault="000068CC" w:rsidP="000068CC">
      <w:pPr>
        <w:pStyle w:val="Heading2"/>
        <w:rPr>
          <w:lang w:val="en-US"/>
        </w:rPr>
      </w:pPr>
      <w:r>
        <w:rPr>
          <w:lang w:val="en-US"/>
        </w:rPr>
        <w:t>Long term sampling</w:t>
      </w:r>
    </w:p>
    <w:p w14:paraId="7986382C" w14:textId="003F3775" w:rsidR="000068CC" w:rsidRDefault="00C01FB6" w:rsidP="00A15960">
      <w:pPr>
        <w:jc w:val="both"/>
        <w:rPr>
          <w:lang w:val="en-US"/>
        </w:rPr>
      </w:pPr>
      <w:r>
        <w:rPr>
          <w:lang w:val="en-US"/>
        </w:rPr>
        <w:t xml:space="preserve">Based on the busy spectra obtained from the initial sampling, it was decided to postpone further sampling until higher temperatures. The sampling interval was started approximately at the peak </w:t>
      </w:r>
      <w:r w:rsidR="00D372C6">
        <w:rPr>
          <w:lang w:val="en-US"/>
        </w:rPr>
        <w:t xml:space="preserve">baking temperature in the flue gas at </w:t>
      </w:r>
      <w:r>
        <w:rPr>
          <w:lang w:val="en-US"/>
        </w:rPr>
        <w:t xml:space="preserve">about 1150 °C. The </w:t>
      </w:r>
      <w:r w:rsidR="00D372C6">
        <w:rPr>
          <w:lang w:val="en-US"/>
        </w:rPr>
        <w:t xml:space="preserve">gas composition </w:t>
      </w:r>
      <w:r>
        <w:rPr>
          <w:lang w:val="en-US"/>
        </w:rPr>
        <w:t xml:space="preserve">was </w:t>
      </w:r>
      <w:r w:rsidR="00D372C6">
        <w:rPr>
          <w:lang w:val="en-US"/>
        </w:rPr>
        <w:t xml:space="preserve">monitored </w:t>
      </w:r>
      <w:r>
        <w:rPr>
          <w:lang w:val="en-US"/>
        </w:rPr>
        <w:t xml:space="preserve">for </w:t>
      </w:r>
      <w:r w:rsidR="00D372C6">
        <w:rPr>
          <w:lang w:val="en-US"/>
        </w:rPr>
        <w:t xml:space="preserve">one </w:t>
      </w:r>
      <w:r>
        <w:rPr>
          <w:lang w:val="en-US"/>
        </w:rPr>
        <w:t>week.</w:t>
      </w:r>
    </w:p>
    <w:p w14:paraId="2D25EE2A" w14:textId="426B857A" w:rsidR="000068CC" w:rsidRDefault="00C01FB6" w:rsidP="00A15960">
      <w:pPr>
        <w:jc w:val="both"/>
        <w:rPr>
          <w:lang w:val="en-US"/>
        </w:rPr>
      </w:pPr>
      <w:r>
        <w:rPr>
          <w:lang w:val="en-US"/>
        </w:rPr>
        <w:t>In contrast to the initial sampling, the methane concentrations were much lower.</w:t>
      </w:r>
      <w:r w:rsidR="00742278">
        <w:rPr>
          <w:lang w:val="en-US"/>
        </w:rPr>
        <w:t xml:space="preserve"> The concentration time series is shown in </w:t>
      </w:r>
      <w:r w:rsidR="00742278">
        <w:rPr>
          <w:lang w:val="en-US"/>
        </w:rPr>
        <w:fldChar w:fldCharType="begin"/>
      </w:r>
      <w:r w:rsidR="00742278">
        <w:rPr>
          <w:lang w:val="en-US"/>
        </w:rPr>
        <w:instrText xml:space="preserve"> REF _Ref490232524 \h </w:instrText>
      </w:r>
      <w:r w:rsidR="00A15960">
        <w:rPr>
          <w:lang w:val="en-US"/>
        </w:rPr>
        <w:instrText xml:space="preserve"> \* MERGEFORMAT </w:instrText>
      </w:r>
      <w:r w:rsidR="00742278">
        <w:rPr>
          <w:lang w:val="en-US"/>
        </w:rPr>
      </w:r>
      <w:r w:rsidR="00742278">
        <w:rPr>
          <w:lang w:val="en-US"/>
        </w:rPr>
        <w:fldChar w:fldCharType="separate"/>
      </w:r>
      <w:r w:rsidR="004110CB" w:rsidRPr="00742278">
        <w:rPr>
          <w:lang w:val="en-US"/>
        </w:rPr>
        <w:t xml:space="preserve">Figure </w:t>
      </w:r>
      <w:r w:rsidR="004110CB">
        <w:rPr>
          <w:noProof/>
          <w:lang w:val="en-US"/>
        </w:rPr>
        <w:t>2</w:t>
      </w:r>
      <w:r w:rsidR="00742278">
        <w:rPr>
          <w:lang w:val="en-US"/>
        </w:rPr>
        <w:fldChar w:fldCharType="end"/>
      </w:r>
      <w:r w:rsidR="00742278">
        <w:rPr>
          <w:lang w:val="en-US"/>
        </w:rPr>
        <w:t>.</w:t>
      </w:r>
      <w:r>
        <w:rPr>
          <w:lang w:val="en-US"/>
        </w:rPr>
        <w:t xml:space="preserve"> A fast decline to low levels were also </w:t>
      </w:r>
      <w:commentRangeStart w:id="24"/>
      <w:r>
        <w:rPr>
          <w:lang w:val="en-US"/>
        </w:rPr>
        <w:t>observed</w:t>
      </w:r>
      <w:commentRangeEnd w:id="24"/>
      <w:r w:rsidR="002D082D">
        <w:rPr>
          <w:rStyle w:val="CommentReference"/>
        </w:rPr>
        <w:commentReference w:id="24"/>
      </w:r>
      <w:r>
        <w:rPr>
          <w:lang w:val="en-US"/>
        </w:rPr>
        <w:t xml:space="preserve">. </w:t>
      </w:r>
    </w:p>
    <w:p w14:paraId="232E969A" w14:textId="77777777" w:rsidR="00C01FB6" w:rsidRDefault="00A84CBD" w:rsidP="00C01FB6">
      <w:pPr>
        <w:keepNext/>
      </w:pPr>
      <w:r w:rsidRPr="00A84CBD">
        <w:rPr>
          <w:noProof/>
          <w:lang w:eastAsia="nb-NO"/>
        </w:rPr>
        <w:lastRenderedPageBreak/>
        <w:drawing>
          <wp:inline distT="0" distB="0" distL="0" distR="0" wp14:anchorId="244C46E8" wp14:editId="1D48EF46">
            <wp:extent cx="5760720" cy="2781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781300"/>
                    </a:xfrm>
                    <a:prstGeom prst="rect">
                      <a:avLst/>
                    </a:prstGeom>
                  </pic:spPr>
                </pic:pic>
              </a:graphicData>
            </a:graphic>
          </wp:inline>
        </w:drawing>
      </w:r>
    </w:p>
    <w:p w14:paraId="4D546783" w14:textId="04874411" w:rsidR="00A84CBD" w:rsidRPr="00742278" w:rsidRDefault="00C01FB6" w:rsidP="00C01FB6">
      <w:pPr>
        <w:pStyle w:val="Caption"/>
        <w:rPr>
          <w:lang w:val="en-US"/>
        </w:rPr>
      </w:pPr>
      <w:bookmarkStart w:id="25" w:name="_Ref490232524"/>
      <w:r w:rsidRPr="00742278">
        <w:rPr>
          <w:lang w:val="en-US"/>
        </w:rPr>
        <w:t xml:space="preserve">Figure </w:t>
      </w:r>
      <w:r>
        <w:fldChar w:fldCharType="begin"/>
      </w:r>
      <w:r w:rsidRPr="00742278">
        <w:rPr>
          <w:lang w:val="en-US"/>
        </w:rPr>
        <w:instrText xml:space="preserve"> SEQ Figure \* ARABIC </w:instrText>
      </w:r>
      <w:r>
        <w:fldChar w:fldCharType="separate"/>
      </w:r>
      <w:r w:rsidR="00F95C8E">
        <w:rPr>
          <w:noProof/>
          <w:lang w:val="en-US"/>
        </w:rPr>
        <w:t>2</w:t>
      </w:r>
      <w:r>
        <w:fldChar w:fldCharType="end"/>
      </w:r>
      <w:bookmarkEnd w:id="25"/>
      <w:r w:rsidRPr="00742278">
        <w:rPr>
          <w:lang w:val="en-US"/>
        </w:rPr>
        <w:t>. Methane concentration profile.</w:t>
      </w:r>
    </w:p>
    <w:p w14:paraId="3A13F710" w14:textId="77777777" w:rsidR="00742278" w:rsidRPr="00742278" w:rsidRDefault="00742278" w:rsidP="00742278">
      <w:pPr>
        <w:rPr>
          <w:lang w:val="en-US"/>
        </w:rPr>
      </w:pPr>
    </w:p>
    <w:p w14:paraId="2AF9FEED" w14:textId="4BE4CA1F" w:rsidR="00742278" w:rsidRPr="00742278" w:rsidRDefault="00742278" w:rsidP="00A15960">
      <w:pPr>
        <w:jc w:val="both"/>
        <w:rPr>
          <w:lang w:val="en-US"/>
        </w:rPr>
      </w:pPr>
      <w:r w:rsidRPr="00742278">
        <w:rPr>
          <w:lang w:val="en-US"/>
        </w:rPr>
        <w:t>The concentration profiles for CO, CO</w:t>
      </w:r>
      <w:r w:rsidRPr="00742278">
        <w:rPr>
          <w:vertAlign w:val="subscript"/>
          <w:lang w:val="en-US"/>
        </w:rPr>
        <w:t>2</w:t>
      </w:r>
      <w:r w:rsidR="00D372C6" w:rsidRPr="007F7B5D">
        <w:rPr>
          <w:lang w:val="en-GB"/>
        </w:rPr>
        <w:t>,</w:t>
      </w:r>
      <w:r w:rsidRPr="00742278">
        <w:rPr>
          <w:lang w:val="en-US"/>
        </w:rPr>
        <w:t xml:space="preserve"> as well as the </w:t>
      </w:r>
      <w:r>
        <w:rPr>
          <w:lang w:val="en-US"/>
        </w:rPr>
        <w:t>furnace</w:t>
      </w:r>
      <w:r w:rsidRPr="00742278">
        <w:rPr>
          <w:lang w:val="en-US"/>
        </w:rPr>
        <w:t xml:space="preserve"> temperature</w:t>
      </w:r>
      <w:r w:rsidR="00D372C6">
        <w:rPr>
          <w:lang w:val="en-US"/>
        </w:rPr>
        <w:t>,</w:t>
      </w:r>
      <w:r w:rsidRPr="00742278">
        <w:rPr>
          <w:lang w:val="en-US"/>
        </w:rPr>
        <w:t xml:space="preserve"> is</w:t>
      </w:r>
      <w:r>
        <w:rPr>
          <w:lang w:val="en-US"/>
        </w:rPr>
        <w:t xml:space="preserve"> shown in </w:t>
      </w:r>
      <w:r>
        <w:rPr>
          <w:lang w:val="en-US"/>
        </w:rPr>
        <w:fldChar w:fldCharType="begin"/>
      </w:r>
      <w:r>
        <w:rPr>
          <w:lang w:val="en-US"/>
        </w:rPr>
        <w:instrText xml:space="preserve"> REF _Ref490232722 \h </w:instrText>
      </w:r>
      <w:r w:rsidR="00A15960">
        <w:rPr>
          <w:lang w:val="en-US"/>
        </w:rPr>
        <w:instrText xml:space="preserve"> \* MERGEFORMAT </w:instrText>
      </w:r>
      <w:r>
        <w:rPr>
          <w:lang w:val="en-US"/>
        </w:rPr>
      </w:r>
      <w:r>
        <w:rPr>
          <w:lang w:val="en-US"/>
        </w:rPr>
        <w:fldChar w:fldCharType="separate"/>
      </w:r>
      <w:r w:rsidR="004110CB" w:rsidRPr="00742278">
        <w:rPr>
          <w:lang w:val="en-US"/>
        </w:rPr>
        <w:t xml:space="preserve">Figure </w:t>
      </w:r>
      <w:r w:rsidR="004110CB">
        <w:rPr>
          <w:noProof/>
          <w:lang w:val="en-US"/>
        </w:rPr>
        <w:t>3</w:t>
      </w:r>
      <w:r>
        <w:rPr>
          <w:lang w:val="en-US"/>
        </w:rPr>
        <w:fldChar w:fldCharType="end"/>
      </w:r>
      <w:r>
        <w:rPr>
          <w:lang w:val="en-US"/>
        </w:rPr>
        <w:t xml:space="preserve">. </w:t>
      </w:r>
      <w:r w:rsidR="00D372C6">
        <w:rPr>
          <w:lang w:val="en-US"/>
        </w:rPr>
        <w:t>Simultaneously with</w:t>
      </w:r>
      <w:r>
        <w:rPr>
          <w:lang w:val="en-US"/>
        </w:rPr>
        <w:t xml:space="preserve"> the drop in methane concentration, </w:t>
      </w:r>
      <w:r w:rsidR="00F1035B">
        <w:rPr>
          <w:lang w:val="en-US"/>
        </w:rPr>
        <w:t xml:space="preserve">there </w:t>
      </w:r>
      <w:r>
        <w:rPr>
          <w:lang w:val="en-US"/>
        </w:rPr>
        <w:t xml:space="preserve">is an increase in CO concentration from </w:t>
      </w:r>
      <w:r w:rsidR="00EB3790">
        <w:rPr>
          <w:lang w:val="en-US"/>
        </w:rPr>
        <w:t>approx.</w:t>
      </w:r>
      <w:r>
        <w:rPr>
          <w:lang w:val="en-US"/>
        </w:rPr>
        <w:t xml:space="preserve"> 3 to 12 %.  A rapid shift from 12 % to 14 % is observed five hours into May 14</w:t>
      </w:r>
      <w:r w:rsidR="00D372C6">
        <w:rPr>
          <w:lang w:val="en-US"/>
        </w:rPr>
        <w:t>. A</w:t>
      </w:r>
      <w:r w:rsidR="00FF0C81">
        <w:rPr>
          <w:lang w:val="en-US"/>
        </w:rPr>
        <w:t xml:space="preserve">t this point is also an increase in </w:t>
      </w:r>
      <w:r w:rsidR="00FF0C81" w:rsidRPr="00FF0C81">
        <w:rPr>
          <w:lang w:val="en-US"/>
        </w:rPr>
        <w:t>CO</w:t>
      </w:r>
      <w:r w:rsidR="00FF0C81" w:rsidRPr="00FF0C81">
        <w:rPr>
          <w:vertAlign w:val="subscript"/>
          <w:lang w:val="en-US"/>
        </w:rPr>
        <w:t>2</w:t>
      </w:r>
      <w:r w:rsidR="00FF0C81">
        <w:rPr>
          <w:lang w:val="en-US"/>
        </w:rPr>
        <w:t xml:space="preserve"> concentration observed. </w:t>
      </w:r>
    </w:p>
    <w:p w14:paraId="53B582F8" w14:textId="77777777" w:rsidR="00742278" w:rsidRDefault="002E088D" w:rsidP="00742278">
      <w:pPr>
        <w:keepNext/>
      </w:pPr>
      <w:r w:rsidRPr="002E088D">
        <w:rPr>
          <w:noProof/>
          <w:lang w:eastAsia="nb-NO"/>
        </w:rPr>
        <w:drawing>
          <wp:inline distT="0" distB="0" distL="0" distR="0" wp14:anchorId="121024BA" wp14:editId="105DB450">
            <wp:extent cx="5760720" cy="2781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781300"/>
                    </a:xfrm>
                    <a:prstGeom prst="rect">
                      <a:avLst/>
                    </a:prstGeom>
                  </pic:spPr>
                </pic:pic>
              </a:graphicData>
            </a:graphic>
          </wp:inline>
        </w:drawing>
      </w:r>
    </w:p>
    <w:p w14:paraId="756E38C3" w14:textId="544B052F" w:rsidR="002E088D" w:rsidRDefault="00742278" w:rsidP="00742278">
      <w:pPr>
        <w:pStyle w:val="Caption"/>
        <w:rPr>
          <w:lang w:val="en-US"/>
        </w:rPr>
      </w:pPr>
      <w:bookmarkStart w:id="26" w:name="_Ref490232722"/>
      <w:r w:rsidRPr="00742278">
        <w:rPr>
          <w:lang w:val="en-US"/>
        </w:rPr>
        <w:t xml:space="preserve">Figure </w:t>
      </w:r>
      <w:r>
        <w:fldChar w:fldCharType="begin"/>
      </w:r>
      <w:r w:rsidRPr="00742278">
        <w:rPr>
          <w:lang w:val="en-US"/>
        </w:rPr>
        <w:instrText xml:space="preserve"> SEQ Figure \* ARABIC </w:instrText>
      </w:r>
      <w:r>
        <w:fldChar w:fldCharType="separate"/>
      </w:r>
      <w:r w:rsidR="00F95C8E">
        <w:rPr>
          <w:noProof/>
          <w:lang w:val="en-US"/>
        </w:rPr>
        <w:t>3</w:t>
      </w:r>
      <w:r>
        <w:fldChar w:fldCharType="end"/>
      </w:r>
      <w:bookmarkEnd w:id="26"/>
      <w:r w:rsidRPr="00742278">
        <w:rPr>
          <w:lang w:val="en-US"/>
        </w:rPr>
        <w:t>. Time series for CO, CO</w:t>
      </w:r>
      <w:r w:rsidRPr="00C866B9">
        <w:rPr>
          <w:vertAlign w:val="subscript"/>
          <w:lang w:val="en-US"/>
        </w:rPr>
        <w:t>2</w:t>
      </w:r>
      <w:r w:rsidRPr="00742278">
        <w:rPr>
          <w:lang w:val="en-US"/>
        </w:rPr>
        <w:t xml:space="preserve"> concentrations and </w:t>
      </w:r>
      <w:r>
        <w:rPr>
          <w:lang w:val="en-US"/>
        </w:rPr>
        <w:t>furnace</w:t>
      </w:r>
      <w:r w:rsidRPr="00742278">
        <w:rPr>
          <w:lang w:val="en-US"/>
        </w:rPr>
        <w:t xml:space="preserve"> temperature.</w:t>
      </w:r>
    </w:p>
    <w:p w14:paraId="2084746C" w14:textId="3826C0D6" w:rsidR="00F976F0" w:rsidRDefault="00F976F0">
      <w:pPr>
        <w:rPr>
          <w:lang w:val="en-US"/>
        </w:rPr>
      </w:pPr>
    </w:p>
    <w:p w14:paraId="41C09494" w14:textId="563449B5" w:rsidR="008F595B" w:rsidRDefault="00925764">
      <w:pPr>
        <w:rPr>
          <w:lang w:val="en-US"/>
        </w:rPr>
      </w:pPr>
      <w:r>
        <w:rPr>
          <w:lang w:val="en-US"/>
        </w:rPr>
        <w:t xml:space="preserve">The formation of carbon oxides in the pit gas is expected to source from air present by a slight </w:t>
      </w:r>
      <w:proofErr w:type="spellStart"/>
      <w:r>
        <w:rPr>
          <w:lang w:val="en-US"/>
        </w:rPr>
        <w:t>underpressure</w:t>
      </w:r>
      <w:proofErr w:type="spellEnd"/>
      <w:r>
        <w:rPr>
          <w:lang w:val="en-US"/>
        </w:rPr>
        <w:t xml:space="preserve"> in the open pit. The reactions are given by:</w:t>
      </w:r>
    </w:p>
    <w:p w14:paraId="6382496D" w14:textId="44863500" w:rsidR="008F595B" w:rsidRDefault="00925764" w:rsidP="007F7B5D">
      <w:pPr>
        <w:jc w:val="center"/>
        <w:rPr>
          <w:rFonts w:eastAsiaTheme="minorEastAsia"/>
          <w:lang w:val="en-US"/>
        </w:rPr>
      </w:pPr>
      <m:oMath>
        <m:r>
          <m:rPr>
            <m:sty m:val="p"/>
          </m:rPr>
          <w:rPr>
            <w:rFonts w:ascii="Cambria Math" w:hAnsi="Cambria Math"/>
            <w:lang w:val="en-US"/>
          </w:rPr>
          <m:t>C</m:t>
        </m:r>
        <m:d>
          <m:dPr>
            <m:ctrlPr>
              <w:rPr>
                <w:rFonts w:ascii="Cambria Math" w:hAnsi="Cambria Math"/>
                <w:lang w:val="en-US"/>
              </w:rPr>
            </m:ctrlPr>
          </m:dPr>
          <m:e>
            <m:r>
              <m:rPr>
                <m:sty m:val="p"/>
              </m:rPr>
              <w:rPr>
                <w:rFonts w:ascii="Cambria Math" w:hAnsi="Cambria Math"/>
                <w:lang w:val="en-US"/>
              </w:rPr>
              <m:t>s</m:t>
            </m:r>
          </m:e>
        </m:d>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O</m:t>
            </m:r>
          </m:e>
          <m:sub>
            <m:r>
              <w:rPr>
                <w:rFonts w:ascii="Cambria Math" w:hAnsi="Cambria Math"/>
                <w:lang w:val="en-US"/>
              </w:rPr>
              <m:t>2</m:t>
            </m:r>
          </m:sub>
        </m:sSub>
        <m:d>
          <m:dPr>
            <m:ctrlPr>
              <w:rPr>
                <w:rFonts w:ascii="Cambria Math" w:hAnsi="Cambria Math"/>
                <w:lang w:val="en-US"/>
              </w:rPr>
            </m:ctrlPr>
          </m:dPr>
          <m:e>
            <m:r>
              <m:rPr>
                <m:sty m:val="p"/>
              </m:rPr>
              <w:rPr>
                <w:rFonts w:ascii="Cambria Math" w:hAnsi="Cambria Math"/>
                <w:lang w:val="en-US"/>
              </w:rPr>
              <m:t>g</m:t>
            </m:r>
          </m:e>
        </m:d>
        <m:r>
          <m:rPr>
            <m:sty m:val="p"/>
          </m:rPr>
          <w:rPr>
            <w:rFonts w:ascii="Cambria Math" w:hAnsi="Cambria Math"/>
            <w:lang w:val="en-US"/>
          </w:rPr>
          <m:t xml:space="preserve">= </m:t>
        </m:r>
        <m:sSub>
          <m:sSubPr>
            <m:ctrlPr>
              <w:rPr>
                <w:rFonts w:ascii="Cambria Math" w:hAnsi="Cambria Math"/>
                <w:lang w:val="en-US"/>
              </w:rPr>
            </m:ctrlPr>
          </m:sSubPr>
          <m:e>
            <m:r>
              <m:rPr>
                <m:sty m:val="p"/>
              </m:rPr>
              <w:rPr>
                <w:rFonts w:ascii="Cambria Math" w:hAnsi="Cambria Math"/>
                <w:lang w:val="en-US"/>
              </w:rPr>
              <m:t>CO</m:t>
            </m:r>
          </m:e>
          <m:sub>
            <m:r>
              <m:rPr>
                <m:sty m:val="p"/>
              </m:rPr>
              <w:rPr>
                <w:rFonts w:ascii="Cambria Math" w:hAnsi="Cambria Math"/>
                <w:lang w:val="en-US"/>
              </w:rPr>
              <m:t>2</m:t>
            </m:r>
          </m:sub>
        </m:sSub>
        <m:d>
          <m:dPr>
            <m:ctrlPr>
              <w:rPr>
                <w:rFonts w:ascii="Cambria Math" w:hAnsi="Cambria Math"/>
                <w:lang w:val="en-US"/>
              </w:rPr>
            </m:ctrlPr>
          </m:dPr>
          <m:e>
            <m:r>
              <m:rPr>
                <m:sty m:val="p"/>
              </m:rPr>
              <w:rPr>
                <w:rFonts w:ascii="Cambria Math" w:hAnsi="Cambria Math"/>
                <w:lang w:val="en-US"/>
              </w:rPr>
              <m:t>g</m:t>
            </m:r>
          </m:e>
        </m:d>
      </m:oMath>
      <w:r>
        <w:rPr>
          <w:rFonts w:eastAsiaTheme="minorEastAsia"/>
          <w:lang w:val="en-US"/>
        </w:rPr>
        <w:tab/>
        <w:t>(1)</w:t>
      </w:r>
    </w:p>
    <w:p w14:paraId="2F586998" w14:textId="6978B823" w:rsidR="00925764" w:rsidRDefault="0042442A" w:rsidP="007F7B5D">
      <w:pPr>
        <w:jc w:val="center"/>
        <w:rPr>
          <w:lang w:val="en-US"/>
        </w:rPr>
      </w:pPr>
      <m:oMath>
        <m:sSub>
          <m:sSubPr>
            <m:ctrlPr>
              <w:rPr>
                <w:rFonts w:ascii="Cambria Math" w:hAnsi="Cambria Math"/>
                <w:lang w:val="en-US"/>
              </w:rPr>
            </m:ctrlPr>
          </m:sSubPr>
          <m:e>
            <m:r>
              <m:rPr>
                <m:sty m:val="p"/>
              </m:rPr>
              <w:rPr>
                <w:rFonts w:ascii="Cambria Math" w:hAnsi="Cambria Math"/>
                <w:lang w:val="en-US"/>
              </w:rPr>
              <m:t>C</m:t>
            </m:r>
            <m:d>
              <m:dPr>
                <m:ctrlPr>
                  <w:rPr>
                    <w:rFonts w:ascii="Cambria Math" w:hAnsi="Cambria Math"/>
                    <w:lang w:val="en-US"/>
                  </w:rPr>
                </m:ctrlPr>
              </m:dPr>
              <m:e>
                <m:r>
                  <m:rPr>
                    <m:sty m:val="p"/>
                  </m:rPr>
                  <w:rPr>
                    <w:rFonts w:ascii="Cambria Math" w:hAnsi="Cambria Math"/>
                    <w:lang w:val="en-US"/>
                  </w:rPr>
                  <m:t>s</m:t>
                </m:r>
              </m:e>
            </m:d>
            <m:r>
              <m:rPr>
                <m:sty m:val="p"/>
              </m:rPr>
              <w:rPr>
                <w:rFonts w:ascii="Cambria Math" w:hAnsi="Cambria Math"/>
                <w:lang w:val="en-US"/>
              </w:rPr>
              <m:t>+O</m:t>
            </m:r>
          </m:e>
          <m:sub>
            <m:r>
              <w:rPr>
                <w:rFonts w:ascii="Cambria Math" w:hAnsi="Cambria Math"/>
                <w:lang w:val="en-US"/>
              </w:rPr>
              <m:t>2</m:t>
            </m:r>
          </m:sub>
        </m:sSub>
        <m:d>
          <m:dPr>
            <m:ctrlPr>
              <w:rPr>
                <w:rFonts w:ascii="Cambria Math" w:hAnsi="Cambria Math"/>
                <w:lang w:val="en-US"/>
              </w:rPr>
            </m:ctrlPr>
          </m:dPr>
          <m:e>
            <m:r>
              <m:rPr>
                <m:sty m:val="p"/>
              </m:rPr>
              <w:rPr>
                <w:rFonts w:ascii="Cambria Math" w:hAnsi="Cambria Math"/>
                <w:lang w:val="en-US"/>
              </w:rPr>
              <m:t>g</m:t>
            </m:r>
          </m:e>
        </m:d>
        <m:r>
          <m:rPr>
            <m:sty m:val="p"/>
          </m:rPr>
          <w:rPr>
            <w:rFonts w:ascii="Cambria Math" w:hAnsi="Cambria Math"/>
            <w:lang w:val="en-US"/>
          </w:rPr>
          <m:t xml:space="preserve">= </m:t>
        </m:r>
        <m:r>
          <m:rPr>
            <m:sty m:val="p"/>
          </m:rPr>
          <w:rPr>
            <w:rFonts w:ascii="Cambria Math" w:hAnsi="Cambria Math"/>
            <w:lang w:val="en-US"/>
          </w:rPr>
          <m:t>2CO</m:t>
        </m:r>
        <m:d>
          <m:dPr>
            <m:ctrlPr>
              <w:rPr>
                <w:rFonts w:ascii="Cambria Math" w:hAnsi="Cambria Math"/>
                <w:lang w:val="en-US"/>
              </w:rPr>
            </m:ctrlPr>
          </m:dPr>
          <m:e>
            <m:r>
              <m:rPr>
                <m:sty m:val="p"/>
              </m:rPr>
              <w:rPr>
                <w:rFonts w:ascii="Cambria Math" w:hAnsi="Cambria Math"/>
                <w:lang w:val="en-US"/>
              </w:rPr>
              <m:t>g</m:t>
            </m:r>
          </m:e>
        </m:d>
      </m:oMath>
      <w:r w:rsidR="00925764">
        <w:rPr>
          <w:rFonts w:eastAsiaTheme="minorEastAsia"/>
          <w:lang w:val="en-US"/>
        </w:rPr>
        <w:t xml:space="preserve"> </w:t>
      </w:r>
      <w:r w:rsidR="00925764">
        <w:rPr>
          <w:rFonts w:eastAsiaTheme="minorEastAsia"/>
          <w:lang w:val="en-US"/>
        </w:rPr>
        <w:tab/>
        <w:t>(2)</w:t>
      </w:r>
    </w:p>
    <w:p w14:paraId="43029296" w14:textId="77777777" w:rsidR="00EF6BE1" w:rsidRDefault="00EF6BE1">
      <w:pPr>
        <w:rPr>
          <w:lang w:val="en-US"/>
        </w:rPr>
      </w:pPr>
    </w:p>
    <w:p w14:paraId="24D42476" w14:textId="6A1DA901" w:rsidR="00EF6BE1" w:rsidRDefault="00EF6BE1">
      <w:pPr>
        <w:rPr>
          <w:lang w:val="en-US"/>
        </w:rPr>
      </w:pPr>
      <w:r>
        <w:rPr>
          <w:lang w:val="en-US"/>
        </w:rPr>
        <w:t xml:space="preserve">Whereas the </w:t>
      </w:r>
      <w:proofErr w:type="spellStart"/>
      <w:r>
        <w:rPr>
          <w:lang w:val="en-US"/>
        </w:rPr>
        <w:t>gibbs</w:t>
      </w:r>
      <w:proofErr w:type="spellEnd"/>
      <w:r>
        <w:rPr>
          <w:lang w:val="en-US"/>
        </w:rPr>
        <w:t xml:space="preserve"> free energy change for the first reaction is almost constant at -400 kJ, the second reaction becomes favorable at temperatures higher than about 700 °C</w:t>
      </w:r>
      <w:r w:rsidR="00FD10D1">
        <w:rPr>
          <w:lang w:val="en-US"/>
        </w:rPr>
        <w:t xml:space="preserve"> </w:t>
      </w:r>
      <w:r w:rsidR="00416F7B">
        <w:rPr>
          <w:lang w:val="en-US"/>
        </w:rPr>
        <w:fldChar w:fldCharType="begin"/>
      </w:r>
      <w:r w:rsidR="0054179C">
        <w:rPr>
          <w:lang w:val="en-US"/>
        </w:rPr>
        <w:instrText xml:space="preserve"> ADDIN EN.CITE &lt;EndNote&gt;&lt;Cite&gt;&lt;Author&gt;Outotec&lt;/Author&gt;&lt;RecNum&gt;12&lt;/RecNum&gt;&lt;DisplayText&gt;[12]&lt;/DisplayText&gt;&lt;record&gt;&lt;rec-number&gt;12&lt;/rec-number&gt;&lt;foreign-keys&gt;&lt;key app="EN" db-id="zazap0pzwazv5se2z5sp0peh22rz0rszrvsv" timestamp="1503566534"&gt;12&lt;/key&gt;&lt;/foreign-keys&gt;&lt;ref-type name="Computer Program"&gt;9&lt;/ref-type&gt;&lt;contributors&gt;&lt;authors&gt;&lt;author&gt;Outotec&lt;/author&gt;&lt;/authors&gt;&lt;/contributors&gt;&lt;titles&gt;&lt;title&gt;HSC Chemistry&lt;/title&gt;&lt;/titles&gt;&lt;dates&gt;&lt;/dates&gt;&lt;publisher&gt;Outotec&lt;/publisher&gt;&lt;work-type&gt;7&lt;/work-type&gt;&lt;urls&gt;&lt;/urls&gt;&lt;/record&gt;&lt;/Cite&gt;&lt;/EndNote&gt;</w:instrText>
      </w:r>
      <w:r w:rsidR="00416F7B">
        <w:rPr>
          <w:lang w:val="en-US"/>
        </w:rPr>
        <w:fldChar w:fldCharType="separate"/>
      </w:r>
      <w:r w:rsidR="0054179C">
        <w:rPr>
          <w:noProof/>
          <w:lang w:val="en-US"/>
        </w:rPr>
        <w:t>[12]</w:t>
      </w:r>
      <w:r w:rsidR="00416F7B">
        <w:rPr>
          <w:lang w:val="en-US"/>
        </w:rPr>
        <w:fldChar w:fldCharType="end"/>
      </w:r>
      <w:r>
        <w:rPr>
          <w:lang w:val="en-US"/>
        </w:rPr>
        <w:t xml:space="preserve">. The produced </w:t>
      </w:r>
      <w:r w:rsidRPr="00EF6BE1">
        <w:rPr>
          <w:lang w:val="en-US"/>
        </w:rPr>
        <w:t>CO</w:t>
      </w:r>
      <w:r w:rsidRPr="00EF6BE1">
        <w:rPr>
          <w:vertAlign w:val="subscript"/>
          <w:lang w:val="en-US"/>
        </w:rPr>
        <w:t>2</w:t>
      </w:r>
      <w:r>
        <w:rPr>
          <w:lang w:val="en-US"/>
        </w:rPr>
        <w:t xml:space="preserve"> can also react with carbon to form CO </w:t>
      </w:r>
      <w:proofErr w:type="gramStart"/>
      <w:r>
        <w:rPr>
          <w:lang w:val="en-US"/>
        </w:rPr>
        <w:t>in accordance with</w:t>
      </w:r>
      <w:proofErr w:type="gramEnd"/>
      <w:r>
        <w:rPr>
          <w:lang w:val="en-US"/>
        </w:rPr>
        <w:t>:</w:t>
      </w:r>
    </w:p>
    <w:p w14:paraId="5F3BE0D2" w14:textId="6624A09E" w:rsidR="00EF6BE1" w:rsidRPr="00F1035B" w:rsidRDefault="00EF6BE1" w:rsidP="00EF6BE1">
      <w:pPr>
        <w:jc w:val="center"/>
        <w:rPr>
          <w:lang w:val="en-US"/>
        </w:rPr>
      </w:pPr>
      <m:oMath>
        <m:r>
          <m:rPr>
            <m:sty m:val="p"/>
          </m:rPr>
          <w:rPr>
            <w:rFonts w:ascii="Cambria Math" w:hAnsi="Cambria Math"/>
            <w:lang w:val="en-US"/>
          </w:rPr>
          <m:t xml:space="preserve"> </m:t>
        </m:r>
        <m:sSub>
          <m:sSubPr>
            <m:ctrlPr>
              <w:rPr>
                <w:rFonts w:ascii="Cambria Math" w:hAnsi="Cambria Math"/>
                <w:lang w:val="en-US"/>
              </w:rPr>
            </m:ctrlPr>
          </m:sSubPr>
          <m:e>
            <m:r>
              <m:rPr>
                <m:sty m:val="p"/>
              </m:rPr>
              <w:rPr>
                <w:rFonts w:ascii="Cambria Math" w:hAnsi="Cambria Math"/>
                <w:lang w:val="en-US"/>
              </w:rPr>
              <m:t>CO</m:t>
            </m:r>
          </m:e>
          <m:sub>
            <m:r>
              <m:rPr>
                <m:sty m:val="p"/>
              </m:rPr>
              <w:rPr>
                <w:rFonts w:ascii="Cambria Math" w:hAnsi="Cambria Math"/>
                <w:lang w:val="en-US"/>
              </w:rPr>
              <m:t>2</m:t>
            </m:r>
          </m:sub>
        </m:sSub>
        <m:d>
          <m:dPr>
            <m:ctrlPr>
              <w:rPr>
                <w:rFonts w:ascii="Cambria Math" w:hAnsi="Cambria Math"/>
                <w:lang w:val="en-US"/>
              </w:rPr>
            </m:ctrlPr>
          </m:dPr>
          <m:e>
            <m:r>
              <m:rPr>
                <m:sty m:val="p"/>
              </m:rPr>
              <w:rPr>
                <w:rFonts w:ascii="Cambria Math" w:hAnsi="Cambria Math"/>
                <w:lang w:val="en-US"/>
              </w:rPr>
              <m:t>g</m:t>
            </m:r>
          </m:e>
        </m:d>
        <m:r>
          <m:rPr>
            <m:sty m:val="p"/>
          </m:rPr>
          <w:rPr>
            <w:rFonts w:ascii="Cambria Math" w:hAnsi="Cambria Math"/>
            <w:lang w:val="en-US"/>
          </w:rPr>
          <m:t>+ C</m:t>
        </m:r>
        <m:d>
          <m:dPr>
            <m:ctrlPr>
              <w:rPr>
                <w:rFonts w:ascii="Cambria Math" w:hAnsi="Cambria Math"/>
                <w:lang w:val="en-US"/>
              </w:rPr>
            </m:ctrlPr>
          </m:dPr>
          <m:e>
            <m:r>
              <m:rPr>
                <m:sty m:val="p"/>
              </m:rPr>
              <w:rPr>
                <w:rFonts w:ascii="Cambria Math" w:hAnsi="Cambria Math"/>
                <w:lang w:val="en-US"/>
              </w:rPr>
              <m:t>s</m:t>
            </m:r>
          </m:e>
        </m:d>
        <m:r>
          <m:rPr>
            <m:sty m:val="p"/>
          </m:rPr>
          <w:rPr>
            <w:rFonts w:ascii="Cambria Math" w:hAnsi="Cambria Math"/>
            <w:lang w:val="en-US"/>
          </w:rPr>
          <m:t>=2CO</m:t>
        </m:r>
        <m:d>
          <m:dPr>
            <m:ctrlPr>
              <w:rPr>
                <w:rFonts w:ascii="Cambria Math" w:hAnsi="Cambria Math"/>
                <w:lang w:val="en-US"/>
              </w:rPr>
            </m:ctrlPr>
          </m:dPr>
          <m:e>
            <m:r>
              <m:rPr>
                <m:sty m:val="p"/>
              </m:rPr>
              <w:rPr>
                <w:rFonts w:ascii="Cambria Math" w:hAnsi="Cambria Math"/>
                <w:lang w:val="en-US"/>
              </w:rPr>
              <m:t>g</m:t>
            </m:r>
          </m:e>
        </m:d>
      </m:oMath>
      <w:r>
        <w:rPr>
          <w:rFonts w:eastAsiaTheme="minorEastAsia"/>
          <w:lang w:val="en-US"/>
        </w:rPr>
        <w:tab/>
        <w:t>(3)</w:t>
      </w:r>
    </w:p>
    <w:p w14:paraId="211289C4" w14:textId="0D03D85B" w:rsidR="00EF6BE1" w:rsidRDefault="00FD10D1">
      <w:pPr>
        <w:rPr>
          <w:lang w:val="en-US"/>
        </w:rPr>
      </w:pPr>
      <w:r>
        <w:rPr>
          <w:lang w:val="en-US"/>
        </w:rPr>
        <w:t xml:space="preserve">This </w:t>
      </w:r>
      <w:r w:rsidRPr="00FD10D1">
        <w:rPr>
          <w:lang w:val="en-US"/>
        </w:rPr>
        <w:t>CO</w:t>
      </w:r>
      <w:r w:rsidRPr="00FD10D1">
        <w:rPr>
          <w:vertAlign w:val="subscript"/>
          <w:lang w:val="en-US"/>
        </w:rPr>
        <w:t>2</w:t>
      </w:r>
      <w:r>
        <w:rPr>
          <w:lang w:val="en-US"/>
        </w:rPr>
        <w:t xml:space="preserve"> reactivity is also called </w:t>
      </w:r>
      <w:proofErr w:type="spellStart"/>
      <w:r>
        <w:rPr>
          <w:lang w:val="en-US"/>
        </w:rPr>
        <w:t>carboxy</w:t>
      </w:r>
      <w:proofErr w:type="spellEnd"/>
      <w:r>
        <w:rPr>
          <w:lang w:val="en-US"/>
        </w:rPr>
        <w:t xml:space="preserve"> gasification </w:t>
      </w:r>
      <w:r w:rsidR="005D2979">
        <w:rPr>
          <w:lang w:val="en-US"/>
        </w:rPr>
        <w:fldChar w:fldCharType="begin"/>
      </w:r>
      <w:r w:rsidR="0054179C">
        <w:rPr>
          <w:lang w:val="en-US"/>
        </w:rPr>
        <w:instrText xml:space="preserve"> ADDIN EN.CITE &lt;EndNote&gt;&lt;Cite&gt;&lt;Author&gt;Chevarin&lt;/Author&gt;&lt;Year&gt;2015&lt;/Year&gt;&lt;RecNum&gt;13&lt;/RecNum&gt;&lt;DisplayText&gt;[13]&lt;/DisplayText&gt;&lt;record&gt;&lt;rec-number&gt;13&lt;/rec-number&gt;&lt;foreign-keys&gt;&lt;key app="EN" db-id="zazap0pzwazv5se2z5sp0peh22rz0rszrvsv" timestamp="1503566709"&gt;13&lt;/key&gt;&lt;/foreign-keys&gt;&lt;ref-type name="Journal Article"&gt;17&lt;/ref-type&gt;&lt;contributors&gt;&lt;authors&gt;&lt;author&gt;F. Chevarin&lt;/author&gt;&lt;author&gt;L. Lemieux&lt;/author&gt;&lt;author&gt;D. Ziegler&lt;/author&gt;&lt;author&gt;M. Fafard&lt;/author&gt;&lt;author&gt;H. Alamdari&lt;/author&gt;&lt;/authors&gt;&lt;/contributors&gt;&lt;titles&gt;&lt;title&gt;Air and CO2 Reactivity of Carbon Anode and Its Constituents: An Attempt to Understand Dusting Phenomenon&lt;/title&gt;&lt;secondary-title&gt;Light Metals&lt;/secondary-title&gt;&lt;/titles&gt;&lt;periodical&gt;&lt;full-title&gt;Light Metals&lt;/full-title&gt;&lt;/periodical&gt;&lt;pages&gt;1147-1152&lt;/pages&gt;&lt;dates&gt;&lt;year&gt;2015&lt;/year&gt;&lt;/dates&gt;&lt;urls&gt;&lt;/urls&gt;&lt;/record&gt;&lt;/Cite&gt;&lt;/EndNote&gt;</w:instrText>
      </w:r>
      <w:r w:rsidR="005D2979">
        <w:rPr>
          <w:lang w:val="en-US"/>
        </w:rPr>
        <w:fldChar w:fldCharType="separate"/>
      </w:r>
      <w:r w:rsidR="0054179C">
        <w:rPr>
          <w:noProof/>
          <w:lang w:val="en-US"/>
        </w:rPr>
        <w:t>[13]</w:t>
      </w:r>
      <w:r w:rsidR="005D2979">
        <w:rPr>
          <w:lang w:val="en-US"/>
        </w:rPr>
        <w:fldChar w:fldCharType="end"/>
      </w:r>
      <w:r>
        <w:rPr>
          <w:lang w:val="en-US"/>
        </w:rPr>
        <w:t xml:space="preserve"> or reverse </w:t>
      </w:r>
      <w:proofErr w:type="spellStart"/>
      <w:r>
        <w:rPr>
          <w:lang w:val="en-US"/>
        </w:rPr>
        <w:t>boudouard</w:t>
      </w:r>
      <w:proofErr w:type="spellEnd"/>
      <w:r>
        <w:rPr>
          <w:lang w:val="en-US"/>
        </w:rPr>
        <w:t xml:space="preserve"> reaction.</w:t>
      </w:r>
    </w:p>
    <w:p w14:paraId="15D96CA2" w14:textId="5BA83C56" w:rsidR="00BF7C69" w:rsidRDefault="00EB3790">
      <w:pPr>
        <w:rPr>
          <w:lang w:val="en-US"/>
        </w:rPr>
      </w:pPr>
      <w:r>
        <w:rPr>
          <w:lang w:val="en-US"/>
        </w:rPr>
        <w:t xml:space="preserve">The shift from CO to </w:t>
      </w:r>
      <w:r w:rsidRPr="00EB3790">
        <w:rPr>
          <w:lang w:val="en-US"/>
        </w:rPr>
        <w:t>CO</w:t>
      </w:r>
      <w:r w:rsidRPr="00EB3790">
        <w:rPr>
          <w:vertAlign w:val="subscript"/>
          <w:lang w:val="en-US"/>
        </w:rPr>
        <w:t>2</w:t>
      </w:r>
      <w:r>
        <w:rPr>
          <w:lang w:val="en-US"/>
        </w:rPr>
        <w:t xml:space="preserve"> in the gas </w:t>
      </w:r>
      <w:r w:rsidR="00FD10D1">
        <w:rPr>
          <w:lang w:val="en-US"/>
        </w:rPr>
        <w:t xml:space="preserve">with lower temperatures could be caused by either </w:t>
      </w:r>
      <w:r w:rsidR="001E070E">
        <w:rPr>
          <w:lang w:val="en-US"/>
        </w:rPr>
        <w:t>a shift from reaction 2 to reaction 1 as well as a chemical equilibrium temperature dependence (</w:t>
      </w:r>
      <w:r w:rsidR="005D2979">
        <w:rPr>
          <w:lang w:val="en-US"/>
        </w:rPr>
        <w:t xml:space="preserve">eq. </w:t>
      </w:r>
      <w:r w:rsidR="001E070E">
        <w:rPr>
          <w:lang w:val="en-US"/>
        </w:rPr>
        <w:t>3).</w:t>
      </w:r>
    </w:p>
    <w:p w14:paraId="1C8C6540" w14:textId="70957303" w:rsidR="00EB3790" w:rsidRDefault="00EB3790">
      <w:pPr>
        <w:rPr>
          <w:lang w:val="en-US"/>
        </w:rPr>
      </w:pPr>
      <w:r>
        <w:rPr>
          <w:lang w:val="en-US"/>
        </w:rPr>
        <w:t xml:space="preserve">No </w:t>
      </w:r>
      <w:r w:rsidRPr="00D50C32">
        <w:rPr>
          <w:lang w:val="en-US"/>
        </w:rPr>
        <w:t>SO</w:t>
      </w:r>
      <w:r w:rsidRPr="00D50C32">
        <w:rPr>
          <w:vertAlign w:val="subscript"/>
          <w:lang w:val="en-US"/>
        </w:rPr>
        <w:t>2</w:t>
      </w:r>
      <w:r>
        <w:rPr>
          <w:lang w:val="en-US"/>
        </w:rPr>
        <w:t xml:space="preserve"> was observed </w:t>
      </w:r>
      <w:r w:rsidR="00D50C32">
        <w:rPr>
          <w:lang w:val="en-US"/>
        </w:rPr>
        <w:t xml:space="preserve">during the </w:t>
      </w:r>
      <w:r w:rsidR="00F2323F">
        <w:rPr>
          <w:lang w:val="en-US"/>
        </w:rPr>
        <w:t>sampling</w:t>
      </w:r>
      <w:r w:rsidR="00D50C32">
        <w:rPr>
          <w:lang w:val="en-US"/>
        </w:rPr>
        <w:t xml:space="preserve"> period. COS was however identified. COS and CO are confounded </w:t>
      </w:r>
      <w:r w:rsidR="005D2979">
        <w:rPr>
          <w:lang w:val="en-US"/>
        </w:rPr>
        <w:fldChar w:fldCharType="begin"/>
      </w:r>
      <w:r w:rsidR="0054179C">
        <w:rPr>
          <w:lang w:val="en-US"/>
        </w:rPr>
        <w:instrText xml:space="preserve"> ADDIN EN.CITE &lt;EndNote&gt;&lt;Cite&gt;&lt;Author&gt;Aarhaug&lt;/Author&gt;&lt;Year&gt;2014&lt;/Year&gt;&lt;RecNum&gt;9&lt;/RecNum&gt;&lt;DisplayText&gt;[8]&lt;/DisplayText&gt;&lt;record&gt;&lt;rec-number&gt;9&lt;/rec-number&gt;&lt;foreign-keys&gt;&lt;key app="EN" db-id="zazap0pzwazv5se2z5sp0peh22rz0rszrvsv" timestamp="1503563682"&gt;9&lt;/key&gt;&lt;/foreign-keys&gt;&lt;ref-type name="Journal Article"&gt;17&lt;/ref-type&gt;&lt;contributors&gt;&lt;authors&gt;&lt;author&gt;Thor Anders Aarhaug&lt;/author&gt;&lt;author&gt;Alain Ferber&lt;/author&gt;&lt;author&gt;Ole Sigmund Kjos&lt;/author&gt;&lt;author&gt;Heiko Gaertner&lt;/author&gt;&lt;/authors&gt;&lt;/contributors&gt;&lt;titles&gt;&lt;secondary-title&gt;Light Metals&lt;/secondary-title&gt;&lt;/titles&gt;&lt;periodical&gt;&lt;full-title&gt;Light Metals&lt;/full-title&gt;&lt;/periodical&gt;&lt;pages&gt;647-652&lt;/pages&gt;&lt;dates&gt;&lt;year&gt;2014&lt;/year&gt;&lt;/dates&gt;&lt;urls&gt;&lt;/urls&gt;&lt;/record&gt;&lt;/Cite&gt;&lt;/EndNote&gt;</w:instrText>
      </w:r>
      <w:r w:rsidR="005D2979">
        <w:rPr>
          <w:lang w:val="en-US"/>
        </w:rPr>
        <w:fldChar w:fldCharType="separate"/>
      </w:r>
      <w:r w:rsidR="0054179C">
        <w:rPr>
          <w:noProof/>
          <w:lang w:val="en-US"/>
        </w:rPr>
        <w:t>[8]</w:t>
      </w:r>
      <w:r w:rsidR="005D2979">
        <w:rPr>
          <w:lang w:val="en-US"/>
        </w:rPr>
        <w:fldChar w:fldCharType="end"/>
      </w:r>
      <w:r w:rsidR="00D50C32">
        <w:rPr>
          <w:lang w:val="en-US"/>
        </w:rPr>
        <w:t xml:space="preserve">, but in this case the COS was </w:t>
      </w:r>
      <w:r w:rsidR="00844742">
        <w:rPr>
          <w:lang w:val="en-US"/>
        </w:rPr>
        <w:t>observed</w:t>
      </w:r>
      <w:r w:rsidR="00F2323F">
        <w:rPr>
          <w:lang w:val="en-US"/>
        </w:rPr>
        <w:t xml:space="preserve"> after the decrease of CO to </w:t>
      </w:r>
      <w:r w:rsidR="001E070E">
        <w:rPr>
          <w:lang w:val="en-US"/>
        </w:rPr>
        <w:t>levels lower than the initial level of 3 % vol</w:t>
      </w:r>
      <w:r w:rsidR="00F2323F">
        <w:rPr>
          <w:lang w:val="en-US"/>
        </w:rPr>
        <w:t xml:space="preserve">. </w:t>
      </w:r>
    </w:p>
    <w:p w14:paraId="4CC4AA39" w14:textId="77777777" w:rsidR="00D50C32" w:rsidRDefault="00D50C32" w:rsidP="00D50C32">
      <w:pPr>
        <w:keepNext/>
      </w:pPr>
      <w:r w:rsidRPr="00C6468F">
        <w:rPr>
          <w:rFonts w:cs="Times New Roman"/>
          <w:noProof/>
          <w:lang w:eastAsia="nb-NO"/>
        </w:rPr>
        <w:drawing>
          <wp:inline distT="0" distB="0" distL="0" distR="0" wp14:anchorId="75DB1223" wp14:editId="7053C7F1">
            <wp:extent cx="5760720" cy="32175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17545"/>
                    </a:xfrm>
                    <a:prstGeom prst="rect">
                      <a:avLst/>
                    </a:prstGeom>
                  </pic:spPr>
                </pic:pic>
              </a:graphicData>
            </a:graphic>
          </wp:inline>
        </w:drawing>
      </w:r>
    </w:p>
    <w:p w14:paraId="2FC32FD7" w14:textId="5D12C113" w:rsidR="00EB3790" w:rsidRDefault="00D50C32" w:rsidP="00D50C32">
      <w:pPr>
        <w:pStyle w:val="Caption"/>
        <w:rPr>
          <w:lang w:val="en-US"/>
        </w:rPr>
      </w:pPr>
      <w:r w:rsidRPr="00D50C32">
        <w:rPr>
          <w:lang w:val="en-US"/>
        </w:rPr>
        <w:t xml:space="preserve">Figure </w:t>
      </w:r>
      <w:r>
        <w:fldChar w:fldCharType="begin"/>
      </w:r>
      <w:r w:rsidRPr="00D50C32">
        <w:rPr>
          <w:lang w:val="en-US"/>
        </w:rPr>
        <w:instrText xml:space="preserve"> SEQ Figure \* ARABIC </w:instrText>
      </w:r>
      <w:r>
        <w:fldChar w:fldCharType="separate"/>
      </w:r>
      <w:r w:rsidR="00F95C8E">
        <w:rPr>
          <w:noProof/>
          <w:lang w:val="en-US"/>
        </w:rPr>
        <w:t>4</w:t>
      </w:r>
      <w:r>
        <w:fldChar w:fldCharType="end"/>
      </w:r>
      <w:r w:rsidRPr="00D50C32">
        <w:rPr>
          <w:lang w:val="en-US"/>
        </w:rPr>
        <w:t>. Contour plot of spectral information in the 2000-2300 cm</w:t>
      </w:r>
      <w:r w:rsidRPr="00D84B71">
        <w:rPr>
          <w:vertAlign w:val="superscript"/>
          <w:lang w:val="en-US"/>
        </w:rPr>
        <w:t>-1</w:t>
      </w:r>
      <w:r w:rsidRPr="00D50C32">
        <w:rPr>
          <w:lang w:val="en-US"/>
        </w:rPr>
        <w:t xml:space="preserve"> spectral range.</w:t>
      </w:r>
      <w:r>
        <w:rPr>
          <w:lang w:val="en-US"/>
        </w:rPr>
        <w:t xml:space="preserve"> CO signature b</w:t>
      </w:r>
      <w:r w:rsidR="00F1035B">
        <w:rPr>
          <w:lang w:val="en-US"/>
        </w:rPr>
        <w:t>e</w:t>
      </w:r>
      <w:r>
        <w:rPr>
          <w:lang w:val="en-US"/>
        </w:rPr>
        <w:t>tween 2050 and 2230</w:t>
      </w:r>
      <w:r w:rsidR="00F1035B">
        <w:rPr>
          <w:lang w:val="en-US"/>
        </w:rPr>
        <w:t xml:space="preserve"> cm</w:t>
      </w:r>
      <w:r w:rsidR="00F1035B" w:rsidRPr="00D84B71">
        <w:rPr>
          <w:vertAlign w:val="superscript"/>
          <w:lang w:val="en-US"/>
        </w:rPr>
        <w:t>-1</w:t>
      </w:r>
      <w:r>
        <w:rPr>
          <w:lang w:val="en-US"/>
        </w:rPr>
        <w:t>.  COS signature at ~ 2080 cm</w:t>
      </w:r>
      <w:r w:rsidRPr="00D84B71">
        <w:rPr>
          <w:vertAlign w:val="superscript"/>
          <w:lang w:val="en-US"/>
        </w:rPr>
        <w:t>-1</w:t>
      </w:r>
      <w:r>
        <w:rPr>
          <w:lang w:val="en-US"/>
        </w:rPr>
        <w:t xml:space="preserve"> for the last spec</w:t>
      </w:r>
      <w:r w:rsidR="00F1035B">
        <w:rPr>
          <w:lang w:val="en-US"/>
        </w:rPr>
        <w:t>t</w:t>
      </w:r>
      <w:r>
        <w:rPr>
          <w:lang w:val="en-US"/>
        </w:rPr>
        <w:t xml:space="preserve">ra. </w:t>
      </w:r>
      <w:r w:rsidR="00F2323F">
        <w:rPr>
          <w:lang w:val="en-US"/>
        </w:rPr>
        <w:t xml:space="preserve">The </w:t>
      </w:r>
      <w:r w:rsidRPr="00D50C32">
        <w:rPr>
          <w:lang w:val="en-US"/>
        </w:rPr>
        <w:t>CO</w:t>
      </w:r>
      <w:r w:rsidRPr="00D50C32">
        <w:rPr>
          <w:vertAlign w:val="subscript"/>
          <w:lang w:val="en-US"/>
        </w:rPr>
        <w:t>2</w:t>
      </w:r>
      <w:r>
        <w:rPr>
          <w:lang w:val="en-US"/>
        </w:rPr>
        <w:t xml:space="preserve"> </w:t>
      </w:r>
      <w:r w:rsidR="00F2323F">
        <w:rPr>
          <w:lang w:val="en-US"/>
        </w:rPr>
        <w:t>increase is observable</w:t>
      </w:r>
      <w:r>
        <w:rPr>
          <w:lang w:val="en-US"/>
        </w:rPr>
        <w:t xml:space="preserve"> from 2230-2300 cm</w:t>
      </w:r>
      <w:r w:rsidRPr="00D50C32">
        <w:rPr>
          <w:vertAlign w:val="superscript"/>
          <w:lang w:val="en-US"/>
        </w:rPr>
        <w:t>-1</w:t>
      </w:r>
      <w:r>
        <w:rPr>
          <w:lang w:val="en-US"/>
        </w:rPr>
        <w:t>.</w:t>
      </w:r>
    </w:p>
    <w:p w14:paraId="45F8E5B3" w14:textId="78F8391C" w:rsidR="00A75FB8" w:rsidRDefault="00235452" w:rsidP="00D50C32">
      <w:pPr>
        <w:rPr>
          <w:lang w:val="en-US"/>
        </w:rPr>
      </w:pPr>
      <w:r>
        <w:rPr>
          <w:lang w:val="en-US"/>
        </w:rPr>
        <w:t xml:space="preserve">A plot of the COS concentration time series is shown in </w:t>
      </w:r>
      <w:r>
        <w:rPr>
          <w:lang w:val="en-US"/>
        </w:rPr>
        <w:fldChar w:fldCharType="begin"/>
      </w:r>
      <w:r>
        <w:rPr>
          <w:lang w:val="en-US"/>
        </w:rPr>
        <w:instrText xml:space="preserve"> REF _Ref490260122 \h </w:instrText>
      </w:r>
      <w:r>
        <w:rPr>
          <w:lang w:val="en-US"/>
        </w:rPr>
      </w:r>
      <w:r>
        <w:rPr>
          <w:lang w:val="en-US"/>
        </w:rPr>
        <w:fldChar w:fldCharType="separate"/>
      </w:r>
      <w:r w:rsidR="004110CB" w:rsidRPr="00A15960">
        <w:rPr>
          <w:lang w:val="en-US"/>
        </w:rPr>
        <w:t xml:space="preserve">Figure </w:t>
      </w:r>
      <w:r w:rsidR="004110CB">
        <w:rPr>
          <w:noProof/>
          <w:lang w:val="en-US"/>
        </w:rPr>
        <w:t>5</w:t>
      </w:r>
      <w:r>
        <w:rPr>
          <w:lang w:val="en-US"/>
        </w:rPr>
        <w:fldChar w:fldCharType="end"/>
      </w:r>
      <w:r>
        <w:rPr>
          <w:lang w:val="en-US"/>
        </w:rPr>
        <w:t xml:space="preserve">. Here the </w:t>
      </w:r>
      <w:proofErr w:type="spellStart"/>
      <w:r>
        <w:rPr>
          <w:lang w:val="en-US"/>
        </w:rPr>
        <w:t>Protea</w:t>
      </w:r>
      <w:proofErr w:type="spellEnd"/>
      <w:r>
        <w:rPr>
          <w:lang w:val="en-US"/>
        </w:rPr>
        <w:t xml:space="preserve"> PLS model was applied, simply because there were no single wave number with low interference from CO to apply for manual quantification. Modelling performance was poor, and the highest concentration of the COS library spectr</w:t>
      </w:r>
      <w:r w:rsidR="004C3EA3">
        <w:rPr>
          <w:lang w:val="en-US"/>
        </w:rPr>
        <w:t>a was 20 ppm mol</w:t>
      </w:r>
      <w:r w:rsidR="005937AD">
        <w:rPr>
          <w:lang w:val="en-US"/>
        </w:rPr>
        <w:t>. The hi</w:t>
      </w:r>
      <w:r w:rsidR="00733A15">
        <w:rPr>
          <w:lang w:val="en-US"/>
        </w:rPr>
        <w:t xml:space="preserve">ghest COS absorbance was more than 10 times that of the 20 ppm </w:t>
      </w:r>
      <w:proofErr w:type="spellStart"/>
      <w:r w:rsidR="00733A15">
        <w:rPr>
          <w:lang w:val="en-US"/>
        </w:rPr>
        <w:t>mol</w:t>
      </w:r>
      <w:proofErr w:type="spellEnd"/>
      <w:r w:rsidR="00733A15">
        <w:rPr>
          <w:lang w:val="en-US"/>
        </w:rPr>
        <w:t xml:space="preserve"> library spectrum</w:t>
      </w:r>
      <w:r w:rsidR="004C3EA3">
        <w:rPr>
          <w:lang w:val="en-US"/>
        </w:rPr>
        <w:t xml:space="preserve">. It is therefore assumed that the COS concentration estimates are low. </w:t>
      </w:r>
    </w:p>
    <w:p w14:paraId="6E0F0A7E" w14:textId="68504468" w:rsidR="00D50C32" w:rsidRDefault="004C3EA3" w:rsidP="00D50C32">
      <w:pPr>
        <w:rPr>
          <w:lang w:val="en-US"/>
        </w:rPr>
      </w:pPr>
      <w:r>
        <w:rPr>
          <w:lang w:val="en-US"/>
        </w:rPr>
        <w:t xml:space="preserve">It is nevertheless clear that the COS evolution is highest when temperature is lowest. </w:t>
      </w:r>
      <w:r w:rsidR="00985F05">
        <w:rPr>
          <w:lang w:val="en-US"/>
        </w:rPr>
        <w:t xml:space="preserve">There are many proposed reaction mechanisms involving COS </w:t>
      </w:r>
      <w:r w:rsidR="005D2979">
        <w:rPr>
          <w:lang w:val="en-US"/>
        </w:rPr>
        <w:fldChar w:fldCharType="begin"/>
      </w:r>
      <w:r w:rsidR="0054179C">
        <w:rPr>
          <w:lang w:val="en-US"/>
        </w:rPr>
        <w:instrText xml:space="preserve"> ADDIN EN.CITE &lt;EndNote&gt;&lt;Cite&gt;&lt;Author&gt;Clark&lt;/Author&gt;&lt;Year&gt;2001&lt;/Year&gt;&lt;RecNum&gt;14&lt;/RecNum&gt;&lt;DisplayText&gt;[14]&lt;/DisplayText&gt;&lt;record&gt;&lt;rec-number&gt;14&lt;/rec-number&gt;&lt;foreign-keys&gt;&lt;key app="EN" db-id="zazap0pzwazv5se2z5sp0peh22rz0rszrvsv" timestamp="1503567081"&gt;14&lt;/key&gt;&lt;/foreign-keys&gt;&lt;ref-type name="Journal Article"&gt;17&lt;/ref-type&gt;&lt;contributors&gt;&lt;authors&gt;&lt;author&gt;Peter D. Clark&lt;/author&gt;&lt;author&gt;Norman I. Dowling&lt;/author&gt;&lt;author&gt;M. Huang&lt;/author&gt;&lt;author&gt;William Y. Svrcek&lt;/author&gt;&lt;author&gt;Wayne D. Mommery&lt;/author&gt;&lt;/authors&gt;&lt;/contributors&gt;&lt;titles&gt;&lt;title&gt;Mechanisms of CO and COS formation in the Claus Furnace&lt;/title&gt;&lt;secondary-title&gt;Industrial Engineering Chemistry Reseach&lt;/secondary-title&gt;&lt;/titles&gt;&lt;periodical&gt;&lt;full-title&gt;Industrial Engineering Chemistry Reseach&lt;/full-title&gt;&lt;/periodical&gt;&lt;pages&gt;497-508&lt;/pages&gt;&lt;volume&gt;40&lt;/volume&gt;&lt;dates&gt;&lt;year&gt;2001&lt;/year&gt;&lt;/dates&gt;&lt;urls&gt;&lt;/urls&gt;&lt;/record&gt;&lt;/Cite&gt;&lt;/EndNote&gt;</w:instrText>
      </w:r>
      <w:r w:rsidR="005D2979">
        <w:rPr>
          <w:lang w:val="en-US"/>
        </w:rPr>
        <w:fldChar w:fldCharType="separate"/>
      </w:r>
      <w:r w:rsidR="0054179C">
        <w:rPr>
          <w:noProof/>
          <w:lang w:val="en-US"/>
        </w:rPr>
        <w:t>[14]</w:t>
      </w:r>
      <w:r w:rsidR="005D2979">
        <w:rPr>
          <w:lang w:val="en-US"/>
        </w:rPr>
        <w:fldChar w:fldCharType="end"/>
      </w:r>
      <w:r w:rsidR="00985F05">
        <w:rPr>
          <w:lang w:val="en-US"/>
        </w:rPr>
        <w:t>. The FTIR instrument applied woul</w:t>
      </w:r>
      <w:r w:rsidR="00A75FB8">
        <w:rPr>
          <w:lang w:val="en-US"/>
        </w:rPr>
        <w:t>d identify a presence of CS</w:t>
      </w:r>
      <w:r w:rsidR="00A75FB8" w:rsidRPr="007F7B5D">
        <w:rPr>
          <w:vertAlign w:val="subscript"/>
          <w:lang w:val="en-US"/>
        </w:rPr>
        <w:t>2</w:t>
      </w:r>
      <w:r w:rsidR="00A75FB8">
        <w:rPr>
          <w:lang w:val="en-US"/>
        </w:rPr>
        <w:t xml:space="preserve">, </w:t>
      </w:r>
      <w:r w:rsidR="00985F05" w:rsidRPr="007F7B5D">
        <w:rPr>
          <w:lang w:val="en-US"/>
        </w:rPr>
        <w:t>SO</w:t>
      </w:r>
      <w:r w:rsidR="00985F05" w:rsidRPr="007F7B5D">
        <w:rPr>
          <w:vertAlign w:val="subscript"/>
          <w:lang w:val="en-US"/>
        </w:rPr>
        <w:t>2</w:t>
      </w:r>
      <w:r w:rsidR="00985F05">
        <w:rPr>
          <w:lang w:val="en-US"/>
        </w:rPr>
        <w:t>,</w:t>
      </w:r>
      <w:r w:rsidR="00A75FB8">
        <w:rPr>
          <w:lang w:val="en-US"/>
        </w:rPr>
        <w:t xml:space="preserve"> and SO</w:t>
      </w:r>
      <w:r w:rsidR="00A75FB8" w:rsidRPr="007F7B5D">
        <w:rPr>
          <w:vertAlign w:val="subscript"/>
          <w:lang w:val="en-US"/>
        </w:rPr>
        <w:t>3</w:t>
      </w:r>
      <w:r w:rsidR="00A75FB8">
        <w:rPr>
          <w:lang w:val="en-US"/>
        </w:rPr>
        <w:t xml:space="preserve"> species. High concentrations of H</w:t>
      </w:r>
      <w:r w:rsidR="00A75FB8" w:rsidRPr="007F7B5D">
        <w:rPr>
          <w:vertAlign w:val="subscript"/>
          <w:lang w:val="en-US"/>
        </w:rPr>
        <w:t>2</w:t>
      </w:r>
      <w:r w:rsidR="00A75FB8">
        <w:rPr>
          <w:lang w:val="en-US"/>
        </w:rPr>
        <w:t>S would have to be present for this species to be detected. The authors can currently not propose a mechanism for the COS formation at the lowest temperatures.</w:t>
      </w:r>
    </w:p>
    <w:p w14:paraId="5212773D" w14:textId="77777777" w:rsidR="00D50C32" w:rsidRPr="00D50C32" w:rsidRDefault="00D50C32" w:rsidP="00D50C32">
      <w:pPr>
        <w:rPr>
          <w:lang w:val="en-US"/>
        </w:rPr>
      </w:pPr>
    </w:p>
    <w:p w14:paraId="6643E2C8" w14:textId="77777777" w:rsidR="00235452" w:rsidRPr="007F7B5D" w:rsidRDefault="00892A92" w:rsidP="00235452">
      <w:pPr>
        <w:keepNext/>
        <w:rPr>
          <w:lang w:val="en-US"/>
        </w:rPr>
      </w:pPr>
      <w:r w:rsidRPr="00892A92">
        <w:rPr>
          <w:rFonts w:cs="Times New Roman"/>
          <w:noProof/>
          <w:lang w:eastAsia="nb-NO"/>
        </w:rPr>
        <w:drawing>
          <wp:inline distT="0" distB="0" distL="0" distR="0" wp14:anchorId="592A52DF" wp14:editId="47BA2BA0">
            <wp:extent cx="5824675" cy="3987771"/>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9474" cy="4038981"/>
                    </a:xfrm>
                    <a:prstGeom prst="rect">
                      <a:avLst/>
                    </a:prstGeom>
                  </pic:spPr>
                </pic:pic>
              </a:graphicData>
            </a:graphic>
          </wp:inline>
        </w:drawing>
      </w:r>
    </w:p>
    <w:p w14:paraId="2975358E" w14:textId="3385F069" w:rsidR="008C50DA" w:rsidRDefault="00235452" w:rsidP="00235452">
      <w:pPr>
        <w:pStyle w:val="Caption"/>
        <w:rPr>
          <w:lang w:val="en-US"/>
        </w:rPr>
      </w:pPr>
      <w:bookmarkStart w:id="27" w:name="_Ref490260122"/>
      <w:r w:rsidRPr="00A15960">
        <w:rPr>
          <w:lang w:val="en-US"/>
        </w:rPr>
        <w:t xml:space="preserve">Figure </w:t>
      </w:r>
      <w:r w:rsidR="007F2219">
        <w:fldChar w:fldCharType="begin"/>
      </w:r>
      <w:r w:rsidR="007F2219" w:rsidRPr="00A15960">
        <w:rPr>
          <w:lang w:val="en-US"/>
        </w:rPr>
        <w:instrText xml:space="preserve"> SEQ Figure \* ARABIC </w:instrText>
      </w:r>
      <w:r w:rsidR="007F2219">
        <w:fldChar w:fldCharType="separate"/>
      </w:r>
      <w:r w:rsidR="00F95C8E">
        <w:rPr>
          <w:noProof/>
          <w:lang w:val="en-US"/>
        </w:rPr>
        <w:t>5</w:t>
      </w:r>
      <w:r w:rsidR="007F2219">
        <w:rPr>
          <w:noProof/>
        </w:rPr>
        <w:fldChar w:fldCharType="end"/>
      </w:r>
      <w:bookmarkEnd w:id="27"/>
      <w:r w:rsidRPr="00A15960">
        <w:rPr>
          <w:lang w:val="en-US"/>
        </w:rPr>
        <w:t xml:space="preserve">. COS concentration time series. </w:t>
      </w:r>
      <w:proofErr w:type="spellStart"/>
      <w:r w:rsidRPr="00A15960">
        <w:rPr>
          <w:lang w:val="en-US"/>
        </w:rPr>
        <w:t>Protea</w:t>
      </w:r>
      <w:proofErr w:type="spellEnd"/>
      <w:r w:rsidRPr="00A15960">
        <w:rPr>
          <w:lang w:val="en-US"/>
        </w:rPr>
        <w:t xml:space="preserve"> PLS model was used for concentration estimation.</w:t>
      </w:r>
    </w:p>
    <w:p w14:paraId="6E14650A" w14:textId="34D555AD" w:rsidR="0076773B" w:rsidRDefault="0076773B" w:rsidP="0076773B">
      <w:pPr>
        <w:pStyle w:val="Heading2"/>
        <w:rPr>
          <w:lang w:val="en-US"/>
        </w:rPr>
      </w:pPr>
      <w:r>
        <w:rPr>
          <w:lang w:val="en-US"/>
        </w:rPr>
        <w:t>Variance in flue gas composition</w:t>
      </w:r>
    </w:p>
    <w:p w14:paraId="774492A1" w14:textId="7FB4C431" w:rsidR="0076773B" w:rsidRDefault="000F3E82" w:rsidP="007F7B5D">
      <w:pPr>
        <w:rPr>
          <w:lang w:val="en-US"/>
        </w:rPr>
      </w:pPr>
      <w:r>
        <w:rPr>
          <w:lang w:val="en-US"/>
        </w:rPr>
        <w:t xml:space="preserve">The results of gas sampling from the pit indicate a large variation in the gas composition, with periods dominated by methane, CO and </w:t>
      </w:r>
      <w:r w:rsidRPr="000F3E82">
        <w:rPr>
          <w:lang w:val="en-US"/>
        </w:rPr>
        <w:t>CO</w:t>
      </w:r>
      <w:r w:rsidRPr="000F3E82">
        <w:rPr>
          <w:vertAlign w:val="subscript"/>
          <w:lang w:val="en-US"/>
        </w:rPr>
        <w:t>2</w:t>
      </w:r>
      <w:r>
        <w:rPr>
          <w:lang w:val="en-US"/>
        </w:rPr>
        <w:t>. The flue gas composition should therefore be influenced by the composition</w:t>
      </w:r>
      <w:r w:rsidR="00077C9A">
        <w:rPr>
          <w:lang w:val="en-US"/>
        </w:rPr>
        <w:t xml:space="preserve"> variation from the anode pits.</w:t>
      </w:r>
    </w:p>
    <w:p w14:paraId="4C8617C1" w14:textId="4F082CC8" w:rsidR="005D773B" w:rsidRDefault="00077C9A" w:rsidP="0076773B">
      <w:pPr>
        <w:rPr>
          <w:lang w:val="en-US"/>
        </w:rPr>
      </w:pPr>
      <w:r>
        <w:rPr>
          <w:lang w:val="en-US"/>
        </w:rPr>
        <w:t>No measurements of the flue gas for the anode have been performed, but assessment of the polycyclic aromatic hydrocarbons (PAH) have previously been performed at the anode baking plant.</w:t>
      </w:r>
      <w:r w:rsidR="005D773B">
        <w:rPr>
          <w:lang w:val="en-US"/>
        </w:rPr>
        <w:t xml:space="preserve"> Four</w:t>
      </w:r>
      <w:r w:rsidR="0076773B">
        <w:rPr>
          <w:lang w:val="en-US"/>
        </w:rPr>
        <w:t xml:space="preserve"> samples were collected </w:t>
      </w:r>
      <w:r w:rsidR="005D773B">
        <w:rPr>
          <w:lang w:val="en-US"/>
        </w:rPr>
        <w:t xml:space="preserve">from the </w:t>
      </w:r>
      <w:proofErr w:type="spellStart"/>
      <w:r w:rsidR="005D773B">
        <w:rPr>
          <w:lang w:val="en-US"/>
        </w:rPr>
        <w:t>riser</w:t>
      </w:r>
      <w:proofErr w:type="spellEnd"/>
      <w:r w:rsidR="005D773B">
        <w:rPr>
          <w:lang w:val="en-US"/>
        </w:rPr>
        <w:t xml:space="preserve"> upstream the gas treatment center </w:t>
      </w:r>
      <w:r w:rsidR="0076773B">
        <w:rPr>
          <w:lang w:val="en-US"/>
        </w:rPr>
        <w:t>by using a</w:t>
      </w:r>
      <w:r w:rsidR="005D773B">
        <w:rPr>
          <w:lang w:val="en-US"/>
        </w:rPr>
        <w:t>n</w:t>
      </w:r>
      <w:r w:rsidR="0076773B">
        <w:rPr>
          <w:lang w:val="en-US"/>
        </w:rPr>
        <w:t xml:space="preserve"> isokinetic sampling line, and the PAH trapped in </w:t>
      </w:r>
      <w:r w:rsidR="00657820">
        <w:rPr>
          <w:lang w:val="en-US"/>
        </w:rPr>
        <w:t>four</w:t>
      </w:r>
      <w:r w:rsidR="0076773B">
        <w:rPr>
          <w:lang w:val="en-US"/>
        </w:rPr>
        <w:t xml:space="preserve"> </w:t>
      </w:r>
      <w:proofErr w:type="spellStart"/>
      <w:r w:rsidR="0076773B">
        <w:rPr>
          <w:lang w:val="en-US"/>
        </w:rPr>
        <w:t>impinge</w:t>
      </w:r>
      <w:r w:rsidR="00657820">
        <w:rPr>
          <w:lang w:val="en-US"/>
        </w:rPr>
        <w:t>rs</w:t>
      </w:r>
      <w:proofErr w:type="spellEnd"/>
      <w:r w:rsidR="0076773B">
        <w:rPr>
          <w:lang w:val="en-US"/>
        </w:rPr>
        <w:t>, connected in series, and filled with isopropanol.</w:t>
      </w:r>
      <w:r w:rsidR="005D773B">
        <w:rPr>
          <w:lang w:val="en-US"/>
        </w:rPr>
        <w:t xml:space="preserve"> </w:t>
      </w:r>
      <w:r w:rsidR="00657820">
        <w:rPr>
          <w:lang w:val="en-US"/>
        </w:rPr>
        <w:t xml:space="preserve">The four samples were collected over two days, two samples each day. </w:t>
      </w:r>
      <w:r w:rsidR="0076773B">
        <w:rPr>
          <w:lang w:val="en-US"/>
        </w:rPr>
        <w:t>During the sampli</w:t>
      </w:r>
      <w:r w:rsidR="005D773B">
        <w:rPr>
          <w:lang w:val="en-US"/>
        </w:rPr>
        <w:t>ng</w:t>
      </w:r>
      <w:r w:rsidR="00F95C8E">
        <w:rPr>
          <w:lang w:val="en-US"/>
        </w:rPr>
        <w:t>,</w:t>
      </w:r>
      <w:r w:rsidR="005D773B">
        <w:rPr>
          <w:lang w:val="en-US"/>
        </w:rPr>
        <w:t xml:space="preserve"> these bottles were cooled </w:t>
      </w:r>
      <w:r w:rsidR="001058FD">
        <w:rPr>
          <w:lang w:val="en-US"/>
        </w:rPr>
        <w:t xml:space="preserve">to </w:t>
      </w:r>
      <w:r w:rsidR="005D773B">
        <w:rPr>
          <w:lang w:val="en-US"/>
        </w:rPr>
        <w:t>be</w:t>
      </w:r>
      <w:r w:rsidR="0076773B">
        <w:rPr>
          <w:lang w:val="en-US"/>
        </w:rPr>
        <w:t xml:space="preserve">low -10 </w:t>
      </w:r>
      <w:r w:rsidR="0076773B">
        <w:rPr>
          <w:rFonts w:cs="Times New Roman"/>
          <w:lang w:val="en-US"/>
        </w:rPr>
        <w:t>°</w:t>
      </w:r>
      <w:r w:rsidR="0076773B">
        <w:rPr>
          <w:lang w:val="en-US"/>
        </w:rPr>
        <w:t>C</w:t>
      </w:r>
      <w:r w:rsidR="005D773B">
        <w:rPr>
          <w:lang w:val="en-US"/>
        </w:rPr>
        <w:t xml:space="preserve"> to avoid evaporation of solvent</w:t>
      </w:r>
      <w:r w:rsidR="0076773B">
        <w:rPr>
          <w:lang w:val="en-US"/>
        </w:rPr>
        <w:t xml:space="preserve">. </w:t>
      </w:r>
      <w:r w:rsidR="005D773B">
        <w:rPr>
          <w:lang w:val="en-US"/>
        </w:rPr>
        <w:t xml:space="preserve">This sampling strategy has previously been described </w:t>
      </w:r>
      <w:r w:rsidR="005D2979">
        <w:rPr>
          <w:lang w:val="en-US"/>
        </w:rPr>
        <w:fldChar w:fldCharType="begin"/>
      </w:r>
      <w:r w:rsidR="0054179C">
        <w:rPr>
          <w:lang w:val="en-US"/>
        </w:rPr>
        <w:instrText xml:space="preserve"> ADDIN EN.CITE &lt;EndNote&gt;&lt;Cite&gt;&lt;Author&gt;Kjos&lt;/Author&gt;&lt;Year&gt;2014&lt;/Year&gt;&lt;RecNum&gt;7&lt;/RecNum&gt;&lt;DisplayText&gt;[7]&lt;/DisplayText&gt;&lt;record&gt;&lt;rec-number&gt;7&lt;/rec-number&gt;&lt;foreign-keys&gt;&lt;key app="EN" db-id="zazap0pzwazv5se2z5sp0peh22rz0rszrvsv" timestamp="1503563456"&gt;7&lt;/key&gt;&lt;/foreign-keys&gt;&lt;ref-type name="Journal Article"&gt;17&lt;/ref-type&gt;&lt;contributors&gt;&lt;authors&gt;&lt;author&gt;Ole Sigmund Kjos&lt;/author&gt;&lt;author&gt;Thor Anders Aarhaug&lt;/author&gt;&lt;author&gt;Bernd Wittgens&lt;/author&gt;&lt;author&gt;Anders Brunsvik&lt;/author&gt;&lt;/authors&gt;&lt;/contributors&gt;&lt;titles&gt;&lt;secondary-title&gt;Light Metals&lt;/secondary-title&gt;&lt;/titles&gt;&lt;periodical&gt;&lt;full-title&gt;Light Metals&lt;/full-title&gt;&lt;/periodical&gt;&lt;pages&gt;541-546&lt;/pages&gt;&lt;dates&gt;&lt;year&gt;2014&lt;/year&gt;&lt;/dates&gt;&lt;urls&gt;&lt;/urls&gt;&lt;/record&gt;&lt;/Cite&gt;&lt;/EndNote&gt;</w:instrText>
      </w:r>
      <w:r w:rsidR="005D2979">
        <w:rPr>
          <w:lang w:val="en-US"/>
        </w:rPr>
        <w:fldChar w:fldCharType="separate"/>
      </w:r>
      <w:r w:rsidR="0054179C">
        <w:rPr>
          <w:noProof/>
          <w:lang w:val="en-US"/>
        </w:rPr>
        <w:t>[7]</w:t>
      </w:r>
      <w:r w:rsidR="005D2979">
        <w:rPr>
          <w:lang w:val="en-US"/>
        </w:rPr>
        <w:fldChar w:fldCharType="end"/>
      </w:r>
      <w:r w:rsidR="005D773B">
        <w:rPr>
          <w:lang w:val="en-US"/>
        </w:rPr>
        <w:t xml:space="preserve">.  Analysis was performed by GC-MSD analysis. </w:t>
      </w:r>
      <w:r w:rsidR="001058FD">
        <w:rPr>
          <w:lang w:val="en-US"/>
        </w:rPr>
        <w:t xml:space="preserve">The absolute PAH loading and distribution is shown in </w:t>
      </w:r>
      <w:r w:rsidR="001058FD">
        <w:rPr>
          <w:lang w:val="en-US"/>
        </w:rPr>
        <w:fldChar w:fldCharType="begin"/>
      </w:r>
      <w:r w:rsidR="001058FD">
        <w:rPr>
          <w:lang w:val="en-US"/>
        </w:rPr>
        <w:instrText xml:space="preserve"> REF _Ref491268745 \h </w:instrText>
      </w:r>
      <w:r w:rsidR="001058FD">
        <w:rPr>
          <w:lang w:val="en-US"/>
        </w:rPr>
      </w:r>
      <w:r w:rsidR="001058FD">
        <w:rPr>
          <w:lang w:val="en-US"/>
        </w:rPr>
        <w:fldChar w:fldCharType="separate"/>
      </w:r>
      <w:r w:rsidR="004110CB" w:rsidRPr="007F7B5D">
        <w:rPr>
          <w:lang w:val="en-US"/>
        </w:rPr>
        <w:t xml:space="preserve">Figure </w:t>
      </w:r>
      <w:r w:rsidR="004110CB">
        <w:rPr>
          <w:noProof/>
          <w:lang w:val="en-US"/>
        </w:rPr>
        <w:t>6</w:t>
      </w:r>
      <w:r w:rsidR="001058FD">
        <w:rPr>
          <w:lang w:val="en-US"/>
        </w:rPr>
        <w:fldChar w:fldCharType="end"/>
      </w:r>
      <w:r w:rsidR="001058FD">
        <w:rPr>
          <w:lang w:val="en-US"/>
        </w:rPr>
        <w:t>.</w:t>
      </w:r>
    </w:p>
    <w:p w14:paraId="2D0A2F99" w14:textId="77777777" w:rsidR="001058FD" w:rsidRDefault="005D773B" w:rsidP="007F7B5D">
      <w:pPr>
        <w:keepNext/>
      </w:pPr>
      <w:r>
        <w:rPr>
          <w:noProof/>
          <w:lang w:eastAsia="nb-NO"/>
        </w:rPr>
        <w:drawing>
          <wp:inline distT="0" distB="0" distL="0" distR="0" wp14:anchorId="5143B9BA" wp14:editId="2CFB658A">
            <wp:extent cx="5760720" cy="2842895"/>
            <wp:effectExtent l="0" t="0" r="0" b="0"/>
            <wp:docPr id="6" name="Chart 6">
              <a:extLst xmlns:a="http://schemas.openxmlformats.org/drawingml/2006/main">
                <a:ext uri="{FF2B5EF4-FFF2-40B4-BE49-F238E27FC236}">
                  <a16:creationId xmlns:a16="http://schemas.microsoft.com/office/drawing/2014/main" id="{807B1E70-BEB7-48AE-83AA-9FB0516B74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FBB18C8" w14:textId="3464C54F" w:rsidR="005D773B" w:rsidRDefault="001058FD" w:rsidP="007F7B5D">
      <w:pPr>
        <w:pStyle w:val="Caption"/>
        <w:rPr>
          <w:lang w:val="en-US"/>
        </w:rPr>
      </w:pPr>
      <w:bookmarkStart w:id="28" w:name="_Ref491268745"/>
      <w:bookmarkStart w:id="29" w:name="_Ref491268706"/>
      <w:r w:rsidRPr="007F7B5D">
        <w:rPr>
          <w:lang w:val="en-US"/>
        </w:rPr>
        <w:t xml:space="preserve">Figure </w:t>
      </w:r>
      <w:r>
        <w:fldChar w:fldCharType="begin"/>
      </w:r>
      <w:r w:rsidRPr="007F7B5D">
        <w:rPr>
          <w:lang w:val="en-US"/>
        </w:rPr>
        <w:instrText xml:space="preserve"> SEQ Figure \* ARABIC </w:instrText>
      </w:r>
      <w:r>
        <w:fldChar w:fldCharType="separate"/>
      </w:r>
      <w:r w:rsidR="00F95C8E">
        <w:rPr>
          <w:noProof/>
          <w:lang w:val="en-US"/>
        </w:rPr>
        <w:t>6</w:t>
      </w:r>
      <w:r>
        <w:fldChar w:fldCharType="end"/>
      </w:r>
      <w:bookmarkEnd w:id="28"/>
      <w:r w:rsidRPr="007F7B5D">
        <w:rPr>
          <w:lang w:val="en-US"/>
        </w:rPr>
        <w:t>. PAH distribution of most prominent species.</w:t>
      </w:r>
      <w:bookmarkEnd w:id="29"/>
    </w:p>
    <w:p w14:paraId="11049E3F" w14:textId="209719B2" w:rsidR="001058FD" w:rsidRDefault="001058FD" w:rsidP="0076773B">
      <w:pPr>
        <w:rPr>
          <w:lang w:val="en-US"/>
        </w:rPr>
      </w:pPr>
    </w:p>
    <w:p w14:paraId="454DFC17" w14:textId="77777777" w:rsidR="001058FD" w:rsidRDefault="005D773B" w:rsidP="0076773B">
      <w:pPr>
        <w:rPr>
          <w:lang w:val="en-US"/>
        </w:rPr>
      </w:pPr>
      <w:r>
        <w:rPr>
          <w:lang w:val="en-US"/>
        </w:rPr>
        <w:t>The total amounts were 606 µg Nm</w:t>
      </w:r>
      <w:r w:rsidRPr="00623335">
        <w:rPr>
          <w:vertAlign w:val="superscript"/>
          <w:lang w:val="en-US"/>
        </w:rPr>
        <w:t>3</w:t>
      </w:r>
      <w:r>
        <w:rPr>
          <w:lang w:val="en-US"/>
        </w:rPr>
        <w:t>, 119</w:t>
      </w:r>
      <w:r w:rsidRPr="00A848C6">
        <w:rPr>
          <w:lang w:val="en-US"/>
        </w:rPr>
        <w:t xml:space="preserve"> </w:t>
      </w:r>
      <w:r>
        <w:rPr>
          <w:lang w:val="en-US"/>
        </w:rPr>
        <w:t>µg Nm</w:t>
      </w:r>
      <w:r w:rsidRPr="007F7B5D">
        <w:rPr>
          <w:vertAlign w:val="superscript"/>
          <w:lang w:val="en-US"/>
        </w:rPr>
        <w:t>-</w:t>
      </w:r>
      <w:r w:rsidRPr="00623335">
        <w:rPr>
          <w:vertAlign w:val="superscript"/>
          <w:lang w:val="en-US"/>
        </w:rPr>
        <w:t>3</w:t>
      </w:r>
      <w:r>
        <w:rPr>
          <w:lang w:val="en-US"/>
        </w:rPr>
        <w:t>, 29 µg Nm</w:t>
      </w:r>
      <w:r w:rsidRPr="007F7B5D">
        <w:rPr>
          <w:vertAlign w:val="superscript"/>
          <w:lang w:val="en-US"/>
        </w:rPr>
        <w:t>-</w:t>
      </w:r>
      <w:r w:rsidRPr="00623335">
        <w:rPr>
          <w:vertAlign w:val="superscript"/>
          <w:lang w:val="en-US"/>
        </w:rPr>
        <w:t>3</w:t>
      </w:r>
      <w:r>
        <w:rPr>
          <w:lang w:val="en-US"/>
        </w:rPr>
        <w:t xml:space="preserve"> and 458 µg Nm</w:t>
      </w:r>
      <w:r w:rsidRPr="007F7B5D">
        <w:rPr>
          <w:vertAlign w:val="superscript"/>
          <w:lang w:val="en-US"/>
        </w:rPr>
        <w:t>-</w:t>
      </w:r>
      <w:r w:rsidRPr="00623335">
        <w:rPr>
          <w:vertAlign w:val="superscript"/>
          <w:lang w:val="en-US"/>
        </w:rPr>
        <w:t>3</w:t>
      </w:r>
      <w:r>
        <w:rPr>
          <w:lang w:val="en-US"/>
        </w:rPr>
        <w:t xml:space="preserve"> respectively for the four samples collected, suggesting large variations in the PAH loading of the flue gas. </w:t>
      </w:r>
      <w:r w:rsidR="0076773B">
        <w:rPr>
          <w:lang w:val="en-US"/>
        </w:rPr>
        <w:t xml:space="preserve">The distribution among the different components </w:t>
      </w:r>
      <w:r>
        <w:rPr>
          <w:lang w:val="en-US"/>
        </w:rPr>
        <w:t xml:space="preserve">also </w:t>
      </w:r>
      <w:r w:rsidR="0076773B">
        <w:rPr>
          <w:lang w:val="en-US"/>
        </w:rPr>
        <w:t xml:space="preserve">varies significantly. The variations in total loading can mainly be explained by the variations in the amount of anthracene and </w:t>
      </w:r>
      <w:proofErr w:type="spellStart"/>
      <w:r w:rsidR="0076773B">
        <w:rPr>
          <w:lang w:val="en-US"/>
        </w:rPr>
        <w:t>fluoranthene</w:t>
      </w:r>
      <w:proofErr w:type="spellEnd"/>
      <w:r w:rsidR="0076773B">
        <w:rPr>
          <w:lang w:val="en-US"/>
        </w:rPr>
        <w:t xml:space="preserve"> and to some extent chrysene and </w:t>
      </w:r>
      <w:proofErr w:type="spellStart"/>
      <w:r w:rsidR="0076773B">
        <w:rPr>
          <w:lang w:val="en-US"/>
        </w:rPr>
        <w:t>pyrene</w:t>
      </w:r>
      <w:proofErr w:type="spellEnd"/>
      <w:r w:rsidR="0076773B">
        <w:rPr>
          <w:lang w:val="en-US"/>
        </w:rPr>
        <w:t xml:space="preserve">.  </w:t>
      </w:r>
    </w:p>
    <w:p w14:paraId="2D9BA3D0" w14:textId="21A952B8" w:rsidR="0076773B" w:rsidRDefault="00F525EE" w:rsidP="0076773B">
      <w:pPr>
        <w:rPr>
          <w:lang w:val="en-US"/>
        </w:rPr>
      </w:pPr>
      <w:r>
        <w:rPr>
          <w:lang w:val="en-US"/>
        </w:rPr>
        <w:t xml:space="preserve">The relative distribution of PAH species is shown in </w:t>
      </w:r>
      <w:r>
        <w:rPr>
          <w:lang w:val="en-US"/>
        </w:rPr>
        <w:fldChar w:fldCharType="begin"/>
      </w:r>
      <w:r>
        <w:rPr>
          <w:lang w:val="en-US"/>
        </w:rPr>
        <w:instrText xml:space="preserve"> REF _Ref491268948 \h </w:instrText>
      </w:r>
      <w:r>
        <w:rPr>
          <w:lang w:val="en-US"/>
        </w:rPr>
      </w:r>
      <w:r>
        <w:rPr>
          <w:lang w:val="en-US"/>
        </w:rPr>
        <w:fldChar w:fldCharType="separate"/>
      </w:r>
      <w:r w:rsidR="004110CB" w:rsidRPr="007F7B5D">
        <w:rPr>
          <w:lang w:val="en-US"/>
        </w:rPr>
        <w:t xml:space="preserve">Figure </w:t>
      </w:r>
      <w:r w:rsidR="004110CB">
        <w:rPr>
          <w:noProof/>
          <w:lang w:val="en-US"/>
        </w:rPr>
        <w:t>7</w:t>
      </w:r>
      <w:r>
        <w:rPr>
          <w:lang w:val="en-US"/>
        </w:rPr>
        <w:fldChar w:fldCharType="end"/>
      </w:r>
      <w:r>
        <w:rPr>
          <w:lang w:val="en-US"/>
        </w:rPr>
        <w:t>.</w:t>
      </w:r>
    </w:p>
    <w:p w14:paraId="46E81DD5" w14:textId="77777777" w:rsidR="0076773B" w:rsidRDefault="0076773B" w:rsidP="0076773B">
      <w:pPr>
        <w:rPr>
          <w:lang w:val="en-US"/>
        </w:rPr>
      </w:pPr>
    </w:p>
    <w:p w14:paraId="2E9A5378" w14:textId="77777777" w:rsidR="001058FD" w:rsidRDefault="0076773B" w:rsidP="007F7B5D">
      <w:pPr>
        <w:keepNext/>
      </w:pPr>
      <w:r>
        <w:rPr>
          <w:noProof/>
          <w:lang w:eastAsia="nb-NO"/>
        </w:rPr>
        <w:drawing>
          <wp:inline distT="0" distB="0" distL="0" distR="0" wp14:anchorId="5A6E41DB" wp14:editId="6610FD6F">
            <wp:extent cx="5760720" cy="2773680"/>
            <wp:effectExtent l="0" t="0" r="0" b="7620"/>
            <wp:docPr id="4" name="Chart 4">
              <a:extLst xmlns:a="http://schemas.openxmlformats.org/drawingml/2006/main">
                <a:ext uri="{FF2B5EF4-FFF2-40B4-BE49-F238E27FC236}">
                  <a16:creationId xmlns:a16="http://schemas.microsoft.com/office/drawing/2014/main" id="{676CA429-2414-4A45-AFB0-269F3C3970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CD41DB" w14:textId="6147F6A9" w:rsidR="0076773B" w:rsidRDefault="001058FD" w:rsidP="007F7B5D">
      <w:pPr>
        <w:pStyle w:val="Caption"/>
        <w:rPr>
          <w:lang w:val="en-US"/>
        </w:rPr>
      </w:pPr>
      <w:bookmarkStart w:id="30" w:name="_Ref491268948"/>
      <w:r w:rsidRPr="007F7B5D">
        <w:rPr>
          <w:lang w:val="en-US"/>
        </w:rPr>
        <w:t xml:space="preserve">Figure </w:t>
      </w:r>
      <w:r>
        <w:fldChar w:fldCharType="begin"/>
      </w:r>
      <w:r w:rsidRPr="007F7B5D">
        <w:rPr>
          <w:lang w:val="en-US"/>
        </w:rPr>
        <w:instrText xml:space="preserve"> SEQ Figure \* ARABIC </w:instrText>
      </w:r>
      <w:r>
        <w:fldChar w:fldCharType="separate"/>
      </w:r>
      <w:r w:rsidR="00F95C8E">
        <w:rPr>
          <w:noProof/>
          <w:lang w:val="en-US"/>
        </w:rPr>
        <w:t>7</w:t>
      </w:r>
      <w:r>
        <w:fldChar w:fldCharType="end"/>
      </w:r>
      <w:bookmarkEnd w:id="30"/>
      <w:r w:rsidRPr="007F7B5D">
        <w:rPr>
          <w:lang w:val="en-US"/>
        </w:rPr>
        <w:t>. Relative PAH distribution amongst samples 1-4.</w:t>
      </w:r>
    </w:p>
    <w:p w14:paraId="364F169F" w14:textId="4DE27B44" w:rsidR="00F525EE" w:rsidRDefault="00F525EE" w:rsidP="00F525EE">
      <w:pPr>
        <w:rPr>
          <w:lang w:val="en-US"/>
        </w:rPr>
      </w:pPr>
      <w:r>
        <w:rPr>
          <w:lang w:val="en-US"/>
        </w:rPr>
        <w:t xml:space="preserve">The relative amount of naphthalene increases with a decrease in PAH loading even if the absolute naphthalene loading follows the same trend as the total PAH loading. Other dominating PAH species are </w:t>
      </w:r>
      <w:r w:rsidR="00657820">
        <w:rPr>
          <w:lang w:val="en-US"/>
        </w:rPr>
        <w:t>a</w:t>
      </w:r>
      <w:r>
        <w:rPr>
          <w:lang w:val="en-US"/>
        </w:rPr>
        <w:t xml:space="preserve">nthracene, </w:t>
      </w:r>
      <w:proofErr w:type="spellStart"/>
      <w:r w:rsidR="00657820">
        <w:rPr>
          <w:lang w:val="en-US"/>
        </w:rPr>
        <w:t>fluoranthene</w:t>
      </w:r>
      <w:proofErr w:type="spellEnd"/>
      <w:r w:rsidR="00657820">
        <w:rPr>
          <w:lang w:val="en-US"/>
        </w:rPr>
        <w:t>, c</w:t>
      </w:r>
      <w:r>
        <w:rPr>
          <w:lang w:val="en-US"/>
        </w:rPr>
        <w:t>hrysene and</w:t>
      </w:r>
      <w:r w:rsidR="00657820">
        <w:rPr>
          <w:lang w:val="en-US"/>
        </w:rPr>
        <w:t xml:space="preserve"> </w:t>
      </w:r>
      <w:proofErr w:type="spellStart"/>
      <w:r w:rsidR="00657820">
        <w:rPr>
          <w:lang w:val="en-US"/>
        </w:rPr>
        <w:t>pyrene</w:t>
      </w:r>
      <w:proofErr w:type="spellEnd"/>
      <w:r w:rsidR="00657820">
        <w:rPr>
          <w:lang w:val="en-US"/>
        </w:rPr>
        <w:t xml:space="preserve">. </w:t>
      </w:r>
      <w:proofErr w:type="gramStart"/>
      <w:r w:rsidR="00657820">
        <w:rPr>
          <w:lang w:val="en-US"/>
        </w:rPr>
        <w:t>Benzo(</w:t>
      </w:r>
      <w:proofErr w:type="gramEnd"/>
      <w:r w:rsidR="00657820">
        <w:rPr>
          <w:lang w:val="en-US"/>
        </w:rPr>
        <w:t xml:space="preserve">b) </w:t>
      </w:r>
      <w:proofErr w:type="spellStart"/>
      <w:r w:rsidR="00657820">
        <w:rPr>
          <w:lang w:val="en-US"/>
        </w:rPr>
        <w:t>fluoranthene</w:t>
      </w:r>
      <w:proofErr w:type="spellEnd"/>
      <w:r w:rsidR="00657820">
        <w:rPr>
          <w:lang w:val="en-US"/>
        </w:rPr>
        <w:t xml:space="preserve"> has a fairly stable relative content in all samples.</w:t>
      </w:r>
      <w:r>
        <w:rPr>
          <w:lang w:val="en-US"/>
        </w:rPr>
        <w:t xml:space="preserve"> </w:t>
      </w:r>
    </w:p>
    <w:p w14:paraId="10944CA0" w14:textId="6E473967" w:rsidR="00C6468F" w:rsidRDefault="004C3EA3" w:rsidP="007F7B5D">
      <w:pPr>
        <w:pStyle w:val="Heading1"/>
        <w:rPr>
          <w:lang w:val="en-US"/>
        </w:rPr>
      </w:pPr>
      <w:r>
        <w:rPr>
          <w:lang w:val="en-US"/>
        </w:rPr>
        <w:t>Conclusions and further work</w:t>
      </w:r>
    </w:p>
    <w:p w14:paraId="3B2DFCC7" w14:textId="09AD44BB" w:rsidR="004C3EA3" w:rsidRDefault="00A85159" w:rsidP="004C3EA3">
      <w:pPr>
        <w:rPr>
          <w:lang w:val="en-US"/>
        </w:rPr>
      </w:pPr>
      <w:r>
        <w:rPr>
          <w:lang w:val="en-US"/>
        </w:rPr>
        <w:t xml:space="preserve">The analysis of the gas extracted </w:t>
      </w:r>
      <w:r w:rsidR="00A431B2">
        <w:rPr>
          <w:lang w:val="en-US"/>
        </w:rPr>
        <w:t xml:space="preserve">revealed a dramatic change in gas composition over a few days. At the beginning of the cycle, at around 700 </w:t>
      </w:r>
      <w:r w:rsidR="00A431B2">
        <w:rPr>
          <w:lang w:val="en-US"/>
        </w:rPr>
        <w:sym w:font="Symbol" w:char="F0B0"/>
      </w:r>
      <w:r w:rsidR="00A431B2">
        <w:rPr>
          <w:lang w:val="en-US"/>
        </w:rPr>
        <w:t xml:space="preserve">C, the gas was dominated by around 30 % methane. Three days later, and </w:t>
      </w:r>
      <w:r w:rsidR="00FF76B1">
        <w:rPr>
          <w:lang w:val="en-US"/>
        </w:rPr>
        <w:t xml:space="preserve">at a peak temperature of about 1150 </w:t>
      </w:r>
      <w:r w:rsidR="00FF76B1">
        <w:rPr>
          <w:lang w:val="en-US"/>
        </w:rPr>
        <w:sym w:font="Symbol" w:char="F0B0"/>
      </w:r>
      <w:r w:rsidR="00FF76B1">
        <w:rPr>
          <w:lang w:val="en-US"/>
        </w:rPr>
        <w:t>C, the methane levels was</w:t>
      </w:r>
      <w:r w:rsidR="0028266E">
        <w:rPr>
          <w:lang w:val="en-US"/>
        </w:rPr>
        <w:t xml:space="preserve"> </w:t>
      </w:r>
      <w:r w:rsidR="00FF76B1">
        <w:rPr>
          <w:lang w:val="en-US"/>
        </w:rPr>
        <w:t xml:space="preserve">drastically reduced to about </w:t>
      </w:r>
      <w:proofErr w:type="gramStart"/>
      <w:r w:rsidR="00FF76B1">
        <w:rPr>
          <w:lang w:val="en-US"/>
        </w:rPr>
        <w:t>1000 ppm</w:t>
      </w:r>
      <w:proofErr w:type="gramEnd"/>
      <w:r w:rsidR="00FF76B1">
        <w:rPr>
          <w:lang w:val="en-US"/>
        </w:rPr>
        <w:t xml:space="preserve"> mol. </w:t>
      </w:r>
      <w:r w:rsidR="00690B49">
        <w:rPr>
          <w:lang w:val="en-US"/>
        </w:rPr>
        <w:t xml:space="preserve">During the next day, the methane was further reduced to about </w:t>
      </w:r>
      <w:proofErr w:type="gramStart"/>
      <w:r w:rsidR="00690B49">
        <w:rPr>
          <w:lang w:val="en-US"/>
        </w:rPr>
        <w:t>10 ppm</w:t>
      </w:r>
      <w:proofErr w:type="gramEnd"/>
      <w:r w:rsidR="00690B49">
        <w:rPr>
          <w:lang w:val="en-US"/>
        </w:rPr>
        <w:t xml:space="preserve"> mol. In this interval, a strong increase in CO from </w:t>
      </w:r>
      <w:proofErr w:type="gramStart"/>
      <w:r w:rsidR="00690B49">
        <w:rPr>
          <w:lang w:val="en-US"/>
        </w:rPr>
        <w:t>3</w:t>
      </w:r>
      <w:proofErr w:type="gramEnd"/>
      <w:r w:rsidR="00690B49">
        <w:rPr>
          <w:lang w:val="en-US"/>
        </w:rPr>
        <w:t xml:space="preserve"> to 12 % </w:t>
      </w:r>
      <w:proofErr w:type="spellStart"/>
      <w:r w:rsidR="00690B49">
        <w:rPr>
          <w:lang w:val="en-US"/>
        </w:rPr>
        <w:t>vol</w:t>
      </w:r>
      <w:proofErr w:type="spellEnd"/>
      <w:r w:rsidR="00690B49">
        <w:rPr>
          <w:lang w:val="en-US"/>
        </w:rPr>
        <w:t xml:space="preserve"> was observed. At the end of the sampling </w:t>
      </w:r>
      <w:proofErr w:type="gramStart"/>
      <w:r w:rsidR="00690B49">
        <w:rPr>
          <w:lang w:val="en-US"/>
        </w:rPr>
        <w:t>period</w:t>
      </w:r>
      <w:proofErr w:type="gramEnd"/>
      <w:r w:rsidR="00690B49">
        <w:rPr>
          <w:lang w:val="en-US"/>
        </w:rPr>
        <w:t xml:space="preserve"> </w:t>
      </w:r>
      <w:r w:rsidR="00BC0107">
        <w:rPr>
          <w:lang w:val="en-US"/>
        </w:rPr>
        <w:t>a shift in CO to CO</w:t>
      </w:r>
      <w:r w:rsidR="00BC0107" w:rsidRPr="008679D5">
        <w:rPr>
          <w:vertAlign w:val="subscript"/>
          <w:lang w:val="en-US"/>
        </w:rPr>
        <w:t>2</w:t>
      </w:r>
      <w:r w:rsidR="00BC0107">
        <w:rPr>
          <w:lang w:val="en-US"/>
        </w:rPr>
        <w:t xml:space="preserve"> was observed. </w:t>
      </w:r>
      <w:r w:rsidR="00A75FB8">
        <w:rPr>
          <w:lang w:val="en-US"/>
        </w:rPr>
        <w:t>T</w:t>
      </w:r>
      <w:r w:rsidR="00BC0107">
        <w:rPr>
          <w:lang w:val="en-US"/>
        </w:rPr>
        <w:t>h</w:t>
      </w:r>
      <w:r w:rsidR="00A75FB8">
        <w:rPr>
          <w:lang w:val="en-US"/>
        </w:rPr>
        <w:t>is</w:t>
      </w:r>
      <w:r w:rsidR="00BC0107">
        <w:rPr>
          <w:lang w:val="en-US"/>
        </w:rPr>
        <w:t xml:space="preserve"> </w:t>
      </w:r>
      <w:r w:rsidR="00A75FB8">
        <w:rPr>
          <w:lang w:val="en-US"/>
        </w:rPr>
        <w:t xml:space="preserve">is consistent with the reactions proposed for reactivity of anodes in air and </w:t>
      </w:r>
      <w:r w:rsidR="00A75FB8" w:rsidRPr="00A75FB8">
        <w:rPr>
          <w:lang w:val="en-US"/>
        </w:rPr>
        <w:t>CO</w:t>
      </w:r>
      <w:r w:rsidR="00A75FB8" w:rsidRPr="00A75FB8">
        <w:rPr>
          <w:vertAlign w:val="subscript"/>
          <w:lang w:val="en-US"/>
        </w:rPr>
        <w:t>2</w:t>
      </w:r>
      <w:r w:rsidR="00A75FB8">
        <w:rPr>
          <w:lang w:val="en-US"/>
        </w:rPr>
        <w:t xml:space="preserve"> as a function of temperature.</w:t>
      </w:r>
    </w:p>
    <w:p w14:paraId="6DCA9E37" w14:textId="57327B1F" w:rsidR="00BC0107" w:rsidRDefault="0028266E" w:rsidP="004C3EA3">
      <w:pPr>
        <w:rPr>
          <w:lang w:val="en-US"/>
        </w:rPr>
      </w:pPr>
      <w:r>
        <w:rPr>
          <w:lang w:val="en-US"/>
        </w:rPr>
        <w:t>At the initial sampling period, ammonia and benzene was quantified. It is suspected that heavier hydrocarbons than benzene are trapped in the glass wool filter. The yellow coloring of the filter is in support of this argument.</w:t>
      </w:r>
    </w:p>
    <w:p w14:paraId="04B91777" w14:textId="46AA4625" w:rsidR="008679D5" w:rsidRDefault="0028266E" w:rsidP="004C3EA3">
      <w:pPr>
        <w:rPr>
          <w:lang w:val="en-US"/>
        </w:rPr>
      </w:pPr>
      <w:r>
        <w:rPr>
          <w:lang w:val="en-US"/>
        </w:rPr>
        <w:t xml:space="preserve">At the end of the sampling, COS evolution was observed. COS is the main sulfurous species formed at the anode during </w:t>
      </w:r>
      <w:proofErr w:type="spellStart"/>
      <w:r>
        <w:rPr>
          <w:lang w:val="en-US"/>
        </w:rPr>
        <w:t>aluminium</w:t>
      </w:r>
      <w:proofErr w:type="spellEnd"/>
      <w:r>
        <w:rPr>
          <w:lang w:val="en-US"/>
        </w:rPr>
        <w:t xml:space="preserve"> electrolysis </w:t>
      </w:r>
      <w:r w:rsidR="005D2979">
        <w:rPr>
          <w:lang w:val="en-US"/>
        </w:rPr>
        <w:fldChar w:fldCharType="begin"/>
      </w:r>
      <w:r w:rsidR="0054179C">
        <w:rPr>
          <w:lang w:val="en-US"/>
        </w:rPr>
        <w:instrText xml:space="preserve"> ADDIN EN.CITE &lt;EndNote&gt;&lt;Cite&gt;&lt;Author&gt;Aarhaug&lt;/Author&gt;&lt;Year&gt;2016&lt;/Year&gt;&lt;RecNum&gt;8&lt;/RecNum&gt;&lt;DisplayText&gt;[9]&lt;/DisplayText&gt;&lt;record&gt;&lt;rec-number&gt;8&lt;/rec-number&gt;&lt;foreign-keys&gt;&lt;key app="EN" db-id="zazap0pzwazv5se2z5sp0peh22rz0rszrvsv" timestamp="1503563576"&gt;8&lt;/key&gt;&lt;/foreign-keys&gt;&lt;ref-type name="Journal Article"&gt;17&lt;/ref-type&gt;&lt;contributors&gt;&lt;authors&gt;&lt;author&gt;Thor Anders Aarhaug&lt;/author&gt;&lt;author&gt;Ole Sigmund Kjos&lt;/author&gt;&lt;author&gt;Henrik Gudbrandsen&lt;/author&gt;&lt;author&gt;Alain Ferber&lt;/author&gt;&lt;author&gt;Arne Petter Ratvik&lt;/author&gt;&lt;/authors&gt;&lt;/contributors&gt;&lt;titles&gt;&lt;secondary-title&gt;Light metals&lt;/secondary-title&gt;&lt;/titles&gt;&lt;periodical&gt;&lt;full-title&gt;Light Metals&lt;/full-title&gt;&lt;/periodical&gt;&lt;pages&gt;533-536&lt;/pages&gt;&lt;dates&gt;&lt;year&gt;2016&lt;/year&gt;&lt;/dates&gt;&lt;urls&gt;&lt;/urls&gt;&lt;/record&gt;&lt;/Cite&gt;&lt;/EndNote&gt;</w:instrText>
      </w:r>
      <w:r w:rsidR="005D2979">
        <w:rPr>
          <w:lang w:val="en-US"/>
        </w:rPr>
        <w:fldChar w:fldCharType="separate"/>
      </w:r>
      <w:r w:rsidR="0054179C">
        <w:rPr>
          <w:noProof/>
          <w:lang w:val="en-US"/>
        </w:rPr>
        <w:t>[9]</w:t>
      </w:r>
      <w:r w:rsidR="005D2979">
        <w:rPr>
          <w:lang w:val="en-US"/>
        </w:rPr>
        <w:fldChar w:fldCharType="end"/>
      </w:r>
      <w:r>
        <w:rPr>
          <w:lang w:val="en-US"/>
        </w:rPr>
        <w:t xml:space="preserve">, and it is expected to be the dominant species in a reducing gas atmosphere. It is not understood why the COS evolution appears late in the cycle, when temperature is dropping, and where a shift </w:t>
      </w:r>
      <w:r w:rsidR="008679D5">
        <w:rPr>
          <w:lang w:val="en-US"/>
        </w:rPr>
        <w:t xml:space="preserve">in dominance </w:t>
      </w:r>
      <w:r>
        <w:rPr>
          <w:lang w:val="en-US"/>
        </w:rPr>
        <w:t>from CO to CO</w:t>
      </w:r>
      <w:r w:rsidRPr="008679D5">
        <w:rPr>
          <w:vertAlign w:val="subscript"/>
          <w:lang w:val="en-US"/>
        </w:rPr>
        <w:t>2</w:t>
      </w:r>
      <w:r w:rsidR="008679D5">
        <w:rPr>
          <w:lang w:val="en-US"/>
        </w:rPr>
        <w:t xml:space="preserve"> </w:t>
      </w:r>
      <w:proofErr w:type="gramStart"/>
      <w:r w:rsidR="008679D5">
        <w:rPr>
          <w:lang w:val="en-US"/>
        </w:rPr>
        <w:t>is also</w:t>
      </w:r>
      <w:proofErr w:type="gramEnd"/>
      <w:r w:rsidR="008679D5">
        <w:rPr>
          <w:lang w:val="en-US"/>
        </w:rPr>
        <w:t xml:space="preserve"> observable.</w:t>
      </w:r>
    </w:p>
    <w:p w14:paraId="747E07E8" w14:textId="7A37E315" w:rsidR="00A431B2" w:rsidRDefault="00A65D14" w:rsidP="007F7B5D">
      <w:pPr>
        <w:jc w:val="both"/>
        <w:rPr>
          <w:lang w:val="en-US"/>
        </w:rPr>
      </w:pPr>
      <w:r>
        <w:rPr>
          <w:lang w:val="en-US"/>
        </w:rPr>
        <w:t xml:space="preserve">The investigations have given some insight in how the gas environment in an </w:t>
      </w:r>
      <w:proofErr w:type="gramStart"/>
      <w:r>
        <w:rPr>
          <w:lang w:val="en-US"/>
        </w:rPr>
        <w:t>anode baking</w:t>
      </w:r>
      <w:proofErr w:type="gramEnd"/>
      <w:r>
        <w:rPr>
          <w:lang w:val="en-US"/>
        </w:rPr>
        <w:t xml:space="preserve"> furnace evolve during anode baking.</w:t>
      </w:r>
      <w:r w:rsidR="008540AE">
        <w:rPr>
          <w:lang w:val="en-US"/>
        </w:rPr>
        <w:t xml:space="preserve"> </w:t>
      </w:r>
      <w:r w:rsidR="003A3D08">
        <w:rPr>
          <w:lang w:val="en-US"/>
        </w:rPr>
        <w:t xml:space="preserve">In order to verify and expand the current investigations, further investigations of the anode pit atmosphere are to be conducted. The </w:t>
      </w:r>
      <w:proofErr w:type="gramStart"/>
      <w:r w:rsidR="003A3D08">
        <w:rPr>
          <w:lang w:val="en-US"/>
        </w:rPr>
        <w:t>time period</w:t>
      </w:r>
      <w:proofErr w:type="gramEnd"/>
      <w:r w:rsidR="003A3D08">
        <w:rPr>
          <w:lang w:val="en-US"/>
        </w:rPr>
        <w:t xml:space="preserve"> for investigations must be expanded to comprise larger parts of the baking cycle, in addition to systematic sampling of VOC, SVOC and PAH and</w:t>
      </w:r>
      <w:r w:rsidR="00482B08">
        <w:rPr>
          <w:lang w:val="en-US"/>
        </w:rPr>
        <w:t>,</w:t>
      </w:r>
      <w:r w:rsidR="003A3D08">
        <w:rPr>
          <w:lang w:val="en-US"/>
        </w:rPr>
        <w:t xml:space="preserve"> possibly</w:t>
      </w:r>
      <w:r w:rsidR="00482B08">
        <w:rPr>
          <w:lang w:val="en-US"/>
        </w:rPr>
        <w:t>,</w:t>
      </w:r>
      <w:r w:rsidR="003A3D08">
        <w:rPr>
          <w:lang w:val="en-US"/>
        </w:rPr>
        <w:t xml:space="preserve"> in connection with online analysis of some of these hydrocarbons. </w:t>
      </w:r>
    </w:p>
    <w:p w14:paraId="3D721FD3" w14:textId="35861795" w:rsidR="004C3EA3" w:rsidRDefault="004C3EA3" w:rsidP="007F7B5D">
      <w:pPr>
        <w:pStyle w:val="Heading1"/>
        <w:rPr>
          <w:lang w:val="en-US"/>
        </w:rPr>
      </w:pPr>
      <w:r>
        <w:rPr>
          <w:lang w:val="en-US"/>
        </w:rPr>
        <w:t>Acknowledgement</w:t>
      </w:r>
    </w:p>
    <w:p w14:paraId="4A3B1BD5" w14:textId="5675982F" w:rsidR="00C84F57" w:rsidRPr="007F7B5D" w:rsidRDefault="00C84F57" w:rsidP="007F7B5D">
      <w:pPr>
        <w:jc w:val="both"/>
        <w:rPr>
          <w:lang w:val="en-GB"/>
        </w:rPr>
      </w:pPr>
      <w:r w:rsidRPr="00035B47">
        <w:rPr>
          <w:lang w:val="en-GB"/>
        </w:rPr>
        <w:t>Financial support from the Norwegian Research Council and the partners Hydro</w:t>
      </w:r>
      <w:r>
        <w:rPr>
          <w:lang w:val="en-GB"/>
        </w:rPr>
        <w:t xml:space="preserve"> Aluminium</w:t>
      </w:r>
      <w:r w:rsidRPr="00035B47">
        <w:rPr>
          <w:lang w:val="en-GB"/>
        </w:rPr>
        <w:t xml:space="preserve">, Alcoa, </w:t>
      </w:r>
      <w:proofErr w:type="spellStart"/>
      <w:r w:rsidRPr="00035B47">
        <w:rPr>
          <w:lang w:val="en-GB"/>
        </w:rPr>
        <w:t>Elkem</w:t>
      </w:r>
      <w:proofErr w:type="spellEnd"/>
      <w:r w:rsidRPr="00035B47">
        <w:rPr>
          <w:lang w:val="en-GB"/>
        </w:rPr>
        <w:t xml:space="preserve"> Carbon and </w:t>
      </w:r>
      <w:proofErr w:type="spellStart"/>
      <w:r w:rsidRPr="00035B47">
        <w:rPr>
          <w:lang w:val="en-GB"/>
        </w:rPr>
        <w:t>Skamol</w:t>
      </w:r>
      <w:proofErr w:type="spellEnd"/>
      <w:r w:rsidRPr="00035B47">
        <w:rPr>
          <w:lang w:val="en-GB"/>
        </w:rPr>
        <w:t xml:space="preserve"> through the project ”Reactivity of Carbon and Refractory Materials used in </w:t>
      </w:r>
      <w:r w:rsidR="00482B08">
        <w:rPr>
          <w:lang w:val="en-GB"/>
        </w:rPr>
        <w:t>M</w:t>
      </w:r>
      <w:r w:rsidRPr="00035B47">
        <w:rPr>
          <w:lang w:val="en-GB"/>
        </w:rPr>
        <w:t xml:space="preserve">etal </w:t>
      </w:r>
      <w:r w:rsidR="00482B08">
        <w:rPr>
          <w:lang w:val="en-GB"/>
        </w:rPr>
        <w:t>P</w:t>
      </w:r>
      <w:r w:rsidRPr="00035B47">
        <w:rPr>
          <w:lang w:val="en-GB"/>
        </w:rPr>
        <w:t xml:space="preserve">roduction </w:t>
      </w:r>
      <w:r w:rsidR="00482B08">
        <w:rPr>
          <w:lang w:val="en-GB"/>
        </w:rPr>
        <w:t>T</w:t>
      </w:r>
      <w:r w:rsidRPr="00035B47">
        <w:rPr>
          <w:lang w:val="en-GB"/>
        </w:rPr>
        <w:t xml:space="preserve">echnology” (CARMA) is acknowledged. Technical support from </w:t>
      </w:r>
      <w:r>
        <w:rPr>
          <w:lang w:val="en-GB"/>
        </w:rPr>
        <w:t xml:space="preserve">Roger Moen and </w:t>
      </w:r>
      <w:r w:rsidR="007D1A16">
        <w:rPr>
          <w:lang w:val="en-GB"/>
        </w:rPr>
        <w:t xml:space="preserve">Morten </w:t>
      </w:r>
      <w:proofErr w:type="spellStart"/>
      <w:r>
        <w:rPr>
          <w:lang w:val="en-GB"/>
        </w:rPr>
        <w:t>Aanvik</w:t>
      </w:r>
      <w:proofErr w:type="spellEnd"/>
      <w:r>
        <w:rPr>
          <w:lang w:val="en-GB"/>
        </w:rPr>
        <w:t xml:space="preserve"> at Alcoa </w:t>
      </w:r>
      <w:proofErr w:type="spellStart"/>
      <w:r w:rsidR="00F1035B">
        <w:rPr>
          <w:lang w:val="en-GB"/>
        </w:rPr>
        <w:t>Mosjøen</w:t>
      </w:r>
      <w:proofErr w:type="spellEnd"/>
      <w:r w:rsidR="00F1035B">
        <w:rPr>
          <w:lang w:val="en-GB"/>
        </w:rPr>
        <w:t xml:space="preserve"> during the measuring campaign is</w:t>
      </w:r>
      <w:r w:rsidR="00720502">
        <w:rPr>
          <w:lang w:val="en-GB"/>
        </w:rPr>
        <w:t xml:space="preserve"> </w:t>
      </w:r>
      <w:r w:rsidR="00720502" w:rsidRPr="00035B47">
        <w:rPr>
          <w:lang w:val="en-GB"/>
        </w:rPr>
        <w:t>acknowledged</w:t>
      </w:r>
      <w:r w:rsidR="00720502">
        <w:rPr>
          <w:lang w:val="en-GB"/>
        </w:rPr>
        <w:t xml:space="preserve"> and</w:t>
      </w:r>
      <w:r w:rsidR="00F1035B">
        <w:rPr>
          <w:lang w:val="en-GB"/>
        </w:rPr>
        <w:t xml:space="preserve"> highly appreciated. </w:t>
      </w:r>
    </w:p>
    <w:p w14:paraId="7443879E" w14:textId="430EBD90" w:rsidR="004C3EA3" w:rsidRDefault="004C3EA3" w:rsidP="007F7B5D">
      <w:pPr>
        <w:pStyle w:val="Heading1"/>
        <w:rPr>
          <w:lang w:val="en-US"/>
        </w:rPr>
      </w:pPr>
      <w:r>
        <w:rPr>
          <w:lang w:val="en-US"/>
        </w:rPr>
        <w:t>References</w:t>
      </w:r>
    </w:p>
    <w:p w14:paraId="2A172703" w14:textId="77777777" w:rsidR="007F7B5D" w:rsidRPr="00F95C8E" w:rsidRDefault="0024780E" w:rsidP="007F7B5D">
      <w:pPr>
        <w:pStyle w:val="EndNoteBibliography"/>
        <w:spacing w:after="0"/>
        <w:ind w:left="720" w:hanging="720"/>
      </w:pPr>
      <w:r>
        <w:fldChar w:fldCharType="begin"/>
      </w:r>
      <w:r w:rsidRPr="004110CB">
        <w:rPr>
          <w:lang w:val="nb-NO"/>
        </w:rPr>
        <w:instrText xml:space="preserve"> ADDIN EN.REFLIST </w:instrText>
      </w:r>
      <w:r>
        <w:fldChar w:fldCharType="separate"/>
      </w:r>
      <w:r w:rsidR="007F7B5D" w:rsidRPr="00F95C8E">
        <w:t>[1]</w:t>
      </w:r>
      <w:r w:rsidR="007F7B5D" w:rsidRPr="00F95C8E">
        <w:tab/>
        <w:t>Brandvik, T., et al., Light Metals, 2017: p. 1281-1288.</w:t>
      </w:r>
    </w:p>
    <w:p w14:paraId="24CA1CB2" w14:textId="77777777" w:rsidR="007F7B5D" w:rsidRPr="007F7B5D" w:rsidRDefault="007F7B5D" w:rsidP="007F7B5D">
      <w:pPr>
        <w:pStyle w:val="EndNoteBibliography"/>
        <w:spacing w:after="0"/>
        <w:ind w:left="720" w:hanging="720"/>
      </w:pPr>
      <w:r w:rsidRPr="007F7B5D">
        <w:t>[2]</w:t>
      </w:r>
      <w:r w:rsidRPr="007F7B5D">
        <w:tab/>
        <w:t>Bunk, F., Light Metals, 1995: p. 641-646.</w:t>
      </w:r>
    </w:p>
    <w:p w14:paraId="517A0A87" w14:textId="77777777" w:rsidR="007F7B5D" w:rsidRPr="00F95C8E" w:rsidRDefault="007F7B5D" w:rsidP="007F7B5D">
      <w:pPr>
        <w:pStyle w:val="EndNoteBibliography"/>
        <w:spacing w:after="0"/>
        <w:ind w:left="720" w:hanging="720"/>
      </w:pPr>
      <w:r w:rsidRPr="00F95C8E">
        <w:t>[3]</w:t>
      </w:r>
      <w:r w:rsidRPr="00F95C8E">
        <w:tab/>
        <w:t xml:space="preserve">Prigent, P. and M.L. Bouchetou, Interceram, 2009. </w:t>
      </w:r>
      <w:r w:rsidRPr="00F95C8E">
        <w:rPr>
          <w:b/>
        </w:rPr>
        <w:t>58</w:t>
      </w:r>
      <w:r w:rsidRPr="00F95C8E">
        <w:t>: p. 202-209.</w:t>
      </w:r>
    </w:p>
    <w:p w14:paraId="6AB7673B" w14:textId="77777777" w:rsidR="007F7B5D" w:rsidRPr="007F7B5D" w:rsidRDefault="007F7B5D" w:rsidP="007F7B5D">
      <w:pPr>
        <w:pStyle w:val="EndNoteBibliography"/>
        <w:spacing w:after="0"/>
        <w:ind w:left="720" w:hanging="720"/>
      </w:pPr>
      <w:r w:rsidRPr="00F95C8E">
        <w:t>[4]</w:t>
      </w:r>
      <w:r w:rsidRPr="00F95C8E">
        <w:tab/>
        <w:t xml:space="preserve">Prigent, P. and M.L. Bouchetou, Interceram, 2009. </w:t>
      </w:r>
      <w:r w:rsidRPr="007F7B5D">
        <w:rPr>
          <w:b/>
        </w:rPr>
        <w:t>58</w:t>
      </w:r>
      <w:r w:rsidRPr="007F7B5D">
        <w:t>: p. 121-126.</w:t>
      </w:r>
    </w:p>
    <w:p w14:paraId="638B3F2A" w14:textId="77777777" w:rsidR="007F7B5D" w:rsidRPr="007F7B5D" w:rsidRDefault="007F7B5D" w:rsidP="007F7B5D">
      <w:pPr>
        <w:pStyle w:val="EndNoteBibliography"/>
        <w:spacing w:after="0"/>
        <w:ind w:left="720" w:hanging="720"/>
      </w:pPr>
      <w:r w:rsidRPr="007F7B5D">
        <w:t>[5]</w:t>
      </w:r>
      <w:r w:rsidRPr="007F7B5D">
        <w:tab/>
        <w:t xml:space="preserve">Oumarou, N., D. Kocaefe, and Y. Kocaefe, Ceramics International, 2016. </w:t>
      </w:r>
      <w:r w:rsidRPr="007F7B5D">
        <w:rPr>
          <w:b/>
        </w:rPr>
        <w:t>42</w:t>
      </w:r>
      <w:r w:rsidRPr="007F7B5D">
        <w:t>: p. 18436-18442.</w:t>
      </w:r>
    </w:p>
    <w:p w14:paraId="42B03258" w14:textId="77777777" w:rsidR="007F7B5D" w:rsidRPr="00F95C8E" w:rsidRDefault="007F7B5D" w:rsidP="007F7B5D">
      <w:pPr>
        <w:pStyle w:val="EndNoteBibliography"/>
        <w:spacing w:after="0"/>
        <w:ind w:left="720" w:hanging="720"/>
      </w:pPr>
      <w:r w:rsidRPr="007F7B5D">
        <w:t>[6]</w:t>
      </w:r>
      <w:r w:rsidRPr="007F7B5D">
        <w:tab/>
        <w:t xml:space="preserve">Sentralbyrå, S. </w:t>
      </w:r>
      <w:r w:rsidRPr="007F7B5D">
        <w:rPr>
          <w:i/>
        </w:rPr>
        <w:t>Emissions to air of hazardous substances and particulate matter, 1990-2015</w:t>
      </w:r>
      <w:r w:rsidRPr="007F7B5D">
        <w:t xml:space="preserve">. </w:t>
      </w:r>
      <w:r w:rsidRPr="00F95C8E">
        <w:t>2015.</w:t>
      </w:r>
    </w:p>
    <w:p w14:paraId="10B6D82F" w14:textId="77777777" w:rsidR="007F7B5D" w:rsidRPr="00F95C8E" w:rsidRDefault="007F7B5D" w:rsidP="007F7B5D">
      <w:pPr>
        <w:pStyle w:val="EndNoteBibliography"/>
        <w:spacing w:after="0"/>
        <w:ind w:left="720" w:hanging="720"/>
      </w:pPr>
      <w:r w:rsidRPr="00F95C8E">
        <w:t>[7]</w:t>
      </w:r>
      <w:r w:rsidRPr="00F95C8E">
        <w:tab/>
        <w:t>Kjos, O.S., et al., Light Metals, 2014: p. 541-546.</w:t>
      </w:r>
    </w:p>
    <w:p w14:paraId="61F0BBB6" w14:textId="77777777" w:rsidR="007F7B5D" w:rsidRPr="00F95C8E" w:rsidRDefault="007F7B5D" w:rsidP="007F7B5D">
      <w:pPr>
        <w:pStyle w:val="EndNoteBibliography"/>
        <w:spacing w:after="0"/>
        <w:ind w:left="720" w:hanging="720"/>
      </w:pPr>
      <w:r w:rsidRPr="00F95C8E">
        <w:t>[8]</w:t>
      </w:r>
      <w:r w:rsidRPr="00F95C8E">
        <w:tab/>
        <w:t>Aarhaug, T.A., et al., Light Metals, 2014: p. 647-652.</w:t>
      </w:r>
    </w:p>
    <w:p w14:paraId="1295FCFF" w14:textId="77777777" w:rsidR="007F7B5D" w:rsidRPr="00F95C8E" w:rsidRDefault="007F7B5D" w:rsidP="007F7B5D">
      <w:pPr>
        <w:pStyle w:val="EndNoteBibliography"/>
        <w:spacing w:after="0"/>
        <w:ind w:left="720" w:hanging="720"/>
      </w:pPr>
      <w:r w:rsidRPr="00F95C8E">
        <w:t>[9]</w:t>
      </w:r>
      <w:r w:rsidRPr="00F95C8E">
        <w:tab/>
        <w:t>Aarhaug, T.A., et al., Light metals, 2016: p. 533-536.</w:t>
      </w:r>
    </w:p>
    <w:p w14:paraId="6584E0E4" w14:textId="77777777" w:rsidR="007F7B5D" w:rsidRPr="007F7B5D" w:rsidRDefault="007F7B5D" w:rsidP="007F7B5D">
      <w:pPr>
        <w:pStyle w:val="EndNoteBibliography"/>
        <w:spacing w:after="0"/>
        <w:ind w:left="720" w:hanging="720"/>
      </w:pPr>
      <w:r w:rsidRPr="007F7B5D">
        <w:t>[10]</w:t>
      </w:r>
      <w:r w:rsidRPr="007F7B5D">
        <w:tab/>
        <w:t>Thorne, R.J., et al., Light Metals, 2013: p. 1207-1210.</w:t>
      </w:r>
    </w:p>
    <w:p w14:paraId="666F6FCE" w14:textId="77777777" w:rsidR="007F7B5D" w:rsidRPr="007F7B5D" w:rsidRDefault="007F7B5D" w:rsidP="007F7B5D">
      <w:pPr>
        <w:pStyle w:val="EndNoteBibliography"/>
        <w:spacing w:after="0"/>
        <w:ind w:left="720" w:hanging="720"/>
      </w:pPr>
      <w:r w:rsidRPr="007F7B5D">
        <w:t>[11]</w:t>
      </w:r>
      <w:r w:rsidRPr="007F7B5D">
        <w:tab/>
        <w:t>Aarhaug, T.A. and A.P. Ratvik, Journal of Metals, (submitted).</w:t>
      </w:r>
    </w:p>
    <w:p w14:paraId="66CA5008" w14:textId="77777777" w:rsidR="007F7B5D" w:rsidRPr="007F7B5D" w:rsidRDefault="007F7B5D" w:rsidP="007F7B5D">
      <w:pPr>
        <w:pStyle w:val="EndNoteBibliography"/>
        <w:spacing w:after="0"/>
        <w:ind w:left="720" w:hanging="720"/>
      </w:pPr>
      <w:r w:rsidRPr="007F7B5D">
        <w:t>[12]</w:t>
      </w:r>
      <w:r w:rsidRPr="007F7B5D">
        <w:tab/>
        <w:t xml:space="preserve">Outotec, </w:t>
      </w:r>
      <w:r w:rsidRPr="007F7B5D">
        <w:rPr>
          <w:i/>
        </w:rPr>
        <w:t>HSC Chemistry</w:t>
      </w:r>
      <w:r w:rsidRPr="007F7B5D">
        <w:t>. Outotec.</w:t>
      </w:r>
    </w:p>
    <w:p w14:paraId="48DD4713" w14:textId="77777777" w:rsidR="007F7B5D" w:rsidRPr="007F7B5D" w:rsidRDefault="007F7B5D" w:rsidP="007F7B5D">
      <w:pPr>
        <w:pStyle w:val="EndNoteBibliography"/>
        <w:spacing w:after="0"/>
        <w:ind w:left="720" w:hanging="720"/>
      </w:pPr>
      <w:r w:rsidRPr="007F7B5D">
        <w:t>[13]</w:t>
      </w:r>
      <w:r w:rsidRPr="007F7B5D">
        <w:tab/>
        <w:t>Chevarin, F., et al., Light Metals, 2015: p. 1147-1152.</w:t>
      </w:r>
    </w:p>
    <w:p w14:paraId="4EDE45CD" w14:textId="77777777" w:rsidR="007F7B5D" w:rsidRPr="007F7B5D" w:rsidRDefault="007F7B5D" w:rsidP="007F7B5D">
      <w:pPr>
        <w:pStyle w:val="EndNoteBibliography"/>
        <w:ind w:left="720" w:hanging="720"/>
      </w:pPr>
      <w:r w:rsidRPr="007F7B5D">
        <w:t>[14]</w:t>
      </w:r>
      <w:r w:rsidRPr="007F7B5D">
        <w:tab/>
        <w:t xml:space="preserve">Clark, P.D., et al., Industrial Engineering Chemistry Reseach, 2001. </w:t>
      </w:r>
      <w:r w:rsidRPr="007F7B5D">
        <w:rPr>
          <w:b/>
        </w:rPr>
        <w:t>40</w:t>
      </w:r>
      <w:r w:rsidRPr="007F7B5D">
        <w:t>: p. 497-508.</w:t>
      </w:r>
    </w:p>
    <w:p w14:paraId="2BC7E3A0" w14:textId="3FBB7C37" w:rsidR="004C3EA3" w:rsidRPr="00D83E94" w:rsidRDefault="0024780E">
      <w:pPr>
        <w:rPr>
          <w:rFonts w:cs="Times New Roman"/>
          <w:lang w:val="en-US"/>
        </w:rPr>
      </w:pPr>
      <w:r>
        <w:rPr>
          <w:rFonts w:cs="Times New Roman"/>
          <w:lang w:val="en-US"/>
        </w:rPr>
        <w:fldChar w:fldCharType="end"/>
      </w:r>
    </w:p>
    <w:sectPr w:rsidR="004C3EA3" w:rsidRPr="00D83E94">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Marc Dupuis" w:date="2017-09-04T15:47:00Z" w:initials="MD">
    <w:p w14:paraId="2FFE805B" w14:textId="1F6442F4" w:rsidR="002B7A1F" w:rsidRPr="00820CB3" w:rsidRDefault="002B7A1F">
      <w:pPr>
        <w:pStyle w:val="CommentText"/>
        <w:rPr>
          <w:lang w:val="en-US"/>
        </w:rPr>
      </w:pPr>
      <w:r>
        <w:rPr>
          <w:rStyle w:val="CommentReference"/>
        </w:rPr>
        <w:annotationRef/>
      </w:r>
      <w:r w:rsidR="007B7640" w:rsidRPr="00820CB3">
        <w:rPr>
          <w:lang w:val="en-US"/>
        </w:rPr>
        <w:t>A picture of the probe would be nice</w:t>
      </w:r>
    </w:p>
  </w:comment>
  <w:comment w:id="24" w:author="Marc Dupuis" w:date="2017-09-04T16:00:00Z" w:initials="MD">
    <w:p w14:paraId="492B218A" w14:textId="63C8C550" w:rsidR="002D082D" w:rsidRPr="00820CB3" w:rsidRDefault="002D082D">
      <w:pPr>
        <w:pStyle w:val="CommentText"/>
        <w:rPr>
          <w:lang w:val="en-US"/>
        </w:rPr>
      </w:pPr>
      <w:r>
        <w:rPr>
          <w:rStyle w:val="CommentReference"/>
        </w:rPr>
        <w:annotationRef/>
      </w:r>
      <w:r w:rsidR="00CF33C4" w:rsidRPr="00820CB3">
        <w:rPr>
          <w:lang w:val="en-US"/>
        </w:rPr>
        <w:t>For anode baking model validation purpose it would be very useful to measure the evolution of the methane concentration over the full cycle!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FFE805B" w15:done="0"/>
  <w15:commentEx w15:paraId="492B218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711B05"/>
    <w:multiLevelType w:val="hybridMultilevel"/>
    <w:tmpl w:val="433E1038"/>
    <w:lvl w:ilvl="0" w:tplc="DD06C4D2">
      <w:start w:val="2"/>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c Dupuis">
    <w15:presenceInfo w15:providerId="Windows Live" w15:userId="5485bb43041082d3"/>
  </w15:person>
  <w15:person w15:author="Trond Brandvik">
    <w15:presenceInfo w15:providerId="AD" w15:userId="S-1-5-21-3959417778-1711865379-3952174976-1062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T&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C16C5E"/>
    <w:rsid w:val="000017C3"/>
    <w:rsid w:val="000068CC"/>
    <w:rsid w:val="00012926"/>
    <w:rsid w:val="00026428"/>
    <w:rsid w:val="00027E87"/>
    <w:rsid w:val="000540F5"/>
    <w:rsid w:val="00077C9A"/>
    <w:rsid w:val="0009509F"/>
    <w:rsid w:val="000A156C"/>
    <w:rsid w:val="000A3381"/>
    <w:rsid w:val="000D7B8A"/>
    <w:rsid w:val="000E7FE6"/>
    <w:rsid w:val="000F3E82"/>
    <w:rsid w:val="001058FD"/>
    <w:rsid w:val="00121B15"/>
    <w:rsid w:val="001562D0"/>
    <w:rsid w:val="001651B4"/>
    <w:rsid w:val="001843D9"/>
    <w:rsid w:val="0018771D"/>
    <w:rsid w:val="00194CF1"/>
    <w:rsid w:val="001E070E"/>
    <w:rsid w:val="0023041D"/>
    <w:rsid w:val="00235452"/>
    <w:rsid w:val="002374C9"/>
    <w:rsid w:val="00237754"/>
    <w:rsid w:val="0024780E"/>
    <w:rsid w:val="00276F42"/>
    <w:rsid w:val="0028266E"/>
    <w:rsid w:val="002B7A1F"/>
    <w:rsid w:val="002C2260"/>
    <w:rsid w:val="002D082D"/>
    <w:rsid w:val="002E088D"/>
    <w:rsid w:val="00302AED"/>
    <w:rsid w:val="00330BA1"/>
    <w:rsid w:val="00372B62"/>
    <w:rsid w:val="003A2610"/>
    <w:rsid w:val="003A3D08"/>
    <w:rsid w:val="003F75F2"/>
    <w:rsid w:val="00402289"/>
    <w:rsid w:val="0040679A"/>
    <w:rsid w:val="004110CB"/>
    <w:rsid w:val="00416F7B"/>
    <w:rsid w:val="0042442A"/>
    <w:rsid w:val="00465668"/>
    <w:rsid w:val="00482B08"/>
    <w:rsid w:val="004C3EA3"/>
    <w:rsid w:val="004D73D0"/>
    <w:rsid w:val="0054179C"/>
    <w:rsid w:val="00567BDF"/>
    <w:rsid w:val="0057773B"/>
    <w:rsid w:val="005937AD"/>
    <w:rsid w:val="005A47F3"/>
    <w:rsid w:val="005D2979"/>
    <w:rsid w:val="005D730D"/>
    <w:rsid w:val="005D773B"/>
    <w:rsid w:val="00602D9C"/>
    <w:rsid w:val="00613184"/>
    <w:rsid w:val="00620B33"/>
    <w:rsid w:val="006444F7"/>
    <w:rsid w:val="00656CD4"/>
    <w:rsid w:val="00657820"/>
    <w:rsid w:val="0066220D"/>
    <w:rsid w:val="006730EE"/>
    <w:rsid w:val="00690B49"/>
    <w:rsid w:val="00691F3C"/>
    <w:rsid w:val="00693996"/>
    <w:rsid w:val="006A3CD7"/>
    <w:rsid w:val="006E4233"/>
    <w:rsid w:val="006F7314"/>
    <w:rsid w:val="00720502"/>
    <w:rsid w:val="0072136A"/>
    <w:rsid w:val="00733A15"/>
    <w:rsid w:val="00742278"/>
    <w:rsid w:val="00745FD0"/>
    <w:rsid w:val="0076703C"/>
    <w:rsid w:val="0076773B"/>
    <w:rsid w:val="0078112E"/>
    <w:rsid w:val="007B7640"/>
    <w:rsid w:val="007C17E1"/>
    <w:rsid w:val="007D1A16"/>
    <w:rsid w:val="007F2219"/>
    <w:rsid w:val="007F4EED"/>
    <w:rsid w:val="007F7B5D"/>
    <w:rsid w:val="008102A4"/>
    <w:rsid w:val="008136B2"/>
    <w:rsid w:val="008162EE"/>
    <w:rsid w:val="00820CB3"/>
    <w:rsid w:val="008237F0"/>
    <w:rsid w:val="00844742"/>
    <w:rsid w:val="008540AE"/>
    <w:rsid w:val="008562E6"/>
    <w:rsid w:val="008679D5"/>
    <w:rsid w:val="00892A92"/>
    <w:rsid w:val="008C469A"/>
    <w:rsid w:val="008C50DA"/>
    <w:rsid w:val="008F595B"/>
    <w:rsid w:val="008F6E5E"/>
    <w:rsid w:val="00900B45"/>
    <w:rsid w:val="00914558"/>
    <w:rsid w:val="00925764"/>
    <w:rsid w:val="0093692C"/>
    <w:rsid w:val="00957D1B"/>
    <w:rsid w:val="00963943"/>
    <w:rsid w:val="00985F05"/>
    <w:rsid w:val="009B79FE"/>
    <w:rsid w:val="009C3BAD"/>
    <w:rsid w:val="00A15960"/>
    <w:rsid w:val="00A431B2"/>
    <w:rsid w:val="00A65D14"/>
    <w:rsid w:val="00A75FB8"/>
    <w:rsid w:val="00A84CBD"/>
    <w:rsid w:val="00A85159"/>
    <w:rsid w:val="00A92411"/>
    <w:rsid w:val="00AB6E52"/>
    <w:rsid w:val="00AC256C"/>
    <w:rsid w:val="00AE6B18"/>
    <w:rsid w:val="00B05556"/>
    <w:rsid w:val="00B34EF9"/>
    <w:rsid w:val="00BA7680"/>
    <w:rsid w:val="00BB04DF"/>
    <w:rsid w:val="00BC0107"/>
    <w:rsid w:val="00BF7C69"/>
    <w:rsid w:val="00C01FB6"/>
    <w:rsid w:val="00C16C5E"/>
    <w:rsid w:val="00C27E69"/>
    <w:rsid w:val="00C525BB"/>
    <w:rsid w:val="00C6468F"/>
    <w:rsid w:val="00C724FE"/>
    <w:rsid w:val="00C778DA"/>
    <w:rsid w:val="00C84F57"/>
    <w:rsid w:val="00C866B9"/>
    <w:rsid w:val="00CA15E1"/>
    <w:rsid w:val="00CF33C4"/>
    <w:rsid w:val="00D01892"/>
    <w:rsid w:val="00D03E4D"/>
    <w:rsid w:val="00D1689B"/>
    <w:rsid w:val="00D2696A"/>
    <w:rsid w:val="00D318B2"/>
    <w:rsid w:val="00D372C6"/>
    <w:rsid w:val="00D50C32"/>
    <w:rsid w:val="00D70A74"/>
    <w:rsid w:val="00D737A0"/>
    <w:rsid w:val="00D83E94"/>
    <w:rsid w:val="00D841A8"/>
    <w:rsid w:val="00D84B71"/>
    <w:rsid w:val="00E05704"/>
    <w:rsid w:val="00E26AB6"/>
    <w:rsid w:val="00E31A19"/>
    <w:rsid w:val="00E324A8"/>
    <w:rsid w:val="00E67AF1"/>
    <w:rsid w:val="00E9423A"/>
    <w:rsid w:val="00EB3790"/>
    <w:rsid w:val="00EF6BE1"/>
    <w:rsid w:val="00F1035B"/>
    <w:rsid w:val="00F2323F"/>
    <w:rsid w:val="00F365C8"/>
    <w:rsid w:val="00F525EE"/>
    <w:rsid w:val="00F80A5E"/>
    <w:rsid w:val="00F95C8E"/>
    <w:rsid w:val="00F976F0"/>
    <w:rsid w:val="00FD10D1"/>
    <w:rsid w:val="00FE3889"/>
    <w:rsid w:val="00FE4573"/>
    <w:rsid w:val="00FF0C81"/>
    <w:rsid w:val="00FF76B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5FE0D"/>
  <w15:chartTrackingRefBased/>
  <w15:docId w15:val="{0607E833-F3CB-40C3-A53C-D5D53C6BF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56C"/>
    <w:rPr>
      <w:rFonts w:ascii="Times New Roman" w:hAnsi="Times New Roman"/>
    </w:rPr>
  </w:style>
  <w:style w:type="paragraph" w:styleId="Heading1">
    <w:name w:val="heading 1"/>
    <w:basedOn w:val="Normal"/>
    <w:next w:val="Normal"/>
    <w:link w:val="Heading1Char"/>
    <w:uiPriority w:val="9"/>
    <w:qFormat/>
    <w:rsid w:val="000A156C"/>
    <w:pPr>
      <w:keepNext/>
      <w:keepLines/>
      <w:spacing w:before="240" w:after="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C22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MSAuthorsAffiliations">
    <w:name w:val="TMS: Author(s)/Affiliation(s)"/>
    <w:basedOn w:val="Normal"/>
    <w:rsid w:val="00E324A8"/>
    <w:pPr>
      <w:spacing w:after="0" w:line="240" w:lineRule="auto"/>
      <w:jc w:val="center"/>
    </w:pPr>
    <w:rPr>
      <w:rFonts w:eastAsia="Times New Roman" w:cs="Times New Roman"/>
      <w:sz w:val="18"/>
      <w:szCs w:val="24"/>
      <w:lang w:val="en-US"/>
    </w:rPr>
  </w:style>
  <w:style w:type="paragraph" w:styleId="Title">
    <w:name w:val="Title"/>
    <w:basedOn w:val="Normal"/>
    <w:next w:val="Normal"/>
    <w:link w:val="TitleChar"/>
    <w:uiPriority w:val="10"/>
    <w:qFormat/>
    <w:rsid w:val="00E324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4A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A156C"/>
    <w:rPr>
      <w:rFonts w:ascii="Times New Roman" w:eastAsiaTheme="majorEastAsia" w:hAnsi="Times New Roman" w:cstheme="majorBidi"/>
      <w:color w:val="2F5496" w:themeColor="accent1" w:themeShade="BF"/>
      <w:sz w:val="32"/>
      <w:szCs w:val="32"/>
    </w:rPr>
  </w:style>
  <w:style w:type="character" w:customStyle="1" w:styleId="Heading2Char">
    <w:name w:val="Heading 2 Char"/>
    <w:basedOn w:val="DefaultParagraphFont"/>
    <w:link w:val="Heading2"/>
    <w:uiPriority w:val="9"/>
    <w:rsid w:val="002C226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69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91F3C"/>
    <w:pPr>
      <w:spacing w:after="200" w:line="240" w:lineRule="auto"/>
    </w:pPr>
    <w:rPr>
      <w:iCs/>
      <w:color w:val="000000" w:themeColor="text1"/>
      <w:szCs w:val="18"/>
    </w:rPr>
  </w:style>
  <w:style w:type="paragraph" w:styleId="ListParagraph">
    <w:name w:val="List Paragraph"/>
    <w:basedOn w:val="Normal"/>
    <w:uiPriority w:val="34"/>
    <w:qFormat/>
    <w:rsid w:val="00691F3C"/>
    <w:pPr>
      <w:ind w:left="720"/>
      <w:contextualSpacing/>
    </w:pPr>
  </w:style>
  <w:style w:type="character" w:styleId="CommentReference">
    <w:name w:val="annotation reference"/>
    <w:basedOn w:val="DefaultParagraphFont"/>
    <w:uiPriority w:val="99"/>
    <w:semiHidden/>
    <w:unhideWhenUsed/>
    <w:rsid w:val="000540F5"/>
    <w:rPr>
      <w:sz w:val="18"/>
      <w:szCs w:val="18"/>
    </w:rPr>
  </w:style>
  <w:style w:type="paragraph" w:styleId="CommentText">
    <w:name w:val="annotation text"/>
    <w:basedOn w:val="Normal"/>
    <w:link w:val="CommentTextChar"/>
    <w:uiPriority w:val="99"/>
    <w:semiHidden/>
    <w:unhideWhenUsed/>
    <w:rsid w:val="000540F5"/>
    <w:pPr>
      <w:spacing w:line="240" w:lineRule="auto"/>
    </w:pPr>
    <w:rPr>
      <w:sz w:val="24"/>
      <w:szCs w:val="24"/>
    </w:rPr>
  </w:style>
  <w:style w:type="character" w:customStyle="1" w:styleId="CommentTextChar">
    <w:name w:val="Comment Text Char"/>
    <w:basedOn w:val="DefaultParagraphFont"/>
    <w:link w:val="CommentText"/>
    <w:uiPriority w:val="99"/>
    <w:semiHidden/>
    <w:rsid w:val="000540F5"/>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0540F5"/>
    <w:rPr>
      <w:b/>
      <w:bCs/>
      <w:sz w:val="20"/>
      <w:szCs w:val="20"/>
    </w:rPr>
  </w:style>
  <w:style w:type="character" w:customStyle="1" w:styleId="CommentSubjectChar">
    <w:name w:val="Comment Subject Char"/>
    <w:basedOn w:val="CommentTextChar"/>
    <w:link w:val="CommentSubject"/>
    <w:uiPriority w:val="99"/>
    <w:semiHidden/>
    <w:rsid w:val="000540F5"/>
    <w:rPr>
      <w:rFonts w:ascii="Times New Roman" w:hAnsi="Times New Roman"/>
      <w:b/>
      <w:bCs/>
      <w:sz w:val="20"/>
      <w:szCs w:val="20"/>
    </w:rPr>
  </w:style>
  <w:style w:type="paragraph" w:styleId="BalloonText">
    <w:name w:val="Balloon Text"/>
    <w:basedOn w:val="Normal"/>
    <w:link w:val="BalloonTextChar"/>
    <w:uiPriority w:val="99"/>
    <w:semiHidden/>
    <w:unhideWhenUsed/>
    <w:rsid w:val="000540F5"/>
    <w:pPr>
      <w:spacing w:after="0"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0540F5"/>
    <w:rPr>
      <w:rFonts w:ascii="Times New Roman" w:hAnsi="Times New Roman" w:cs="Times New Roman"/>
      <w:sz w:val="18"/>
      <w:szCs w:val="18"/>
    </w:rPr>
  </w:style>
  <w:style w:type="character" w:styleId="PlaceholderText">
    <w:name w:val="Placeholder Text"/>
    <w:basedOn w:val="DefaultParagraphFont"/>
    <w:uiPriority w:val="99"/>
    <w:semiHidden/>
    <w:rsid w:val="00F2323F"/>
    <w:rPr>
      <w:color w:val="808080"/>
    </w:rPr>
  </w:style>
  <w:style w:type="paragraph" w:customStyle="1" w:styleId="EndNoteBibliographyTitle">
    <w:name w:val="EndNote Bibliography Title"/>
    <w:basedOn w:val="Normal"/>
    <w:link w:val="EndNoteBibliographyTitleChar"/>
    <w:rsid w:val="0024780E"/>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24780E"/>
    <w:rPr>
      <w:rFonts w:ascii="Times New Roman" w:hAnsi="Times New Roman" w:cs="Times New Roman"/>
      <w:noProof/>
      <w:lang w:val="en-US"/>
    </w:rPr>
  </w:style>
  <w:style w:type="paragraph" w:customStyle="1" w:styleId="EndNoteBibliography">
    <w:name w:val="EndNote Bibliography"/>
    <w:basedOn w:val="Normal"/>
    <w:link w:val="EndNoteBibliographyChar"/>
    <w:rsid w:val="0024780E"/>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24780E"/>
    <w:rPr>
      <w:rFonts w:ascii="Times New Roman" w:hAnsi="Times New Roman" w:cs="Times New Roman"/>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918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intef.no\users\okj\mangler%20prosjektmappe\SFI%20Metals%20production\Mosj&#248;en\Copy%20of%2020151123%20PAH%20pr&#248;vesvar%20(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389367995667209"/>
          <c:y val="7.5943712307348671E-2"/>
          <c:w val="0.86610632004332788"/>
          <c:h val="0.46003000462556654"/>
        </c:manualLayout>
      </c:layout>
      <c:bar3DChart>
        <c:barDir val="col"/>
        <c:grouping val="clustered"/>
        <c:varyColors val="0"/>
        <c:ser>
          <c:idx val="0"/>
          <c:order val="0"/>
          <c:tx>
            <c:strRef>
              <c:f>'Endelige prøvesvar'!$Y$31</c:f>
              <c:strCache>
                <c:ptCount val="1"/>
                <c:pt idx="0">
                  <c:v>#1</c:v>
                </c:pt>
              </c:strCache>
            </c:strRef>
          </c:tx>
          <c:spPr>
            <a:solidFill>
              <a:schemeClr val="accent1"/>
            </a:solidFill>
            <a:ln>
              <a:noFill/>
            </a:ln>
            <a:effectLst/>
            <a:sp3d/>
          </c:spPr>
          <c:invertIfNegative val="0"/>
          <c:cat>
            <c:strRef>
              <c:f>'Endelige prøvesvar'!$X$32:$X$47</c:f>
              <c:strCache>
                <c:ptCount val="9"/>
                <c:pt idx="0">
                  <c:v> Naphtalene             </c:v>
                </c:pt>
                <c:pt idx="1">
                  <c:v>Antracene                   </c:v>
                </c:pt>
                <c:pt idx="2">
                  <c:v> Fluoranthene              </c:v>
                </c:pt>
                <c:pt idx="3">
                  <c:v> Pyrene                      </c:v>
                </c:pt>
                <c:pt idx="4">
                  <c:v> Benz(a)anthracene         </c:v>
                </c:pt>
                <c:pt idx="5">
                  <c:v>Chrycene              </c:v>
                </c:pt>
                <c:pt idx="6">
                  <c:v>Benzo(b)fluoranthene       </c:v>
                </c:pt>
                <c:pt idx="7">
                  <c:v> Benzo(k)fluoroanthene    </c:v>
                </c:pt>
                <c:pt idx="8">
                  <c:v> Benzo(a)pyrene             </c:v>
                </c:pt>
              </c:strCache>
              <c:extLst/>
            </c:strRef>
          </c:cat>
          <c:val>
            <c:numRef>
              <c:f>'Endelige prøvesvar'!$Y$32:$Y$47</c:f>
              <c:numCache>
                <c:formatCode>0</c:formatCode>
                <c:ptCount val="9"/>
                <c:pt idx="0">
                  <c:v>91.836734693877546</c:v>
                </c:pt>
                <c:pt idx="1">
                  <c:v>175.80266666666668</c:v>
                </c:pt>
                <c:pt idx="2">
                  <c:v>177.23000000000002</c:v>
                </c:pt>
                <c:pt idx="3">
                  <c:v>51.188843537414968</c:v>
                </c:pt>
                <c:pt idx="4">
                  <c:v>15.521632653061227</c:v>
                </c:pt>
                <c:pt idx="5">
                  <c:v>46.375469387755103</c:v>
                </c:pt>
                <c:pt idx="6">
                  <c:v>24.136448979591837</c:v>
                </c:pt>
                <c:pt idx="7">
                  <c:v>4.8948979591836741</c:v>
                </c:pt>
                <c:pt idx="8">
                  <c:v>10.88299319727891</c:v>
                </c:pt>
              </c:numCache>
              <c:extLst/>
            </c:numRef>
          </c:val>
          <c:extLst>
            <c:ext xmlns:c16="http://schemas.microsoft.com/office/drawing/2014/chart" uri="{C3380CC4-5D6E-409C-BE32-E72D297353CC}">
              <c16:uniqueId val="{00000000-BFB3-4584-87D0-E3B8A3C7999F}"/>
            </c:ext>
          </c:extLst>
        </c:ser>
        <c:ser>
          <c:idx val="1"/>
          <c:order val="1"/>
          <c:tx>
            <c:strRef>
              <c:f>'Endelige prøvesvar'!$Z$31</c:f>
              <c:strCache>
                <c:ptCount val="1"/>
                <c:pt idx="0">
                  <c:v>#2</c:v>
                </c:pt>
              </c:strCache>
            </c:strRef>
          </c:tx>
          <c:spPr>
            <a:solidFill>
              <a:schemeClr val="accent2"/>
            </a:solidFill>
            <a:ln>
              <a:noFill/>
            </a:ln>
            <a:effectLst/>
            <a:sp3d/>
          </c:spPr>
          <c:invertIfNegative val="0"/>
          <c:cat>
            <c:strRef>
              <c:f>'Endelige prøvesvar'!$X$32:$X$47</c:f>
              <c:strCache>
                <c:ptCount val="9"/>
                <c:pt idx="0">
                  <c:v> Naphtalene             </c:v>
                </c:pt>
                <c:pt idx="1">
                  <c:v>Antracene                   </c:v>
                </c:pt>
                <c:pt idx="2">
                  <c:v> Fluoranthene              </c:v>
                </c:pt>
                <c:pt idx="3">
                  <c:v> Pyrene                      </c:v>
                </c:pt>
                <c:pt idx="4">
                  <c:v> Benz(a)anthracene         </c:v>
                </c:pt>
                <c:pt idx="5">
                  <c:v>Chrycene              </c:v>
                </c:pt>
                <c:pt idx="6">
                  <c:v>Benzo(b)fluoranthene       </c:v>
                </c:pt>
                <c:pt idx="7">
                  <c:v> Benzo(k)fluoroanthene    </c:v>
                </c:pt>
                <c:pt idx="8">
                  <c:v> Benzo(a)pyrene             </c:v>
                </c:pt>
              </c:strCache>
              <c:extLst/>
            </c:strRef>
          </c:cat>
          <c:val>
            <c:numRef>
              <c:f>'Endelige prøvesvar'!$Z$32:$Z$47</c:f>
              <c:numCache>
                <c:formatCode>0</c:formatCode>
                <c:ptCount val="9"/>
                <c:pt idx="0">
                  <c:v>53.525792711784185</c:v>
                </c:pt>
                <c:pt idx="1">
                  <c:v>3.9012068149550401</c:v>
                </c:pt>
                <c:pt idx="2">
                  <c:v>34.020586843350678</c:v>
                </c:pt>
                <c:pt idx="3">
                  <c:v>0.11358258400378607</c:v>
                </c:pt>
                <c:pt idx="4">
                  <c:v>9.2285849503076181E-2</c:v>
                </c:pt>
                <c:pt idx="5">
                  <c:v>19.898012304779932</c:v>
                </c:pt>
                <c:pt idx="6">
                  <c:v>5.9187174633222899</c:v>
                </c:pt>
                <c:pt idx="7">
                  <c:v>0</c:v>
                </c:pt>
                <c:pt idx="8">
                  <c:v>0</c:v>
                </c:pt>
              </c:numCache>
              <c:extLst/>
            </c:numRef>
          </c:val>
          <c:extLst>
            <c:ext xmlns:c16="http://schemas.microsoft.com/office/drawing/2014/chart" uri="{C3380CC4-5D6E-409C-BE32-E72D297353CC}">
              <c16:uniqueId val="{00000001-BFB3-4584-87D0-E3B8A3C7999F}"/>
            </c:ext>
          </c:extLst>
        </c:ser>
        <c:ser>
          <c:idx val="2"/>
          <c:order val="2"/>
          <c:tx>
            <c:strRef>
              <c:f>'Endelige prøvesvar'!$AA$31</c:f>
              <c:strCache>
                <c:ptCount val="1"/>
                <c:pt idx="0">
                  <c:v>#3</c:v>
                </c:pt>
              </c:strCache>
            </c:strRef>
          </c:tx>
          <c:spPr>
            <a:solidFill>
              <a:schemeClr val="accent3"/>
            </a:solidFill>
            <a:ln>
              <a:noFill/>
            </a:ln>
            <a:effectLst/>
            <a:sp3d/>
          </c:spPr>
          <c:invertIfNegative val="0"/>
          <c:cat>
            <c:strRef>
              <c:f>'Endelige prøvesvar'!$X$32:$X$47</c:f>
              <c:strCache>
                <c:ptCount val="9"/>
                <c:pt idx="0">
                  <c:v> Naphtalene             </c:v>
                </c:pt>
                <c:pt idx="1">
                  <c:v>Antracene                   </c:v>
                </c:pt>
                <c:pt idx="2">
                  <c:v> Fluoranthene              </c:v>
                </c:pt>
                <c:pt idx="3">
                  <c:v> Pyrene                      </c:v>
                </c:pt>
                <c:pt idx="4">
                  <c:v> Benz(a)anthracene         </c:v>
                </c:pt>
                <c:pt idx="5">
                  <c:v>Chrycene              </c:v>
                </c:pt>
                <c:pt idx="6">
                  <c:v>Benzo(b)fluoranthene       </c:v>
                </c:pt>
                <c:pt idx="7">
                  <c:v> Benzo(k)fluoroanthene    </c:v>
                </c:pt>
                <c:pt idx="8">
                  <c:v> Benzo(a)pyrene             </c:v>
                </c:pt>
              </c:strCache>
              <c:extLst/>
            </c:strRef>
          </c:cat>
          <c:val>
            <c:numRef>
              <c:f>'Endelige prøvesvar'!$AA$32:$AA$47</c:f>
              <c:numCache>
                <c:formatCode>0</c:formatCode>
                <c:ptCount val="9"/>
                <c:pt idx="0">
                  <c:v>17.48609134428775</c:v>
                </c:pt>
                <c:pt idx="1">
                  <c:v>1.4920429551041534</c:v>
                </c:pt>
                <c:pt idx="2">
                  <c:v>2.961573295381033</c:v>
                </c:pt>
                <c:pt idx="3">
                  <c:v>1.0503622719627379</c:v>
                </c:pt>
                <c:pt idx="4">
                  <c:v>0.85489714063915145</c:v>
                </c:pt>
                <c:pt idx="5">
                  <c:v>2.1886401863112952</c:v>
                </c:pt>
                <c:pt idx="6">
                  <c:v>1.5305666968559974</c:v>
                </c:pt>
                <c:pt idx="7">
                  <c:v>0</c:v>
                </c:pt>
                <c:pt idx="8">
                  <c:v>0.67188510803467483</c:v>
                </c:pt>
              </c:numCache>
              <c:extLst/>
            </c:numRef>
          </c:val>
          <c:extLst>
            <c:ext xmlns:c16="http://schemas.microsoft.com/office/drawing/2014/chart" uri="{C3380CC4-5D6E-409C-BE32-E72D297353CC}">
              <c16:uniqueId val="{00000002-BFB3-4584-87D0-E3B8A3C7999F}"/>
            </c:ext>
          </c:extLst>
        </c:ser>
        <c:ser>
          <c:idx val="3"/>
          <c:order val="3"/>
          <c:tx>
            <c:strRef>
              <c:f>'Endelige prøvesvar'!$AB$31</c:f>
              <c:strCache>
                <c:ptCount val="1"/>
                <c:pt idx="0">
                  <c:v>#4</c:v>
                </c:pt>
              </c:strCache>
            </c:strRef>
          </c:tx>
          <c:spPr>
            <a:solidFill>
              <a:schemeClr val="accent4"/>
            </a:solidFill>
            <a:ln>
              <a:noFill/>
            </a:ln>
            <a:effectLst/>
            <a:sp3d/>
          </c:spPr>
          <c:invertIfNegative val="0"/>
          <c:cat>
            <c:strRef>
              <c:f>'Endelige prøvesvar'!$X$32:$X$47</c:f>
              <c:strCache>
                <c:ptCount val="9"/>
                <c:pt idx="0">
                  <c:v> Naphtalene             </c:v>
                </c:pt>
                <c:pt idx="1">
                  <c:v>Antracene                   </c:v>
                </c:pt>
                <c:pt idx="2">
                  <c:v> Fluoranthene              </c:v>
                </c:pt>
                <c:pt idx="3">
                  <c:v> Pyrene                      </c:v>
                </c:pt>
                <c:pt idx="4">
                  <c:v> Benz(a)anthracene         </c:v>
                </c:pt>
                <c:pt idx="5">
                  <c:v>Chrycene              </c:v>
                </c:pt>
                <c:pt idx="6">
                  <c:v>Benzo(b)fluoranthene       </c:v>
                </c:pt>
                <c:pt idx="7">
                  <c:v> Benzo(k)fluoroanthene    </c:v>
                </c:pt>
                <c:pt idx="8">
                  <c:v> Benzo(a)pyrene             </c:v>
                </c:pt>
              </c:strCache>
              <c:extLst/>
            </c:strRef>
          </c:cat>
          <c:val>
            <c:numRef>
              <c:f>'Endelige prøvesvar'!$AB$32:$AB$47</c:f>
              <c:numCache>
                <c:formatCode>0</c:formatCode>
                <c:ptCount val="9"/>
                <c:pt idx="0">
                  <c:v>55.592493297587069</c:v>
                </c:pt>
                <c:pt idx="1">
                  <c:v>92.388525469168812</c:v>
                </c:pt>
                <c:pt idx="2">
                  <c:v>147.07045576407492</c:v>
                </c:pt>
                <c:pt idx="3">
                  <c:v>6.9089544235924851</c:v>
                </c:pt>
                <c:pt idx="4">
                  <c:v>11.123538873994626</c:v>
                </c:pt>
                <c:pt idx="5">
                  <c:v>77.183056300268021</c:v>
                </c:pt>
                <c:pt idx="6">
                  <c:v>29.633887399463777</c:v>
                </c:pt>
                <c:pt idx="7">
                  <c:v>21.799463806970486</c:v>
                </c:pt>
                <c:pt idx="8">
                  <c:v>11.535442359249316</c:v>
                </c:pt>
              </c:numCache>
              <c:extLst/>
            </c:numRef>
          </c:val>
          <c:extLst>
            <c:ext xmlns:c16="http://schemas.microsoft.com/office/drawing/2014/chart" uri="{C3380CC4-5D6E-409C-BE32-E72D297353CC}">
              <c16:uniqueId val="{00000003-BFB3-4584-87D0-E3B8A3C7999F}"/>
            </c:ext>
          </c:extLst>
        </c:ser>
        <c:dLbls>
          <c:showLegendKey val="0"/>
          <c:showVal val="0"/>
          <c:showCatName val="0"/>
          <c:showSerName val="0"/>
          <c:showPercent val="0"/>
          <c:showBubbleSize val="0"/>
        </c:dLbls>
        <c:gapWidth val="150"/>
        <c:shape val="box"/>
        <c:axId val="187430944"/>
        <c:axId val="712091552"/>
        <c:axId val="0"/>
      </c:bar3DChart>
      <c:catAx>
        <c:axId val="187430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12091552"/>
        <c:crosses val="autoZero"/>
        <c:auto val="1"/>
        <c:lblAlgn val="ctr"/>
        <c:lblOffset val="100"/>
        <c:noMultiLvlLbl val="0"/>
      </c:catAx>
      <c:valAx>
        <c:axId val="712091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µg Nm</a:t>
                </a:r>
                <a:r>
                  <a:rPr lang="nb-NO" baseline="30000"/>
                  <a:t>-3</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874309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580731550997987E-2"/>
          <c:y val="1.8803418803418803E-2"/>
          <c:w val="0.6239461386771098"/>
          <c:h val="0.84731004778248875"/>
        </c:manualLayout>
      </c:layout>
      <c:barChart>
        <c:barDir val="col"/>
        <c:grouping val="stacked"/>
        <c:varyColors val="0"/>
        <c:ser>
          <c:idx val="0"/>
          <c:order val="0"/>
          <c:tx>
            <c:strRef>
              <c:f>'Endelige prøvesvar'!$X$51</c:f>
              <c:strCache>
                <c:ptCount val="1"/>
                <c:pt idx="0">
                  <c:v> Naphtalene             </c:v>
                </c:pt>
              </c:strCache>
            </c:strRef>
          </c:tx>
          <c:spPr>
            <a:solidFill>
              <a:schemeClr val="accent1"/>
            </a:solidFill>
            <a:ln>
              <a:noFill/>
            </a:ln>
            <a:effectLst/>
          </c:spPr>
          <c:invertIfNegative val="0"/>
          <c:val>
            <c:numRef>
              <c:f>'Endelige prøvesvar'!$Y$51:$AB$51</c:f>
              <c:numCache>
                <c:formatCode>0.00%</c:formatCode>
                <c:ptCount val="4"/>
                <c:pt idx="0">
                  <c:v>0.15149931465076702</c:v>
                </c:pt>
                <c:pt idx="1">
                  <c:v>0.45565428288838883</c:v>
                </c:pt>
                <c:pt idx="2">
                  <c:v>0.60670608872094545</c:v>
                </c:pt>
                <c:pt idx="3">
                  <c:v>0.1213108309230294</c:v>
                </c:pt>
              </c:numCache>
            </c:numRef>
          </c:val>
          <c:extLst>
            <c:ext xmlns:c16="http://schemas.microsoft.com/office/drawing/2014/chart" uri="{C3380CC4-5D6E-409C-BE32-E72D297353CC}">
              <c16:uniqueId val="{00000000-41FF-4890-BE3F-9E9B28058FCF}"/>
            </c:ext>
          </c:extLst>
        </c:ser>
        <c:ser>
          <c:idx val="1"/>
          <c:order val="1"/>
          <c:tx>
            <c:strRef>
              <c:f>'Endelige prøvesvar'!$X$53</c:f>
              <c:strCache>
                <c:ptCount val="1"/>
                <c:pt idx="0">
                  <c:v>Acenaphthene               </c:v>
                </c:pt>
              </c:strCache>
            </c:strRef>
          </c:tx>
          <c:spPr>
            <a:solidFill>
              <a:schemeClr val="accent2"/>
            </a:solidFill>
            <a:ln>
              <a:noFill/>
            </a:ln>
            <a:effectLst/>
          </c:spPr>
          <c:invertIfNegative val="0"/>
          <c:val>
            <c:numRef>
              <c:f>'Endelige prøvesvar'!$Y$52:$AB$52</c:f>
              <c:numCache>
                <c:formatCode>0.00%</c:formatCode>
                <c:ptCount val="4"/>
                <c:pt idx="0">
                  <c:v>2.4953620448699672E-3</c:v>
                </c:pt>
                <c:pt idx="1">
                  <c:v>0</c:v>
                </c:pt>
                <c:pt idx="2">
                  <c:v>0</c:v>
                </c:pt>
                <c:pt idx="3">
                  <c:v>0</c:v>
                </c:pt>
              </c:numCache>
            </c:numRef>
          </c:val>
          <c:extLst>
            <c:ext xmlns:c16="http://schemas.microsoft.com/office/drawing/2014/chart" uri="{C3380CC4-5D6E-409C-BE32-E72D297353CC}">
              <c16:uniqueId val="{00000001-41FF-4890-BE3F-9E9B28058FCF}"/>
            </c:ext>
          </c:extLst>
        </c:ser>
        <c:ser>
          <c:idx val="2"/>
          <c:order val="2"/>
          <c:tx>
            <c:strRef>
              <c:f>'Endelige prøvesvar'!$X$53</c:f>
              <c:strCache>
                <c:ptCount val="1"/>
                <c:pt idx="0">
                  <c:v>Acenaphthene               </c:v>
                </c:pt>
              </c:strCache>
            </c:strRef>
          </c:tx>
          <c:spPr>
            <a:solidFill>
              <a:schemeClr val="accent3"/>
            </a:solidFill>
            <a:ln>
              <a:noFill/>
            </a:ln>
            <a:effectLst/>
          </c:spPr>
          <c:invertIfNegative val="0"/>
          <c:val>
            <c:numRef>
              <c:f>'Endelige prøvesvar'!$Y$53:$AB$53</c:f>
              <c:numCache>
                <c:formatCode>0.00%</c:formatCode>
                <c:ptCount val="4"/>
                <c:pt idx="0">
                  <c:v>1.7557087242305557E-3</c:v>
                </c:pt>
                <c:pt idx="1">
                  <c:v>0</c:v>
                </c:pt>
                <c:pt idx="2">
                  <c:v>0</c:v>
                </c:pt>
                <c:pt idx="3">
                  <c:v>0</c:v>
                </c:pt>
              </c:numCache>
            </c:numRef>
          </c:val>
          <c:extLst>
            <c:ext xmlns:c16="http://schemas.microsoft.com/office/drawing/2014/chart" uri="{C3380CC4-5D6E-409C-BE32-E72D297353CC}">
              <c16:uniqueId val="{00000002-41FF-4890-BE3F-9E9B28058FCF}"/>
            </c:ext>
          </c:extLst>
        </c:ser>
        <c:ser>
          <c:idx val="3"/>
          <c:order val="3"/>
          <c:tx>
            <c:strRef>
              <c:f>'Endelige prøvesvar'!$X$54</c:f>
              <c:strCache>
                <c:ptCount val="1"/>
                <c:pt idx="0">
                  <c:v> Fluorene                   </c:v>
                </c:pt>
              </c:strCache>
            </c:strRef>
          </c:tx>
          <c:spPr>
            <a:solidFill>
              <a:schemeClr val="accent4"/>
            </a:solidFill>
            <a:ln>
              <a:noFill/>
            </a:ln>
            <a:effectLst/>
          </c:spPr>
          <c:invertIfNegative val="0"/>
          <c:val>
            <c:numRef>
              <c:f>'Endelige prøvesvar'!$Y$54:$AB$54</c:f>
              <c:numCache>
                <c:formatCode>0.00%</c:formatCode>
                <c:ptCount val="4"/>
                <c:pt idx="0">
                  <c:v>2.6091548634298769E-3</c:v>
                </c:pt>
                <c:pt idx="1">
                  <c:v>0</c:v>
                </c:pt>
                <c:pt idx="2">
                  <c:v>0</c:v>
                </c:pt>
                <c:pt idx="3">
                  <c:v>0</c:v>
                </c:pt>
              </c:numCache>
            </c:numRef>
          </c:val>
          <c:extLst>
            <c:ext xmlns:c16="http://schemas.microsoft.com/office/drawing/2014/chart" uri="{C3380CC4-5D6E-409C-BE32-E72D297353CC}">
              <c16:uniqueId val="{00000003-41FF-4890-BE3F-9E9B28058FCF}"/>
            </c:ext>
          </c:extLst>
        </c:ser>
        <c:ser>
          <c:idx val="4"/>
          <c:order val="4"/>
          <c:tx>
            <c:strRef>
              <c:f>'Endelige prøvesvar'!$X$55</c:f>
              <c:strCache>
                <c:ptCount val="1"/>
                <c:pt idx="0">
                  <c:v>Antracene                   </c:v>
                </c:pt>
              </c:strCache>
            </c:strRef>
          </c:tx>
          <c:spPr>
            <a:solidFill>
              <a:schemeClr val="accent5"/>
            </a:solidFill>
            <a:ln>
              <a:noFill/>
            </a:ln>
            <a:effectLst/>
          </c:spPr>
          <c:invertIfNegative val="0"/>
          <c:val>
            <c:numRef>
              <c:f>'Endelige prøvesvar'!$Y$55:$AB$55</c:f>
              <c:numCache>
                <c:formatCode>0.00%</c:formatCode>
                <c:ptCount val="4"/>
                <c:pt idx="0">
                  <c:v>0.29001448715001893</c:v>
                </c:pt>
                <c:pt idx="1">
                  <c:v>3.3210187156672961E-2</c:v>
                </c:pt>
                <c:pt idx="2">
                  <c:v>5.1768661599185667E-2</c:v>
                </c:pt>
                <c:pt idx="3">
                  <c:v>0.20160507521084312</c:v>
                </c:pt>
              </c:numCache>
            </c:numRef>
          </c:val>
          <c:extLst>
            <c:ext xmlns:c16="http://schemas.microsoft.com/office/drawing/2014/chart" uri="{C3380CC4-5D6E-409C-BE32-E72D297353CC}">
              <c16:uniqueId val="{00000004-41FF-4890-BE3F-9E9B28058FCF}"/>
            </c:ext>
          </c:extLst>
        </c:ser>
        <c:ser>
          <c:idx val="5"/>
          <c:order val="5"/>
          <c:tx>
            <c:strRef>
              <c:f>'Endelige prøvesvar'!$X$56</c:f>
              <c:strCache>
                <c:ptCount val="1"/>
                <c:pt idx="0">
                  <c:v>Phenanthrene               </c:v>
                </c:pt>
              </c:strCache>
            </c:strRef>
          </c:tx>
          <c:spPr>
            <a:solidFill>
              <a:schemeClr val="accent6"/>
            </a:solidFill>
            <a:ln>
              <a:noFill/>
            </a:ln>
            <a:effectLst/>
          </c:spPr>
          <c:invertIfNegative val="0"/>
          <c:val>
            <c:numRef>
              <c:f>'Endelige prøvesvar'!$Y$56:$AB$56</c:f>
              <c:numCache>
                <c:formatCode>0.00%</c:formatCode>
                <c:ptCount val="4"/>
                <c:pt idx="0">
                  <c:v>0</c:v>
                </c:pt>
                <c:pt idx="1">
                  <c:v>0</c:v>
                </c:pt>
                <c:pt idx="2">
                  <c:v>0</c:v>
                </c:pt>
                <c:pt idx="3">
                  <c:v>0</c:v>
                </c:pt>
              </c:numCache>
            </c:numRef>
          </c:val>
          <c:extLst>
            <c:ext xmlns:c16="http://schemas.microsoft.com/office/drawing/2014/chart" uri="{C3380CC4-5D6E-409C-BE32-E72D297353CC}">
              <c16:uniqueId val="{00000005-41FF-4890-BE3F-9E9B28058FCF}"/>
            </c:ext>
          </c:extLst>
        </c:ser>
        <c:ser>
          <c:idx val="6"/>
          <c:order val="6"/>
          <c:tx>
            <c:strRef>
              <c:f>'Endelige prøvesvar'!$X$57</c:f>
              <c:strCache>
                <c:ptCount val="1"/>
                <c:pt idx="0">
                  <c:v> Fluoranthene              </c:v>
                </c:pt>
              </c:strCache>
            </c:strRef>
          </c:tx>
          <c:spPr>
            <a:solidFill>
              <a:schemeClr val="accent1">
                <a:lumMod val="60000"/>
              </a:schemeClr>
            </a:solidFill>
            <a:ln>
              <a:noFill/>
            </a:ln>
            <a:effectLst/>
          </c:spPr>
          <c:invertIfNegative val="0"/>
          <c:val>
            <c:numRef>
              <c:f>'Endelige prøvesvar'!$Y$57:$AB$57</c:f>
              <c:numCache>
                <c:formatCode>0.00%</c:formatCode>
                <c:ptCount val="4"/>
                <c:pt idx="0">
                  <c:v>0.2923691007204926</c:v>
                </c:pt>
                <c:pt idx="1">
                  <c:v>0.28961039745864964</c:v>
                </c:pt>
                <c:pt idx="2">
                  <c:v>0.1027562143605064</c:v>
                </c:pt>
                <c:pt idx="3">
                  <c:v>0.32092892645530879</c:v>
                </c:pt>
              </c:numCache>
            </c:numRef>
          </c:val>
          <c:extLst>
            <c:ext xmlns:c16="http://schemas.microsoft.com/office/drawing/2014/chart" uri="{C3380CC4-5D6E-409C-BE32-E72D297353CC}">
              <c16:uniqueId val="{00000006-41FF-4890-BE3F-9E9B28058FCF}"/>
            </c:ext>
          </c:extLst>
        </c:ser>
        <c:ser>
          <c:idx val="7"/>
          <c:order val="7"/>
          <c:tx>
            <c:strRef>
              <c:f>'Endelige prøvesvar'!$X$58</c:f>
              <c:strCache>
                <c:ptCount val="1"/>
                <c:pt idx="0">
                  <c:v> Pyrene                      </c:v>
                </c:pt>
              </c:strCache>
            </c:strRef>
          </c:tx>
          <c:spPr>
            <a:solidFill>
              <a:schemeClr val="accent2">
                <a:lumMod val="60000"/>
              </a:schemeClr>
            </a:solidFill>
            <a:ln>
              <a:noFill/>
            </a:ln>
            <a:effectLst/>
          </c:spPr>
          <c:invertIfNegative val="0"/>
          <c:val>
            <c:numRef>
              <c:f>'Endelige prøvesvar'!$Y$58:$AB$58</c:f>
              <c:numCache>
                <c:formatCode>0.00%</c:formatCode>
                <c:ptCount val="4"/>
                <c:pt idx="0">
                  <c:v>8.4444146882333759E-2</c:v>
                </c:pt>
                <c:pt idx="1">
                  <c:v>9.6690564008146179E-4</c:v>
                </c:pt>
                <c:pt idx="2">
                  <c:v>3.6443889787338625E-2</c:v>
                </c:pt>
                <c:pt idx="3">
                  <c:v>1.5076334091526025E-2</c:v>
                </c:pt>
              </c:numCache>
            </c:numRef>
          </c:val>
          <c:extLst>
            <c:ext xmlns:c16="http://schemas.microsoft.com/office/drawing/2014/chart" uri="{C3380CC4-5D6E-409C-BE32-E72D297353CC}">
              <c16:uniqueId val="{00000007-41FF-4890-BE3F-9E9B28058FCF}"/>
            </c:ext>
          </c:extLst>
        </c:ser>
        <c:ser>
          <c:idx val="8"/>
          <c:order val="8"/>
          <c:tx>
            <c:strRef>
              <c:f>'Endelige prøvesvar'!$X$59</c:f>
              <c:strCache>
                <c:ptCount val="1"/>
                <c:pt idx="0">
                  <c:v> Benz(a)anthracene         </c:v>
                </c:pt>
              </c:strCache>
            </c:strRef>
          </c:tx>
          <c:spPr>
            <a:solidFill>
              <a:schemeClr val="accent3">
                <a:lumMod val="60000"/>
              </a:schemeClr>
            </a:solidFill>
            <a:ln>
              <a:noFill/>
            </a:ln>
            <a:effectLst/>
          </c:spPr>
          <c:invertIfNegative val="0"/>
          <c:val>
            <c:numRef>
              <c:f>'Endelige prøvesvar'!$Y$59:$AB$59</c:f>
              <c:numCache>
                <c:formatCode>0.00%</c:formatCode>
                <c:ptCount val="4"/>
                <c:pt idx="0">
                  <c:v>2.5605404166841643E-2</c:v>
                </c:pt>
                <c:pt idx="1">
                  <c:v>7.8561083256618771E-4</c:v>
                </c:pt>
                <c:pt idx="2">
                  <c:v>2.9661934748232685E-2</c:v>
                </c:pt>
                <c:pt idx="3">
                  <c:v>2.4273164658860091E-2</c:v>
                </c:pt>
              </c:numCache>
            </c:numRef>
          </c:val>
          <c:extLst>
            <c:ext xmlns:c16="http://schemas.microsoft.com/office/drawing/2014/chart" uri="{C3380CC4-5D6E-409C-BE32-E72D297353CC}">
              <c16:uniqueId val="{00000008-41FF-4890-BE3F-9E9B28058FCF}"/>
            </c:ext>
          </c:extLst>
        </c:ser>
        <c:ser>
          <c:idx val="9"/>
          <c:order val="9"/>
          <c:tx>
            <c:strRef>
              <c:f>'Endelige prøvesvar'!$X$60</c:f>
              <c:strCache>
                <c:ptCount val="1"/>
                <c:pt idx="0">
                  <c:v>Chrycene              </c:v>
                </c:pt>
              </c:strCache>
            </c:strRef>
          </c:tx>
          <c:spPr>
            <a:solidFill>
              <a:schemeClr val="accent4">
                <a:lumMod val="60000"/>
              </a:schemeClr>
            </a:solidFill>
            <a:ln>
              <a:noFill/>
            </a:ln>
            <a:effectLst/>
          </c:spPr>
          <c:invertIfNegative val="0"/>
          <c:val>
            <c:numRef>
              <c:f>'Endelige prøvesvar'!$Y$60:$AB$60</c:f>
              <c:numCache>
                <c:formatCode>0.00%</c:formatCode>
                <c:ptCount val="4"/>
                <c:pt idx="0">
                  <c:v>7.650371991417193E-2</c:v>
                </c:pt>
                <c:pt idx="1">
                  <c:v>0.16938776743502093</c:v>
                </c:pt>
                <c:pt idx="2">
                  <c:v>7.5938144260477333E-2</c:v>
                </c:pt>
                <c:pt idx="3">
                  <c:v>0.16842455046661614</c:v>
                </c:pt>
              </c:numCache>
            </c:numRef>
          </c:val>
          <c:extLst>
            <c:ext xmlns:c16="http://schemas.microsoft.com/office/drawing/2014/chart" uri="{C3380CC4-5D6E-409C-BE32-E72D297353CC}">
              <c16:uniqueId val="{00000009-41FF-4890-BE3F-9E9B28058FCF}"/>
            </c:ext>
          </c:extLst>
        </c:ser>
        <c:ser>
          <c:idx val="10"/>
          <c:order val="10"/>
          <c:tx>
            <c:strRef>
              <c:f>'Endelige prøvesvar'!$X$61</c:f>
              <c:strCache>
                <c:ptCount val="1"/>
                <c:pt idx="0">
                  <c:v>Benzo(b)fluoranthene       </c:v>
                </c:pt>
              </c:strCache>
            </c:strRef>
          </c:tx>
          <c:spPr>
            <a:solidFill>
              <a:schemeClr val="accent5">
                <a:lumMod val="60000"/>
              </a:schemeClr>
            </a:solidFill>
            <a:ln>
              <a:noFill/>
            </a:ln>
            <a:effectLst/>
          </c:spPr>
          <c:invertIfNegative val="0"/>
          <c:val>
            <c:numRef>
              <c:f>'Endelige prøvesvar'!$Y$61:$AB$61</c:f>
              <c:numCache>
                <c:formatCode>0.00%</c:formatCode>
                <c:ptCount val="4"/>
                <c:pt idx="0">
                  <c:v>3.9816915210457125E-2</c:v>
                </c:pt>
                <c:pt idx="1">
                  <c:v>5.038484858861992E-2</c:v>
                </c:pt>
                <c:pt idx="2">
                  <c:v>5.310530042949764E-2</c:v>
                </c:pt>
                <c:pt idx="3">
                  <c:v>6.4665412372581513E-2</c:v>
                </c:pt>
              </c:numCache>
            </c:numRef>
          </c:val>
          <c:extLst>
            <c:ext xmlns:c16="http://schemas.microsoft.com/office/drawing/2014/chart" uri="{C3380CC4-5D6E-409C-BE32-E72D297353CC}">
              <c16:uniqueId val="{0000000A-41FF-4890-BE3F-9E9B28058FCF}"/>
            </c:ext>
          </c:extLst>
        </c:ser>
        <c:ser>
          <c:idx val="15"/>
          <c:order val="11"/>
          <c:tx>
            <c:strRef>
              <c:f>'Endelige prøvesvar'!$X$62</c:f>
              <c:strCache>
                <c:ptCount val="1"/>
                <c:pt idx="0">
                  <c:v> Benzo(k)fluoroanthene    </c:v>
                </c:pt>
              </c:strCache>
            </c:strRef>
          </c:tx>
          <c:spPr>
            <a:solidFill>
              <a:schemeClr val="accent4">
                <a:lumMod val="80000"/>
                <a:lumOff val="20000"/>
              </a:schemeClr>
            </a:solidFill>
            <a:ln>
              <a:noFill/>
            </a:ln>
            <a:effectLst/>
          </c:spPr>
          <c:invertIfNegative val="0"/>
          <c:val>
            <c:numRef>
              <c:f>'Endelige prøvesvar'!$Y$62:$AB$62</c:f>
              <c:numCache>
                <c:formatCode>0.00%</c:formatCode>
                <c:ptCount val="4"/>
                <c:pt idx="0">
                  <c:v>8.0749134708858836E-3</c:v>
                </c:pt>
                <c:pt idx="1">
                  <c:v>0</c:v>
                </c:pt>
                <c:pt idx="2">
                  <c:v>0</c:v>
                </c:pt>
                <c:pt idx="3">
                  <c:v>4.7569571199910142E-2</c:v>
                </c:pt>
              </c:numCache>
            </c:numRef>
          </c:val>
          <c:extLst>
            <c:ext xmlns:c16="http://schemas.microsoft.com/office/drawing/2014/chart" uri="{C3380CC4-5D6E-409C-BE32-E72D297353CC}">
              <c16:uniqueId val="{0000000B-41FF-4890-BE3F-9E9B28058FCF}"/>
            </c:ext>
          </c:extLst>
        </c:ser>
        <c:ser>
          <c:idx val="11"/>
          <c:order val="12"/>
          <c:tx>
            <c:strRef>
              <c:f>'Endelige prøvesvar'!$X$63</c:f>
              <c:strCache>
                <c:ptCount val="1"/>
                <c:pt idx="0">
                  <c:v> Benzo(a)pyrene             </c:v>
                </c:pt>
              </c:strCache>
            </c:strRef>
          </c:tx>
          <c:spPr>
            <a:solidFill>
              <a:schemeClr val="accent6">
                <a:lumMod val="60000"/>
              </a:schemeClr>
            </a:solidFill>
            <a:ln>
              <a:noFill/>
            </a:ln>
            <a:effectLst/>
          </c:spPr>
          <c:invertIfNegative val="0"/>
          <c:val>
            <c:numRef>
              <c:f>'Endelige prøvesvar'!$Y$63:$AB$63</c:f>
              <c:numCache>
                <c:formatCode>0.00%</c:formatCode>
                <c:ptCount val="4"/>
                <c:pt idx="0">
                  <c:v>1.7953229894688671E-2</c:v>
                </c:pt>
                <c:pt idx="1">
                  <c:v>0</c:v>
                </c:pt>
                <c:pt idx="2">
                  <c:v>2.3312058592141104E-2</c:v>
                </c:pt>
                <c:pt idx="3">
                  <c:v>2.5171997416528598E-2</c:v>
                </c:pt>
              </c:numCache>
            </c:numRef>
          </c:val>
          <c:extLst>
            <c:ext xmlns:c16="http://schemas.microsoft.com/office/drawing/2014/chart" uri="{C3380CC4-5D6E-409C-BE32-E72D297353CC}">
              <c16:uniqueId val="{0000000C-41FF-4890-BE3F-9E9B28058FCF}"/>
            </c:ext>
          </c:extLst>
        </c:ser>
        <c:ser>
          <c:idx val="12"/>
          <c:order val="13"/>
          <c:tx>
            <c:strRef>
              <c:f>'Endelige prøvesvar'!$X$64</c:f>
              <c:strCache>
                <c:ptCount val="1"/>
                <c:pt idx="0">
                  <c:v>Indeno(1.2.3-cd)pyrene   </c:v>
                </c:pt>
              </c:strCache>
            </c:strRef>
          </c:tx>
          <c:spPr>
            <a:solidFill>
              <a:schemeClr val="accent1">
                <a:lumMod val="80000"/>
                <a:lumOff val="20000"/>
              </a:schemeClr>
            </a:solidFill>
            <a:ln>
              <a:noFill/>
            </a:ln>
            <a:effectLst/>
          </c:spPr>
          <c:invertIfNegative val="0"/>
          <c:val>
            <c:numRef>
              <c:f>'Endelige prøvesvar'!$Y$64:$AB$64</c:f>
              <c:numCache>
                <c:formatCode>0.00%</c:formatCode>
                <c:ptCount val="4"/>
                <c:pt idx="0">
                  <c:v>6.0913946661063953E-4</c:v>
                </c:pt>
                <c:pt idx="1">
                  <c:v>0</c:v>
                </c:pt>
                <c:pt idx="2">
                  <c:v>1.2098208724402131E-3</c:v>
                </c:pt>
                <c:pt idx="3">
                  <c:v>1.3815955744011683E-3</c:v>
                </c:pt>
              </c:numCache>
            </c:numRef>
          </c:val>
          <c:extLst>
            <c:ext xmlns:c16="http://schemas.microsoft.com/office/drawing/2014/chart" uri="{C3380CC4-5D6E-409C-BE32-E72D297353CC}">
              <c16:uniqueId val="{0000000D-41FF-4890-BE3F-9E9B28058FCF}"/>
            </c:ext>
          </c:extLst>
        </c:ser>
        <c:ser>
          <c:idx val="13"/>
          <c:order val="14"/>
          <c:tx>
            <c:strRef>
              <c:f>'Endelige prøvesvar'!$X$65</c:f>
              <c:strCache>
                <c:ptCount val="1"/>
                <c:pt idx="0">
                  <c:v>Dibenz(a,h)anthracene     </c:v>
                </c:pt>
              </c:strCache>
            </c:strRef>
          </c:tx>
          <c:spPr>
            <a:solidFill>
              <a:schemeClr val="accent2">
                <a:lumMod val="80000"/>
                <a:lumOff val="20000"/>
              </a:schemeClr>
            </a:solidFill>
            <a:ln>
              <a:noFill/>
            </a:ln>
            <a:effectLst/>
          </c:spPr>
          <c:invertIfNegative val="0"/>
          <c:val>
            <c:numRef>
              <c:f>'Endelige prøvesvar'!$Y$65:$AB$65</c:f>
              <c:numCache>
                <c:formatCode>0.00%</c:formatCode>
                <c:ptCount val="4"/>
                <c:pt idx="0">
                  <c:v>4.004968549078944E-3</c:v>
                </c:pt>
                <c:pt idx="1">
                  <c:v>0</c:v>
                </c:pt>
                <c:pt idx="2">
                  <c:v>1.1234050958373407E-2</c:v>
                </c:pt>
                <c:pt idx="3">
                  <c:v>6.13293645221982E-3</c:v>
                </c:pt>
              </c:numCache>
            </c:numRef>
          </c:val>
          <c:extLst>
            <c:ext xmlns:c16="http://schemas.microsoft.com/office/drawing/2014/chart" uri="{C3380CC4-5D6E-409C-BE32-E72D297353CC}">
              <c16:uniqueId val="{0000000E-41FF-4890-BE3F-9E9B28058FCF}"/>
            </c:ext>
          </c:extLst>
        </c:ser>
        <c:ser>
          <c:idx val="14"/>
          <c:order val="15"/>
          <c:tx>
            <c:strRef>
              <c:f>'Endelige prøvesvar'!$X$66</c:f>
              <c:strCache>
                <c:ptCount val="1"/>
                <c:pt idx="0">
                  <c:v>Benzo(g,h,i)perylene       </c:v>
                </c:pt>
              </c:strCache>
            </c:strRef>
          </c:tx>
          <c:spPr>
            <a:solidFill>
              <a:schemeClr val="accent3">
                <a:lumMod val="80000"/>
                <a:lumOff val="20000"/>
              </a:schemeClr>
            </a:solidFill>
            <a:ln>
              <a:noFill/>
            </a:ln>
            <a:effectLst/>
          </c:spPr>
          <c:invertIfNegative val="0"/>
          <c:val>
            <c:numRef>
              <c:f>'Endelige prøvesvar'!$Y$66:$AB$66</c:f>
              <c:numCache>
                <c:formatCode>0.00%</c:formatCode>
                <c:ptCount val="4"/>
                <c:pt idx="0">
                  <c:v>2.2444342911224742E-3</c:v>
                </c:pt>
                <c:pt idx="1">
                  <c:v>0</c:v>
                </c:pt>
                <c:pt idx="2">
                  <c:v>7.8638356708613834E-3</c:v>
                </c:pt>
                <c:pt idx="3">
                  <c:v>3.4596051781752833E-3</c:v>
                </c:pt>
              </c:numCache>
            </c:numRef>
          </c:val>
          <c:extLst>
            <c:ext xmlns:c16="http://schemas.microsoft.com/office/drawing/2014/chart" uri="{C3380CC4-5D6E-409C-BE32-E72D297353CC}">
              <c16:uniqueId val="{0000000F-41FF-4890-BE3F-9E9B28058FCF}"/>
            </c:ext>
          </c:extLst>
        </c:ser>
        <c:dLbls>
          <c:showLegendKey val="0"/>
          <c:showVal val="0"/>
          <c:showCatName val="0"/>
          <c:showSerName val="0"/>
          <c:showPercent val="0"/>
          <c:showBubbleSize val="0"/>
        </c:dLbls>
        <c:gapWidth val="150"/>
        <c:overlap val="100"/>
        <c:axId val="359705776"/>
        <c:axId val="359704792"/>
      </c:barChart>
      <c:catAx>
        <c:axId val="35970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59704792"/>
        <c:crosses val="autoZero"/>
        <c:auto val="1"/>
        <c:lblAlgn val="ctr"/>
        <c:lblOffset val="100"/>
        <c:noMultiLvlLbl val="0"/>
      </c:catAx>
      <c:valAx>
        <c:axId val="359704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59705776"/>
        <c:crosses val="autoZero"/>
        <c:crossBetween val="between"/>
      </c:valAx>
      <c:spPr>
        <a:noFill/>
        <a:ln>
          <a:noFill/>
        </a:ln>
        <a:effectLst/>
      </c:spPr>
    </c:plotArea>
    <c:legend>
      <c:legendPos val="b"/>
      <c:layout>
        <c:manualLayout>
          <c:xMode val="edge"/>
          <c:yMode val="edge"/>
          <c:x val="0.72593130719771148"/>
          <c:y val="0.1824782286829531"/>
          <c:w val="0.23736043411240262"/>
          <c:h val="0.682479036274311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CBD85-B2BA-426B-B7AF-BC288B3ED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3960</Words>
  <Characters>20994</Characters>
  <Application>Microsoft Office Word</Application>
  <DocSecurity>0</DocSecurity>
  <Lines>174</Lines>
  <Paragraphs>49</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24905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 Aarhaug</dc:creator>
  <cp:keywords/>
  <dc:description/>
  <cp:lastModifiedBy>Trond Brandvik</cp:lastModifiedBy>
  <cp:revision>4</cp:revision>
  <dcterms:created xsi:type="dcterms:W3CDTF">2017-09-06T13:46:00Z</dcterms:created>
  <dcterms:modified xsi:type="dcterms:W3CDTF">2017-09-06T14:29:00Z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6bffe256-5262-30f4-a462-3660b36efb15</vt:lpwstr>
  </property>
  <property fmtid="{D5CDD505-2E9C-101B-9397-08002B2CF9AE}" pid="4" name="Mendeley Citation Style_1">
    <vt:lpwstr>http://www.zotero.org/styles/biomaterials-science</vt:lpwstr>
  </property>
  <property fmtid="{D5CDD505-2E9C-101B-9397-08002B2CF9AE}" pid="6" name="_NewReviewCycle">
    <vt:lpwstr/>
  </property>
</Properties>
</file>