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38129" w14:textId="47119BA1" w:rsidR="00087612" w:rsidRPr="00C55689" w:rsidRDefault="007C4B09">
      <w:pPr>
        <w:rPr>
          <w:rFonts w:cs="Times New Roman"/>
        </w:rPr>
      </w:pPr>
      <w:r w:rsidRPr="00C55689">
        <w:rPr>
          <w:rFonts w:ascii="Times New Roman" w:eastAsia="Times New Roman" w:hAnsi="Times New Roman" w:cs="Times New Roman"/>
        </w:rPr>
        <w:t xml:space="preserve">The health of European populations: introduction to the special supplement on the 2014 European Social Survey (ESS) rotating module on the social determinants of health.  </w:t>
      </w:r>
    </w:p>
    <w:p w14:paraId="2F7BC628" w14:textId="77777777" w:rsidR="0080287C" w:rsidRPr="004A2D65" w:rsidRDefault="0080287C"/>
    <w:p w14:paraId="3A6DC5B3" w14:textId="77777777" w:rsidR="0080287C" w:rsidRPr="004A2D65" w:rsidRDefault="0080287C"/>
    <w:p w14:paraId="40532FBF" w14:textId="1B100135" w:rsidR="0080287C" w:rsidRPr="00C55689" w:rsidRDefault="0080287C">
      <w:pPr>
        <w:rPr>
          <w:rFonts w:cs="Times New Roman"/>
          <w:vertAlign w:val="superscript"/>
        </w:rPr>
      </w:pPr>
      <w:r w:rsidRPr="00C55689">
        <w:rPr>
          <w:rFonts w:ascii="Times New Roman" w:eastAsia="Times New Roman" w:hAnsi="Times New Roman" w:cs="Times New Roman"/>
        </w:rPr>
        <w:t>Jason Beckfield</w:t>
      </w:r>
      <w:r w:rsidRPr="00C55689">
        <w:rPr>
          <w:rFonts w:ascii="Times New Roman" w:eastAsia="Times New Roman" w:hAnsi="Times New Roman" w:cs="Times New Roman"/>
          <w:vertAlign w:val="superscript"/>
        </w:rPr>
        <w:t>1</w:t>
      </w:r>
    </w:p>
    <w:p w14:paraId="1B001730" w14:textId="77777777" w:rsidR="0080287C" w:rsidRPr="00C55689" w:rsidRDefault="0080287C">
      <w:pPr>
        <w:rPr>
          <w:rFonts w:cs="Times New Roman"/>
        </w:rPr>
      </w:pPr>
    </w:p>
    <w:p w14:paraId="6D864B13" w14:textId="500B010E" w:rsidR="0080287C" w:rsidRPr="00C55689" w:rsidRDefault="0080287C">
      <w:pPr>
        <w:rPr>
          <w:rFonts w:cs="Times New Roman"/>
        </w:rPr>
      </w:pPr>
      <w:r w:rsidRPr="00C55689">
        <w:rPr>
          <w:rFonts w:ascii="Times New Roman" w:eastAsia="Times New Roman" w:hAnsi="Times New Roman" w:cs="Times New Roman"/>
        </w:rPr>
        <w:t>Mirza Balaj</w:t>
      </w:r>
      <w:r w:rsidRPr="00C55689">
        <w:rPr>
          <w:rFonts w:ascii="Times New Roman" w:eastAsia="Times New Roman" w:hAnsi="Times New Roman" w:cs="Times New Roman"/>
          <w:vertAlign w:val="superscript"/>
        </w:rPr>
        <w:t>2</w:t>
      </w:r>
    </w:p>
    <w:p w14:paraId="53FB1269" w14:textId="77777777" w:rsidR="0080287C" w:rsidRPr="00C55689" w:rsidRDefault="0080287C">
      <w:pPr>
        <w:rPr>
          <w:rFonts w:cs="Times New Roman"/>
        </w:rPr>
      </w:pPr>
    </w:p>
    <w:p w14:paraId="6D06D940" w14:textId="13308A6E" w:rsidR="0080287C" w:rsidRPr="00C55689" w:rsidRDefault="0080287C">
      <w:pPr>
        <w:rPr>
          <w:rFonts w:cs="Times New Roman"/>
        </w:rPr>
      </w:pPr>
      <w:r w:rsidRPr="00C55689">
        <w:rPr>
          <w:rFonts w:ascii="Times New Roman" w:eastAsia="Times New Roman" w:hAnsi="Times New Roman" w:cs="Times New Roman"/>
        </w:rPr>
        <w:t>Courtney L. McNamara</w:t>
      </w:r>
      <w:r w:rsidRPr="00C55689">
        <w:rPr>
          <w:rFonts w:ascii="Times New Roman" w:eastAsia="Times New Roman" w:hAnsi="Times New Roman" w:cs="Times New Roman"/>
          <w:vertAlign w:val="superscript"/>
        </w:rPr>
        <w:t>2</w:t>
      </w:r>
    </w:p>
    <w:p w14:paraId="503336D2" w14:textId="77777777" w:rsidR="0080287C" w:rsidRPr="00C55689" w:rsidRDefault="0080287C">
      <w:pPr>
        <w:rPr>
          <w:rFonts w:cs="Times New Roman"/>
        </w:rPr>
      </w:pPr>
    </w:p>
    <w:p w14:paraId="21F4966F" w14:textId="77777777" w:rsidR="0080287C" w:rsidRPr="00C55689" w:rsidRDefault="0080287C">
      <w:pPr>
        <w:rPr>
          <w:rFonts w:cs="Times New Roman"/>
        </w:rPr>
      </w:pPr>
    </w:p>
    <w:p w14:paraId="08920C1D" w14:textId="4D5510EA" w:rsidR="00A55260" w:rsidRPr="00C55689" w:rsidRDefault="00A55260">
      <w:pPr>
        <w:rPr>
          <w:rFonts w:cs="Times New Roman"/>
          <w:lang w:val="sv-SE"/>
        </w:rPr>
      </w:pPr>
      <w:r w:rsidRPr="00C55689">
        <w:rPr>
          <w:rFonts w:ascii="Times New Roman" w:eastAsia="Times New Roman" w:hAnsi="Times New Roman" w:cs="Times New Roman"/>
          <w:lang w:val="sv-SE"/>
        </w:rPr>
        <w:t xml:space="preserve">Tim Huijts </w:t>
      </w:r>
      <w:r w:rsidRPr="00C55689">
        <w:rPr>
          <w:rFonts w:ascii="Times New Roman" w:eastAsia="Times New Roman" w:hAnsi="Times New Roman" w:cs="Times New Roman"/>
          <w:vertAlign w:val="superscript"/>
          <w:lang w:val="sv-SE"/>
        </w:rPr>
        <w:t>3</w:t>
      </w:r>
    </w:p>
    <w:p w14:paraId="65E776FF" w14:textId="77777777" w:rsidR="00A55260" w:rsidRPr="00C55689" w:rsidRDefault="00A55260">
      <w:pPr>
        <w:rPr>
          <w:rFonts w:cs="Times New Roman"/>
          <w:lang w:val="sv-SE"/>
        </w:rPr>
      </w:pPr>
    </w:p>
    <w:p w14:paraId="4545B214" w14:textId="636502C5" w:rsidR="0080287C" w:rsidRPr="00C55689" w:rsidRDefault="0080287C">
      <w:pPr>
        <w:rPr>
          <w:rFonts w:cs="Times New Roman"/>
          <w:vertAlign w:val="superscript"/>
          <w:lang w:val="sv-SE"/>
        </w:rPr>
      </w:pPr>
      <w:r w:rsidRPr="00C55689">
        <w:rPr>
          <w:rFonts w:ascii="Times New Roman" w:eastAsia="Times New Roman" w:hAnsi="Times New Roman" w:cs="Times New Roman"/>
          <w:lang w:val="sv-SE"/>
        </w:rPr>
        <w:t>Clare Bambra</w:t>
      </w:r>
      <w:r w:rsidRPr="00C55689">
        <w:rPr>
          <w:rFonts w:ascii="Times New Roman" w:eastAsia="Times New Roman" w:hAnsi="Times New Roman" w:cs="Times New Roman"/>
          <w:vertAlign w:val="superscript"/>
          <w:lang w:val="sv-SE"/>
        </w:rPr>
        <w:t>4</w:t>
      </w:r>
    </w:p>
    <w:p w14:paraId="35283415" w14:textId="77777777" w:rsidR="008E0126" w:rsidRPr="00C55689" w:rsidRDefault="008E0126">
      <w:pPr>
        <w:rPr>
          <w:rFonts w:cs="Times New Roman"/>
          <w:vertAlign w:val="superscript"/>
          <w:lang w:val="sv-SE"/>
        </w:rPr>
      </w:pPr>
    </w:p>
    <w:p w14:paraId="5A1143DB" w14:textId="76D9F0E0" w:rsidR="008E0126" w:rsidRPr="00C55689" w:rsidRDefault="008E0126" w:rsidP="008E0126">
      <w:pPr>
        <w:rPr>
          <w:rFonts w:cs="Times New Roman"/>
          <w:lang w:val="sv-SE"/>
        </w:rPr>
      </w:pPr>
      <w:r w:rsidRPr="00C55689">
        <w:rPr>
          <w:rFonts w:ascii="Times New Roman" w:eastAsia="Times New Roman" w:hAnsi="Times New Roman" w:cs="Times New Roman"/>
          <w:lang w:val="sv-SE"/>
        </w:rPr>
        <w:t xml:space="preserve">Terje </w:t>
      </w:r>
      <w:r w:rsidR="0014508D" w:rsidRPr="00E10547">
        <w:rPr>
          <w:rFonts w:ascii="Times New Roman" w:eastAsia="Times New Roman" w:hAnsi="Times New Roman" w:cs="Times New Roman"/>
          <w:lang w:val="sv-SE"/>
        </w:rPr>
        <w:t xml:space="preserve">A. </w:t>
      </w:r>
      <w:r w:rsidRPr="00C55689">
        <w:rPr>
          <w:rFonts w:ascii="Times New Roman" w:eastAsia="Times New Roman" w:hAnsi="Times New Roman" w:cs="Times New Roman"/>
          <w:lang w:val="sv-SE"/>
        </w:rPr>
        <w:t>Eikemo</w:t>
      </w:r>
      <w:r w:rsidRPr="00C55689">
        <w:rPr>
          <w:rFonts w:ascii="Times New Roman" w:eastAsia="Times New Roman" w:hAnsi="Times New Roman" w:cs="Times New Roman"/>
          <w:vertAlign w:val="superscript"/>
          <w:lang w:val="sv-SE"/>
        </w:rPr>
        <w:t>2</w:t>
      </w:r>
    </w:p>
    <w:p w14:paraId="7A3DC207" w14:textId="77777777" w:rsidR="0080287C" w:rsidRPr="00E10547" w:rsidRDefault="0080287C">
      <w:pPr>
        <w:rPr>
          <w:lang w:val="sv-SE"/>
        </w:rPr>
      </w:pPr>
    </w:p>
    <w:p w14:paraId="5738CE52" w14:textId="77777777" w:rsidR="0080287C" w:rsidRPr="00E10547" w:rsidRDefault="0080287C">
      <w:pPr>
        <w:rPr>
          <w:lang w:val="sv-SE"/>
        </w:rPr>
      </w:pPr>
    </w:p>
    <w:p w14:paraId="3950017F" w14:textId="77777777" w:rsidR="0080287C" w:rsidRPr="00E10547" w:rsidRDefault="0080287C">
      <w:pPr>
        <w:rPr>
          <w:lang w:val="sv-SE"/>
        </w:rPr>
      </w:pPr>
    </w:p>
    <w:p w14:paraId="4D563995" w14:textId="14E7A768" w:rsidR="0080287C" w:rsidRPr="004A2D65" w:rsidRDefault="0080287C">
      <w:r w:rsidRPr="00C55689">
        <w:rPr>
          <w:rFonts w:ascii="Times New Roman" w:eastAsia="Times New Roman" w:hAnsi="Times New Roman" w:cs="Times New Roman"/>
        </w:rPr>
        <w:t>1 Department of Sociology, Harvard University, 33 Kirkland Street, Cambridge, MA 02138, USA.</w:t>
      </w:r>
    </w:p>
    <w:p w14:paraId="7FEBD7CD" w14:textId="77777777" w:rsidR="0080287C" w:rsidRPr="004A2D65" w:rsidRDefault="0080287C"/>
    <w:p w14:paraId="160DFFA6" w14:textId="4B3B47E3" w:rsidR="0080287C" w:rsidRPr="00C55689" w:rsidRDefault="0080287C">
      <w:pPr>
        <w:rPr>
          <w:rFonts w:cs="Times New Roman"/>
        </w:rPr>
      </w:pPr>
      <w:r w:rsidRPr="00C55689">
        <w:rPr>
          <w:rFonts w:ascii="Times New Roman" w:eastAsia="Times New Roman" w:hAnsi="Times New Roman" w:cs="Times New Roman"/>
        </w:rPr>
        <w:t>2 Department of Sociology and Political Science, Norwegian University of Science and Technology, Trondheim, Norway</w:t>
      </w:r>
    </w:p>
    <w:p w14:paraId="3C419A2B" w14:textId="77777777" w:rsidR="0080287C" w:rsidRPr="00C55689" w:rsidRDefault="0080287C">
      <w:pPr>
        <w:rPr>
          <w:rFonts w:cs="Times New Roman"/>
        </w:rPr>
      </w:pPr>
    </w:p>
    <w:p w14:paraId="008F285E" w14:textId="64A48FD1" w:rsidR="00A55260" w:rsidRPr="00C55689" w:rsidRDefault="00A55260" w:rsidP="0080287C">
      <w:pPr>
        <w:rPr>
          <w:rFonts w:cs="Times New Roman"/>
        </w:rPr>
      </w:pPr>
      <w:r w:rsidRPr="00C55689">
        <w:rPr>
          <w:rFonts w:ascii="Times New Roman" w:eastAsia="Times New Roman" w:hAnsi="Times New Roman" w:cs="Times New Roman"/>
        </w:rPr>
        <w:t>3 Department of Sociology, University of York, Wentworth College, YO10 5DD, York, UK</w:t>
      </w:r>
    </w:p>
    <w:p w14:paraId="0F0C444A" w14:textId="77777777" w:rsidR="00A55260" w:rsidRPr="00C55689" w:rsidRDefault="00A55260" w:rsidP="0080287C">
      <w:pPr>
        <w:rPr>
          <w:rFonts w:cs="Times New Roman"/>
        </w:rPr>
      </w:pPr>
    </w:p>
    <w:p w14:paraId="63E40EF0" w14:textId="638CB5A0" w:rsidR="0080287C" w:rsidRPr="00C55689" w:rsidRDefault="0080287C" w:rsidP="0080287C">
      <w:pPr>
        <w:rPr>
          <w:rFonts w:cs="Times New Roman"/>
        </w:rPr>
      </w:pPr>
      <w:r w:rsidRPr="00C55689">
        <w:rPr>
          <w:rFonts w:ascii="Times New Roman" w:eastAsia="Times New Roman" w:hAnsi="Times New Roman" w:cs="Times New Roman"/>
        </w:rPr>
        <w:t>4 Institute of Health and Society, Faculty of Medical Sciences, Newcastle University, NE2 4AX, United Kingdom</w:t>
      </w:r>
    </w:p>
    <w:p w14:paraId="2BF16F12" w14:textId="77777777" w:rsidR="0080287C" w:rsidRPr="00C55689" w:rsidRDefault="0080287C" w:rsidP="0080287C">
      <w:pPr>
        <w:rPr>
          <w:rFonts w:cs="Times New Roman"/>
        </w:rPr>
      </w:pPr>
    </w:p>
    <w:p w14:paraId="683ECF31" w14:textId="77777777" w:rsidR="0080287C" w:rsidRPr="00C55689" w:rsidRDefault="0080287C" w:rsidP="0080287C">
      <w:pPr>
        <w:rPr>
          <w:rFonts w:cs="Times New Roman"/>
        </w:rPr>
      </w:pPr>
    </w:p>
    <w:p w14:paraId="4C9F79D8" w14:textId="77777777" w:rsidR="0080287C" w:rsidRPr="00C55689" w:rsidRDefault="0080287C" w:rsidP="0080287C">
      <w:pPr>
        <w:rPr>
          <w:rFonts w:cs="Times New Roman"/>
        </w:rPr>
      </w:pPr>
    </w:p>
    <w:p w14:paraId="3BC44122" w14:textId="77777777" w:rsidR="0080287C" w:rsidRPr="004A2D65" w:rsidRDefault="0080287C"/>
    <w:p w14:paraId="15C2C90A" w14:textId="77777777" w:rsidR="0080287C" w:rsidRPr="004A2D65" w:rsidRDefault="0080287C"/>
    <w:p w14:paraId="6CA737F5" w14:textId="77777777" w:rsidR="0080287C" w:rsidRPr="004A2D65" w:rsidRDefault="0080287C"/>
    <w:p w14:paraId="661A9C1A" w14:textId="77777777" w:rsidR="0080287C" w:rsidRPr="004A2D65" w:rsidRDefault="0080287C"/>
    <w:p w14:paraId="25E37314" w14:textId="77777777" w:rsidR="0080287C" w:rsidRPr="004A2D65" w:rsidRDefault="0080287C"/>
    <w:p w14:paraId="21C293BE" w14:textId="77777777" w:rsidR="0080287C" w:rsidRPr="004A2D65" w:rsidRDefault="0080287C"/>
    <w:p w14:paraId="40AAB2D2" w14:textId="77777777" w:rsidR="0080287C" w:rsidRPr="004A2D65" w:rsidRDefault="0080287C"/>
    <w:p w14:paraId="37C33A2F" w14:textId="3E710C1A" w:rsidR="00F9519F" w:rsidRPr="004A2D65" w:rsidRDefault="004A2D65">
      <w:r w:rsidRPr="004A2D65">
        <w:br w:type="page"/>
      </w:r>
    </w:p>
    <w:p w14:paraId="3C5E49B3" w14:textId="73F0B38A" w:rsidR="004744CF" w:rsidRPr="005706C7" w:rsidRDefault="5DE96412" w:rsidP="004744CF">
      <w:pPr>
        <w:rPr>
          <w:b/>
        </w:rPr>
      </w:pPr>
      <w:r w:rsidRPr="005706C7">
        <w:rPr>
          <w:b/>
        </w:rPr>
        <w:lastRenderedPageBreak/>
        <w:t>Introduction</w:t>
      </w:r>
    </w:p>
    <w:p w14:paraId="73786FEB" w14:textId="28EDEFDF" w:rsidR="000C1456" w:rsidRPr="004A2D65" w:rsidRDefault="000C1456"/>
    <w:p w14:paraId="579BFFFA" w14:textId="46D8F2AB" w:rsidR="00F9519F" w:rsidRPr="004A2D65" w:rsidRDefault="5DE96412">
      <w:r>
        <w:t xml:space="preserve">This supplement of the </w:t>
      </w:r>
      <w:r w:rsidRPr="5DE96412">
        <w:rPr>
          <w:i/>
          <w:iCs/>
        </w:rPr>
        <w:t xml:space="preserve">European Journal of Public Health </w:t>
      </w:r>
      <w:r>
        <w:t xml:space="preserve">presents results from the first analyses of a new source of data on the health of European populations: the </w:t>
      </w:r>
      <w:r w:rsidRPr="5DE96412">
        <w:rPr>
          <w:i/>
          <w:iCs/>
        </w:rPr>
        <w:t xml:space="preserve">European Social Survey </w:t>
      </w:r>
      <w:r>
        <w:t>(ESS) rotating module on the social determinants of health.  The ESS health module represents a major step forward for cross-national comparisons of social inequalities in health, because it includes representative samples from 20 European nations</w:t>
      </w:r>
      <w:r w:rsidR="005706C7">
        <w:t xml:space="preserve"> and Israel</w:t>
      </w:r>
      <w:r>
        <w:t>, and a wide range of health (including non-communicable diseases - NCDs), healthcare utilization, and social and behavioural determinant measures.  Unlike other sources of data on the health of European populations, such as the Survey of Health and Retirement (SHARE) or mortality data covering only one city or region, the ESS health data are nationally representative samples of the adult population in 2</w:t>
      </w:r>
      <w:r w:rsidR="005706C7">
        <w:t>1</w:t>
      </w:r>
      <w:r>
        <w:t xml:space="preserve"> countries.  The ESS data thus allow for a more comprehensive assessment of health inequalities across E</w:t>
      </w:r>
      <w:r w:rsidR="005706C7">
        <w:t>urope than was possible before</w:t>
      </w:r>
      <w:r w:rsidR="00E62ECD">
        <w:t>.</w:t>
      </w:r>
      <w:r w:rsidR="005706C7">
        <w:fldChar w:fldCharType="begin"/>
      </w:r>
      <w:r w:rsidR="005706C7">
        <w:instrText xml:space="preserve"> ADDIN EN.CITE &lt;EndNote&gt;&lt;Cite&gt;&lt;Author&gt;Eikemo&lt;/Author&gt;&lt;Year&gt;2016&lt;/Year&gt;&lt;RecNum&gt;658&lt;/RecNum&gt;&lt;DisplayText&gt;&lt;style face="superscript"&gt;1&lt;/style&gt;&lt;/DisplayText&gt;&lt;record&gt;&lt;rec-number&gt;658&lt;/rec-number&gt;&lt;foreign-keys&gt;&lt;key app="EN" db-id="azx5pf05fsvt9kedzd5vpts6d5zdatteaww9" timestamp="1464422140"&gt;658&lt;/key&gt;&lt;/foreign-keys&gt;&lt;ref-type name="Journal Article"&gt;17&lt;/ref-type&gt;&lt;contributors&gt;&lt;authors&gt;&lt;author&gt;Eikemo, Terje A.&lt;/author&gt;&lt;author&gt;Bambra, Clare&lt;/author&gt;&lt;author&gt;Huijts, Tim&lt;/author&gt;&lt;author&gt;Fitzgerald, Rory&lt;/author&gt;&lt;/authors&gt;&lt;/contributors&gt;&lt;titles&gt;&lt;title&gt;The First Pan-European Sociological Health Inequalities Survey of the General Population: The European Social Survey Rotating Module on the Social Determinants of Health&lt;/title&gt;&lt;secondary-title&gt;European Sociological Review&lt;/secondary-title&gt;&lt;/titles&gt;&lt;periodical&gt;&lt;full-title&gt;European Sociological Review&lt;/full-title&gt;&lt;/periodical&gt;&lt;dates&gt;&lt;year&gt;2016&lt;/year&gt;&lt;pub-dates&gt;&lt;date&gt;May 16, 2016&lt;/date&gt;&lt;/pub-dates&gt;&lt;/dates&gt;&lt;urls&gt;&lt;related-urls&gt;&lt;url&gt;http://esr.oxfordjournals.org/content/early/2016/05/16/esr.jcw019.abstract&lt;/url&gt;&lt;url&gt;http://esr.oxfordjournals.org/content/early/2016/05/16/esr.jcw019.full.pdf&lt;/url&gt;&lt;/related-urls&gt;&lt;/urls&gt;&lt;electronic-resource-num&gt;10.1093/esr/jcw019&lt;/electronic-resource-num&gt;&lt;/record&gt;&lt;/Cite&gt;&lt;/EndNote&gt;</w:instrText>
      </w:r>
      <w:r w:rsidR="005706C7">
        <w:fldChar w:fldCharType="separate"/>
      </w:r>
      <w:r w:rsidR="005706C7" w:rsidRPr="005706C7">
        <w:rPr>
          <w:noProof/>
          <w:vertAlign w:val="superscript"/>
        </w:rPr>
        <w:t>1</w:t>
      </w:r>
      <w:r w:rsidR="005706C7">
        <w:fldChar w:fldCharType="end"/>
      </w:r>
      <w:r>
        <w:t xml:space="preserve"> </w:t>
      </w:r>
    </w:p>
    <w:p w14:paraId="4388F283" w14:textId="5D76E6B0" w:rsidR="00D5141A" w:rsidRPr="004A2D65" w:rsidRDefault="000C1456" w:rsidP="00D5141A">
      <w:r w:rsidRPr="004A2D65">
        <w:tab/>
        <w:t>The authors of the 1</w:t>
      </w:r>
      <w:r w:rsidR="006A5F69" w:rsidRPr="004A2D65">
        <w:t>6</w:t>
      </w:r>
      <w:r w:rsidRPr="004A2D65">
        <w:t xml:space="preserve"> articles that constitute this supplement use the new ESS data to address one of the most pressing questions about the distribution of health across European populations: how and why do social inequalities in </w:t>
      </w:r>
      <w:r w:rsidR="00D73B48" w:rsidRPr="004A2D65">
        <w:t xml:space="preserve">self-reported health and </w:t>
      </w:r>
      <w:r w:rsidR="008E5B3A" w:rsidRPr="004A2D65">
        <w:t>NCDs</w:t>
      </w:r>
      <w:r w:rsidRPr="004A2D65">
        <w:t xml:space="preserve"> vary across European welfare states?  This question </w:t>
      </w:r>
      <w:r w:rsidR="00F45F03" w:rsidRPr="004A2D65">
        <w:t>is one that motivates</w:t>
      </w:r>
      <w:r w:rsidRPr="004A2D65">
        <w:t xml:space="preserve"> the Norface-funded </w:t>
      </w:r>
      <w:r w:rsidRPr="5DE96412">
        <w:rPr>
          <w:i/>
          <w:iCs/>
        </w:rPr>
        <w:t xml:space="preserve">Health Inequalities in European Welfare States (HiNEWS) </w:t>
      </w:r>
      <w:r w:rsidRPr="004A2D65">
        <w:t>project</w:t>
      </w:r>
      <w:r w:rsidR="00F45F03" w:rsidRPr="004A2D65">
        <w:t xml:space="preserve">, </w:t>
      </w:r>
      <w:r w:rsidR="00554AFE" w:rsidRPr="004A2D65">
        <w:t xml:space="preserve">with which the contributors to this </w:t>
      </w:r>
      <w:r w:rsidR="00554AFE" w:rsidRPr="5DE96412">
        <w:rPr>
          <w:i/>
          <w:iCs/>
        </w:rPr>
        <w:t xml:space="preserve">EJPH </w:t>
      </w:r>
      <w:r w:rsidR="00554AFE" w:rsidRPr="004A2D65">
        <w:t>supplement are affiliated.</w:t>
      </w:r>
      <w:r w:rsidR="00577268" w:rsidRPr="004A2D65">
        <w:t xml:space="preserve">  In the remainder of this introductory article, we describe the approach of the HiNEWS project.  Next, we turn to highlight the most </w:t>
      </w:r>
      <w:r w:rsidR="007C4B09" w:rsidRPr="004A2D65">
        <w:t xml:space="preserve">important </w:t>
      </w:r>
      <w:r w:rsidR="00577268" w:rsidRPr="004A2D65">
        <w:t>findings from the articles in this special issue.  Finally, we conclude with a discussion of the limitations of the ESS data</w:t>
      </w:r>
      <w:r w:rsidR="00D5141A" w:rsidRPr="004A2D65">
        <w:t xml:space="preserve"> and considerations for future directions.</w:t>
      </w:r>
    </w:p>
    <w:p w14:paraId="77CC6C9E" w14:textId="77777777" w:rsidR="00D5141A" w:rsidRPr="004A2D65" w:rsidRDefault="00D5141A" w:rsidP="00D5141A"/>
    <w:p w14:paraId="16B81109" w14:textId="04EC0244" w:rsidR="0034758D" w:rsidRPr="004A2D65" w:rsidRDefault="0034758D"/>
    <w:p w14:paraId="6D1F8C7E" w14:textId="031A5FFD" w:rsidR="000C1456" w:rsidRPr="005706C7" w:rsidRDefault="5DE96412">
      <w:pPr>
        <w:rPr>
          <w:u w:val="single"/>
        </w:rPr>
      </w:pPr>
      <w:r w:rsidRPr="005706C7">
        <w:rPr>
          <w:u w:val="single"/>
        </w:rPr>
        <w:t>The Health Inequalities in European Welfare States (HiNEWS) Approach</w:t>
      </w:r>
    </w:p>
    <w:p w14:paraId="5200EA6B" w14:textId="77777777" w:rsidR="00577268" w:rsidRPr="004A2D65" w:rsidRDefault="00577268"/>
    <w:p w14:paraId="082DECBB" w14:textId="7FC894F0" w:rsidR="00577268" w:rsidRPr="004A2D65" w:rsidRDefault="5DE96412">
      <w:r>
        <w:t xml:space="preserve">The HiNEWS project has developed a theoretical approach that focuses on institutional arrangements as macro-level causes of </w:t>
      </w:r>
      <w:r w:rsidR="005706C7">
        <w:t>social inequalities in health</w:t>
      </w:r>
      <w:r w:rsidR="005706C7">
        <w:fldChar w:fldCharType="begin"/>
      </w:r>
      <w:r w:rsidR="005706C7">
        <w:instrText xml:space="preserve"> ADDIN EN.CITE &lt;EndNote&gt;&lt;Cite&gt;&lt;Author&gt;Beckfield&lt;/Author&gt;&lt;Year&gt;2015&lt;/Year&gt;&lt;RecNum&gt;408&lt;/RecNum&gt;&lt;DisplayText&gt;&lt;style face="superscript"&gt;2&lt;/style&gt;&lt;/DisplayText&gt;&lt;record&gt;&lt;rec-number&gt;408&lt;/rec-number&gt;&lt;foreign-keys&gt;&lt;key app="EN" db-id="azx5pf05fsvt9kedzd5vpts6d5zdatteaww9" timestamp="1458817508"&gt;408&lt;/key&gt;&lt;/foreign-keys&gt;&lt;ref-type name="Journal Article"&gt;17&lt;/ref-type&gt;&lt;contributors&gt;&lt;authors&gt;&lt;author&gt;Beckfield, Jason&lt;/author&gt;&lt;author&gt;Bambra, Clare&lt;/author&gt;&lt;author&gt;Eikemo, Terje A.&lt;/author&gt;&lt;author&gt;Huijts, Tim&lt;/author&gt;&lt;author&gt;McNamara, Courtney&lt;/author&gt;&lt;author&gt;Wendt, Claus&lt;/author&gt;&lt;/authors&gt;&lt;/contributors&gt;&lt;titles&gt;&lt;title&gt;An institutional theory of welfare state effects on the distribution of population health&lt;/title&gt;&lt;secondary-title&gt;Soc Theory Health&lt;/secondary-title&gt;&lt;/titles&gt;&lt;periodical&gt;&lt;full-title&gt;Soc Theory Health&lt;/full-title&gt;&lt;/periodical&gt;&lt;pages&gt;227-244&lt;/pages&gt;&lt;volume&gt;13&lt;/volume&gt;&lt;number&gt;3-4&lt;/number&gt;&lt;keywords&gt;&lt;keyword&gt;health inequality&lt;/keyword&gt;&lt;keyword&gt;spatial&lt;/keyword&gt;&lt;keyword&gt;social policy&lt;/keyword&gt;&lt;keyword&gt;public health&lt;/keyword&gt;&lt;keyword&gt;Europe&lt;/keyword&gt;&lt;keyword&gt;social determinants&lt;/keyword&gt;&lt;/keywords&gt;&lt;dates&gt;&lt;year&gt;2015&lt;/year&gt;&lt;pub-dates&gt;&lt;date&gt;08//print&lt;/date&gt;&lt;/pub-dates&gt;&lt;/dates&gt;&lt;publisher&gt;Palgrave Macmillan, a division of Macmillan Publishers Ltd&lt;/publisher&gt;&lt;isbn&gt;1477-8211&lt;/isbn&gt;&lt;work-type&gt;Original Article&lt;/work-type&gt;&lt;urls&gt;&lt;related-urls&gt;&lt;url&gt;http://dx.doi.org/10.1057/sth.2015.19&lt;/url&gt;&lt;url&gt;http://www.palgrave-journals.com/sth/journal/v13/n3-4/pdf/sth201519a.pdf&lt;/url&gt;&lt;/related-urls&gt;&lt;/urls&gt;&lt;electronic-resource-num&gt;10.1057/sth.2015.19&lt;/electronic-resource-num&gt;&lt;/record&gt;&lt;/Cite&gt;&lt;/EndNote&gt;</w:instrText>
      </w:r>
      <w:r w:rsidR="005706C7">
        <w:fldChar w:fldCharType="separate"/>
      </w:r>
      <w:r w:rsidR="005706C7" w:rsidRPr="005706C7">
        <w:rPr>
          <w:noProof/>
          <w:vertAlign w:val="superscript"/>
        </w:rPr>
        <w:t>2</w:t>
      </w:r>
      <w:r w:rsidR="005706C7">
        <w:fldChar w:fldCharType="end"/>
      </w:r>
      <w:r w:rsidR="005706C7">
        <w:t>.</w:t>
      </w:r>
      <w:r>
        <w:t>The first distinctive feature of this approach is its radical macroscopic turn toward social forces outside the individual – so-called “upstream” factors, or “causes of causes” – that result in cross-national variation in the patterning of health inequalities.  We are aware that this goes against the grain of much current research on health inequalities, which focuse</w:t>
      </w:r>
      <w:r w:rsidR="001C319A">
        <w:t>s</w:t>
      </w:r>
      <w:r w:rsidR="005706C7">
        <w:t xml:space="preserve"> in large part</w:t>
      </w:r>
      <w:r>
        <w:t xml:space="preserve"> on individual behaviours. Whilst the ESS health module includes a wide array of measures of health behaviors, our focus is not on the behaviors themselves, but rather the potential causes of inequalities in such behaviours at the social and institutional level.</w:t>
      </w:r>
    </w:p>
    <w:p w14:paraId="55EA207F" w14:textId="165E27E5" w:rsidR="008F7C98" w:rsidRPr="004A2D65" w:rsidRDefault="008F7C98">
      <w:r w:rsidRPr="004A2D65">
        <w:tab/>
        <w:t xml:space="preserve">The </w:t>
      </w:r>
      <w:r w:rsidR="00306801" w:rsidRPr="004A2D65">
        <w:t>1</w:t>
      </w:r>
      <w:r w:rsidR="005315DB" w:rsidRPr="004A2D65">
        <w:t>6</w:t>
      </w:r>
      <w:r w:rsidR="00306801" w:rsidRPr="004A2D65">
        <w:t xml:space="preserve"> </w:t>
      </w:r>
      <w:r w:rsidRPr="004A2D65">
        <w:t xml:space="preserve">articles that constitute this supplement to the </w:t>
      </w:r>
      <w:r w:rsidRPr="5DE96412">
        <w:rPr>
          <w:i/>
          <w:iCs/>
        </w:rPr>
        <w:t>EJPH</w:t>
      </w:r>
      <w:r w:rsidRPr="004A2D65">
        <w:t xml:space="preserve"> share this general approach to </w:t>
      </w:r>
      <w:r w:rsidR="00B20403" w:rsidRPr="004A2D65">
        <w:t>inequalities</w:t>
      </w:r>
      <w:r w:rsidRPr="004A2D65">
        <w:t xml:space="preserve"> in</w:t>
      </w:r>
      <w:r w:rsidR="0007550B" w:rsidRPr="004A2D65">
        <w:t xml:space="preserve"> self-rated health and</w:t>
      </w:r>
      <w:r w:rsidRPr="004A2D65">
        <w:t xml:space="preserve"> </w:t>
      </w:r>
      <w:r w:rsidR="0007550B" w:rsidRPr="004A2D65">
        <w:t>NCDs</w:t>
      </w:r>
      <w:r w:rsidRPr="004A2D65">
        <w:t xml:space="preserve">, where the aim of the analysis is to describe the cross-national variation in the socially structured experience of </w:t>
      </w:r>
      <w:r w:rsidR="0007550B" w:rsidRPr="004A2D65">
        <w:t>different health determinants and outcomes</w:t>
      </w:r>
      <w:r w:rsidRPr="004A2D65">
        <w:t>.  In other words, the articles de</w:t>
      </w:r>
      <w:r w:rsidR="00306801" w:rsidRPr="004A2D65">
        <w:t>scribe cross-national inequalities in health</w:t>
      </w:r>
      <w:r w:rsidR="0007550B" w:rsidRPr="004A2D65">
        <w:t xml:space="preserve"> determinants and health</w:t>
      </w:r>
      <w:r w:rsidR="00306801" w:rsidRPr="004A2D65">
        <w:t xml:space="preserve"> inequalities</w:t>
      </w:r>
      <w:r w:rsidRPr="004A2D65">
        <w:t xml:space="preserve">.  </w:t>
      </w:r>
      <w:r w:rsidR="007C4B09" w:rsidRPr="004A2D65">
        <w:t>O</w:t>
      </w:r>
      <w:r w:rsidR="00306801" w:rsidRPr="004A2D65">
        <w:t xml:space="preserve">ur approach is strongly informed by Whitehead’s work on health </w:t>
      </w:r>
      <w:r w:rsidR="007C4B09" w:rsidRPr="004A2D65">
        <w:t>inequalities</w:t>
      </w:r>
      <w:r w:rsidR="00306801" w:rsidRPr="004A2D65">
        <w:t xml:space="preserve">, which can be defined as </w:t>
      </w:r>
      <w:r w:rsidR="005A5A56" w:rsidRPr="004A2D65">
        <w:t xml:space="preserve">socially structured (e.g. by social class, gender, sexuality, and ethnicity) differences between people </w:t>
      </w:r>
      <w:r w:rsidR="005A5A56" w:rsidRPr="004A2D65">
        <w:lastRenderedPageBreak/>
        <w:t>in the experience of health and illness that are unnecessary, avoidable, unfair, and unjust</w:t>
      </w:r>
      <w:r w:rsidR="009F06E1">
        <w:fldChar w:fldCharType="begin"/>
      </w:r>
      <w:r w:rsidR="009F06E1">
        <w:instrText xml:space="preserve"> ADDIN EN.CITE &lt;EndNote&gt;&lt;Cite&gt;&lt;Author&gt;Whitehead&lt;/Author&gt;&lt;Year&gt;1992&lt;/Year&gt;&lt;RecNum&gt;831&lt;/RecNum&gt;&lt;DisplayText&gt;&lt;style face="superscript"&gt;3&lt;/style&gt;&lt;/DisplayText&gt;&lt;record&gt;&lt;rec-number&gt;831&lt;/rec-number&gt;&lt;foreign-keys&gt;&lt;key app="EN" db-id="azx5pf05fsvt9kedzd5vpts6d5zdatteaww9" timestamp="1481204121"&gt;831&lt;/key&gt;&lt;/foreign-keys&gt;&lt;ref-type name="Journal Article"&gt;17&lt;/ref-type&gt;&lt;contributors&gt;&lt;authors&gt;&lt;author&gt;Whitehead, Margaret&lt;/author&gt;&lt;/authors&gt;&lt;/contributors&gt;&lt;titles&gt;&lt;title&gt;The concepts and principles of equity and health&lt;/title&gt;&lt;secondary-title&gt;International journal of health services&lt;/secondary-title&gt;&lt;/titles&gt;&lt;periodical&gt;&lt;full-title&gt;International Journal of Health Services&lt;/full-title&gt;&lt;/periodical&gt;&lt;pages&gt;429-445&lt;/pages&gt;&lt;volume&gt;22&lt;/volume&gt;&lt;number&gt;3&lt;/number&gt;&lt;dates&gt;&lt;year&gt;1992&lt;/year&gt;&lt;/dates&gt;&lt;isbn&gt;0020-7314&lt;/isbn&gt;&lt;urls&gt;&lt;/urls&gt;&lt;/record&gt;&lt;/Cite&gt;&lt;/EndNote&gt;</w:instrText>
      </w:r>
      <w:r w:rsidR="009F06E1">
        <w:fldChar w:fldCharType="separate"/>
      </w:r>
      <w:r w:rsidR="009F06E1" w:rsidRPr="009F06E1">
        <w:rPr>
          <w:noProof/>
          <w:vertAlign w:val="superscript"/>
        </w:rPr>
        <w:t>3</w:t>
      </w:r>
      <w:r w:rsidR="009F06E1">
        <w:fldChar w:fldCharType="end"/>
      </w:r>
      <w:r w:rsidR="009F06E1">
        <w:t>.</w:t>
      </w:r>
      <w:r w:rsidR="005A5A56" w:rsidRPr="004A2D65">
        <w:t xml:space="preserve"> We use </w:t>
      </w:r>
      <w:r w:rsidR="007C4B09" w:rsidRPr="004A2D65">
        <w:t>the phrase ‘</w:t>
      </w:r>
      <w:r w:rsidR="005A5A56" w:rsidRPr="004A2D65">
        <w:t>social inequality in health</w:t>
      </w:r>
      <w:r w:rsidR="007C4B09" w:rsidRPr="004A2D65">
        <w:t xml:space="preserve"> and health care’ to mean </w:t>
      </w:r>
      <w:r w:rsidR="005A5A56" w:rsidRPr="004A2D65">
        <w:t xml:space="preserve">inequality </w:t>
      </w:r>
      <w:r w:rsidR="007C4B09" w:rsidRPr="004A2D65">
        <w:t xml:space="preserve">between </w:t>
      </w:r>
      <w:r w:rsidR="005A5A56" w:rsidRPr="004A2D65">
        <w:t>one socially-defined category of people versus another</w:t>
      </w:r>
      <w:r w:rsidR="00617BAF" w:rsidRPr="004A2D65">
        <w:t>. We take an intersectional approach to social inequalities in health and health care, looking at socioeconomic status (occupation, education, income), gender, age, geographical location, migrant status - and their interaction</w:t>
      </w:r>
      <w:r w:rsidR="00B56BCC" w:rsidRPr="004A2D65">
        <w:t>s</w:t>
      </w:r>
      <w:r w:rsidR="005A5A56" w:rsidRPr="004A2D65">
        <w:t>.</w:t>
      </w:r>
      <w:r w:rsidR="00B56BCC" w:rsidRPr="004A2D65">
        <w:t xml:space="preserve"> Attending to qualitatively distinct social positions in divergent institutional contexts is essential for the description of health inequalities, because our approach argues social positions have health effects insofar as they are institutionally embedded.</w:t>
      </w:r>
    </w:p>
    <w:p w14:paraId="22483B7D" w14:textId="23FA48BB" w:rsidR="005A5A56" w:rsidRPr="004A2D65" w:rsidRDefault="005A5A56">
      <w:r w:rsidRPr="004A2D65">
        <w:tab/>
        <w:t xml:space="preserve">The articles in this supplement also share an analytical approach that facilitates the comparison of results across articles.  Because they use the same dataset, the same measures of key variables, and the same estimation techniques, the articles produce estimates of health and healthcare </w:t>
      </w:r>
      <w:r w:rsidR="006A5F69" w:rsidRPr="004A2D65">
        <w:t>inequalities</w:t>
      </w:r>
      <w:r w:rsidRPr="004A2D65">
        <w:t xml:space="preserve"> </w:t>
      </w:r>
      <w:r w:rsidR="00B4454B" w:rsidRPr="004A2D65">
        <w:t xml:space="preserve">that can be compared cross-nationally, and thus form the basis for a later step in the project, which will use these and other estimates as </w:t>
      </w:r>
      <w:r w:rsidR="00B56BCC" w:rsidRPr="004A2D65">
        <w:t>social facts to be explained</w:t>
      </w:r>
      <w:r w:rsidR="00B4454B" w:rsidRPr="004A2D65">
        <w:t xml:space="preserve">.  That later step in the project will use state-of-the-art welfare-state measures to explain the vast cross-national heterogeneity in health and healthcare </w:t>
      </w:r>
      <w:r w:rsidR="006A5F69" w:rsidRPr="004A2D65">
        <w:t>inequalities</w:t>
      </w:r>
      <w:r w:rsidR="00B4454B" w:rsidRPr="004A2D65">
        <w:t xml:space="preserve"> described in the articles that follow.  </w:t>
      </w:r>
    </w:p>
    <w:p w14:paraId="7A2ED6E5" w14:textId="07E00A96" w:rsidR="00AC005C" w:rsidRPr="004A2D65" w:rsidRDefault="00B4454B">
      <w:pPr>
        <w:rPr>
          <w:iCs/>
          <w:lang w:val="en-GB"/>
        </w:rPr>
      </w:pPr>
      <w:r w:rsidRPr="004A2D65">
        <w:tab/>
        <w:t>Perhaps the most consequential analytical choices are the measurement of health and healthcare</w:t>
      </w:r>
      <w:r w:rsidR="00617BAF" w:rsidRPr="004A2D65">
        <w:t xml:space="preserve"> on one hand, and the measures of social inequality on the other</w:t>
      </w:r>
      <w:r w:rsidR="005527E6" w:rsidRPr="004A2D65">
        <w:t>.  To measure health and healthcare at the individual level, all authors employ binary measures to quantify the presence/absence of: (1) access to healthcare, (2) risky behaviors</w:t>
      </w:r>
      <w:r w:rsidR="00D73B48" w:rsidRPr="004A2D65">
        <w:t xml:space="preserve"> related to</w:t>
      </w:r>
      <w:r w:rsidR="005527E6" w:rsidRPr="004A2D65">
        <w:t xml:space="preserve"> </w:t>
      </w:r>
      <w:r w:rsidR="005527E6" w:rsidRPr="5DE96412">
        <w:t>smoking, alcohol use, lack of physical activity, and lack of fruit and vegetable consumption,</w:t>
      </w:r>
      <w:r w:rsidR="00D73B48" w:rsidRPr="004A2D65">
        <w:t xml:space="preserve"> (3) </w:t>
      </w:r>
      <w:r w:rsidR="00F54387" w:rsidRPr="004A2D65">
        <w:t>broader social determinants of health related to occupational factors and living conditions</w:t>
      </w:r>
      <w:r w:rsidR="005527E6" w:rsidRPr="5DE96412">
        <w:t xml:space="preserve"> (</w:t>
      </w:r>
      <w:r w:rsidR="00F54387" w:rsidRPr="5DE96412">
        <w:t>4</w:t>
      </w:r>
      <w:r w:rsidR="005527E6" w:rsidRPr="5DE96412">
        <w:t xml:space="preserve">) </w:t>
      </w:r>
      <w:r w:rsidR="00AC005C" w:rsidRPr="5DE96412">
        <w:t xml:space="preserve">specific </w:t>
      </w:r>
      <w:r w:rsidR="00D73B48" w:rsidRPr="5DE96412">
        <w:t xml:space="preserve">non communicable diseases related to </w:t>
      </w:r>
      <w:r w:rsidR="00AC005C" w:rsidRPr="5DE96412">
        <w:rPr>
          <w:lang w:val="en-GB"/>
        </w:rPr>
        <w:t>heart/circulatory problems, high blood pressure, back</w:t>
      </w:r>
      <w:r w:rsidR="00E62ECD">
        <w:rPr>
          <w:lang w:val="en-GB"/>
        </w:rPr>
        <w:t>/neck</w:t>
      </w:r>
      <w:r w:rsidR="00AC005C" w:rsidRPr="5DE96412">
        <w:rPr>
          <w:lang w:val="en-GB"/>
        </w:rPr>
        <w:t xml:space="preserve"> pain, arm/hand pain, foot/leg pain, allergies, breathing problems, stomach/digestion problems, skin conditions, diabetes, severe headaches, cancer, </w:t>
      </w:r>
      <w:r w:rsidR="00E62ECD">
        <w:rPr>
          <w:lang w:val="en-GB"/>
        </w:rPr>
        <w:t xml:space="preserve">obesity, </w:t>
      </w:r>
      <w:r w:rsidR="00AC005C" w:rsidRPr="5DE96412">
        <w:rPr>
          <w:lang w:val="en-GB"/>
        </w:rPr>
        <w:t>and depression, (</w:t>
      </w:r>
      <w:r w:rsidR="00F54387" w:rsidRPr="5DE96412">
        <w:rPr>
          <w:lang w:val="en-GB"/>
        </w:rPr>
        <w:t>5</w:t>
      </w:r>
      <w:r w:rsidR="00AC005C" w:rsidRPr="5DE96412">
        <w:rPr>
          <w:lang w:val="en-GB"/>
        </w:rPr>
        <w:t>) poor quality of life, and (</w:t>
      </w:r>
      <w:r w:rsidR="00F54387" w:rsidRPr="5DE96412">
        <w:rPr>
          <w:lang w:val="en-GB"/>
        </w:rPr>
        <w:t>6</w:t>
      </w:r>
      <w:r w:rsidR="00AC005C" w:rsidRPr="5DE96412">
        <w:rPr>
          <w:lang w:val="en-GB"/>
        </w:rPr>
        <w:t xml:space="preserve">) good vs. less-than-good general self-rated health.  </w:t>
      </w:r>
    </w:p>
    <w:p w14:paraId="05FD48B9" w14:textId="46EDBDF1" w:rsidR="00B4454B" w:rsidRPr="004A2D65" w:rsidRDefault="5DE96412" w:rsidP="00AC005C">
      <w:pPr>
        <w:ind w:firstLine="720"/>
        <w:rPr>
          <w:iCs/>
          <w:lang w:val="en-GB"/>
        </w:rPr>
      </w:pPr>
      <w:r w:rsidRPr="5DE96412">
        <w:rPr>
          <w:lang w:val="en-GB"/>
        </w:rPr>
        <w:t>The inequality measures are based on comparisons of rates of health and illness that are experienced by more-advantaged social groups vs. less-advantaged social groups.  Each article that reports inequality by educational attainment uses the same measure, viz. the International Standard Classification of Educational Degrees (ISCED-3) three-category scheme that distinguishes primary, secondary, and tertiary degrees.  Each article that reports inequality by age uses the same five-year age groups.  Each article that reports inequality by sex uses the same ESS item that asks the interviewer to identify the respondent’s sex; thus our measure is best interpreted as a measure of gender.  Migrant status is identified by self-report country-of-origin information, and is coded as new (≤10 years in host country), first generation (&gt;10 years in host country), and second generation (respondent is child of migrant parents).  Occupational class is identified based on the International Standard Classification of Occupations (ISCO-88) combined with the Erikson-Goldthorpe-Portocarero class scheme</w:t>
      </w:r>
      <w:r w:rsidR="009F06E1">
        <w:rPr>
          <w:lang w:val="en-GB"/>
        </w:rPr>
        <w:fldChar w:fldCharType="begin"/>
      </w:r>
      <w:r w:rsidR="009F06E1">
        <w:rPr>
          <w:lang w:val="en-GB"/>
        </w:rPr>
        <w:instrText xml:space="preserve"> ADDIN EN.CITE &lt;EndNote&gt;&lt;Cite&gt;&lt;Author&gt;Erikson&lt;/Author&gt;&lt;Year&gt;1979&lt;/Year&gt;&lt;RecNum&gt;832&lt;/RecNum&gt;&lt;DisplayText&gt;&lt;style face="superscript"&gt;4&lt;/style&gt;&lt;/DisplayText&gt;&lt;record&gt;&lt;rec-number&gt;832&lt;/rec-number&gt;&lt;foreign-keys&gt;&lt;key app="EN" db-id="azx5pf05fsvt9kedzd5vpts6d5zdatteaww9" timestamp="1481204443"&gt;832&lt;/key&gt;&lt;/foreign-keys&gt;&lt;ref-type name="Journal Article"&gt;17&lt;/ref-type&gt;&lt;contributors&gt;&lt;authors&gt;&lt;author&gt;Erikson, Robert&lt;/author&gt;&lt;author&gt;Goldthorpe, John H&lt;/author&gt;&lt;author&gt;Portocarero, Lucienne&lt;/author&gt;&lt;/authors&gt;&lt;/contributors&gt;&lt;titles&gt;&lt;title&gt;Intergenerational class mobility in three Western European societies: England, France and Sweden&lt;/title&gt;&lt;secondary-title&gt;The British Journal of Sociology&lt;/secondary-title&gt;&lt;/titles&gt;&lt;periodical&gt;&lt;full-title&gt;The British Journal of Sociology&lt;/full-title&gt;&lt;/periodical&gt;&lt;pages&gt;415-441&lt;/pages&gt;&lt;volume&gt;30&lt;/volume&gt;&lt;number&gt;4&lt;/number&gt;&lt;dates&gt;&lt;year&gt;1979&lt;/year&gt;&lt;/dates&gt;&lt;isbn&gt;0007-1315&lt;/isbn&gt;&lt;urls&gt;&lt;/urls&gt;&lt;/record&gt;&lt;/Cite&gt;&lt;/EndNote&gt;</w:instrText>
      </w:r>
      <w:r w:rsidR="009F06E1">
        <w:rPr>
          <w:lang w:val="en-GB"/>
        </w:rPr>
        <w:fldChar w:fldCharType="separate"/>
      </w:r>
      <w:r w:rsidR="009F06E1" w:rsidRPr="009F06E1">
        <w:rPr>
          <w:noProof/>
          <w:vertAlign w:val="superscript"/>
          <w:lang w:val="en-GB"/>
        </w:rPr>
        <w:t>4</w:t>
      </w:r>
      <w:r w:rsidR="009F06E1">
        <w:rPr>
          <w:lang w:val="en-GB"/>
        </w:rPr>
        <w:fldChar w:fldCharType="end"/>
      </w:r>
      <w:r w:rsidRPr="5DE96412">
        <w:rPr>
          <w:lang w:val="en-GB"/>
        </w:rPr>
        <w:t>.</w:t>
      </w:r>
    </w:p>
    <w:p w14:paraId="6A57AE03" w14:textId="299C9561" w:rsidR="00C67F11" w:rsidRPr="004A2D65" w:rsidRDefault="5DE96412" w:rsidP="00AC005C">
      <w:pPr>
        <w:ind w:firstLine="720"/>
      </w:pPr>
      <w:r w:rsidRPr="5DE96412">
        <w:rPr>
          <w:lang w:val="en-GB"/>
        </w:rPr>
        <w:t xml:space="preserve">Each article thus presents age-standardized relative rates and rate differences generated from binary logistic regression models estimated using, wherever possible, identical analytical samples.  Most articles also present both relative and absolute measures of social inequality in health or healthcare.  Wherever possible, inequalities are </w:t>
      </w:r>
      <w:r w:rsidRPr="5DE96412">
        <w:rPr>
          <w:lang w:val="en-GB"/>
        </w:rPr>
        <w:lastRenderedPageBreak/>
        <w:t>quantified as differences in predicted probabilities (also known as marginal effects), to avoid the well-known problems of comparing odds ratios across models</w:t>
      </w:r>
      <w:r w:rsidR="009C4C27">
        <w:rPr>
          <w:lang w:val="en-GB"/>
        </w:rPr>
        <w:fldChar w:fldCharType="begin"/>
      </w:r>
      <w:r w:rsidR="009C4C27">
        <w:rPr>
          <w:lang w:val="en-GB"/>
        </w:rPr>
        <w:instrText xml:space="preserve"> ADDIN EN.CITE &lt;EndNote&gt;&lt;Cite&gt;&lt;Author&gt;Scott Long&lt;/Author&gt;&lt;Year&gt;1997&lt;/Year&gt;&lt;RecNum&gt;833&lt;/RecNum&gt;&lt;DisplayText&gt;&lt;style face="superscript"&gt;5, 6&lt;/style&gt;&lt;/DisplayText&gt;&lt;record&gt;&lt;rec-number&gt;833&lt;/rec-number&gt;&lt;foreign-keys&gt;&lt;key app="EN" db-id="azx5pf05fsvt9kedzd5vpts6d5zdatteaww9" timestamp="1481205115"&gt;833&lt;/key&gt;&lt;/foreign-keys&gt;&lt;ref-type name="Journal Article"&gt;17&lt;/ref-type&gt;&lt;contributors&gt;&lt;authors&gt;&lt;author&gt;Scott Long, J&lt;/author&gt;&lt;/authors&gt;&lt;/contributors&gt;&lt;titles&gt;&lt;title&gt;Regression models for categorical and limited dependent variables&lt;/title&gt;&lt;secondary-title&gt;Advanced quantitative techniques in the social sciences&lt;/secondary-title&gt;&lt;/titles&gt;&lt;periodical&gt;&lt;full-title&gt;Advanced quantitative techniques in the social sciences&lt;/full-title&gt;&lt;/periodical&gt;&lt;volume&gt;7&lt;/volume&gt;&lt;dates&gt;&lt;year&gt;1997&lt;/year&gt;&lt;/dates&gt;&lt;urls&gt;&lt;/urls&gt;&lt;/record&gt;&lt;/Cite&gt;&lt;Cite&gt;&lt;Author&gt;Mood&lt;/Author&gt;&lt;Year&gt;2010&lt;/Year&gt;&lt;RecNum&gt;747&lt;/RecNum&gt;&lt;record&gt;&lt;rec-number&gt;747&lt;/rec-number&gt;&lt;foreign-keys&gt;&lt;key app="EN" db-id="azx5pf05fsvt9kedzd5vpts6d5zdatteaww9" timestamp="1469705120"&gt;747&lt;/key&gt;&lt;/foreign-keys&gt;&lt;ref-type name="Journal Article"&gt;17&lt;/ref-type&gt;&lt;contributors&gt;&lt;authors&gt;&lt;author&gt;Mood, Carina&lt;/author&gt;&lt;/authors&gt;&lt;/contributors&gt;&lt;titles&gt;&lt;title&gt;Logistic regression: Why we cannot do what we think we can do, and what we can do about it&lt;/title&gt;&lt;secondary-title&gt;European sociological review&lt;/secondary-title&gt;&lt;/titles&gt;&lt;periodical&gt;&lt;full-title&gt;European Sociological Review&lt;/full-title&gt;&lt;/periodical&gt;&lt;pages&gt;67-82&lt;/pages&gt;&lt;volume&gt;26&lt;/volume&gt;&lt;number&gt;1&lt;/number&gt;&lt;dates&gt;&lt;year&gt;2010&lt;/year&gt;&lt;/dates&gt;&lt;isbn&gt;0266-7215&lt;/isbn&gt;&lt;urls&gt;&lt;/urls&gt;&lt;/record&gt;&lt;/Cite&gt;&lt;/EndNote&gt;</w:instrText>
      </w:r>
      <w:r w:rsidR="009C4C27">
        <w:rPr>
          <w:lang w:val="en-GB"/>
        </w:rPr>
        <w:fldChar w:fldCharType="separate"/>
      </w:r>
      <w:r w:rsidR="009C4C27" w:rsidRPr="009C4C27">
        <w:rPr>
          <w:noProof/>
          <w:vertAlign w:val="superscript"/>
          <w:lang w:val="en-GB"/>
        </w:rPr>
        <w:t>5, 6</w:t>
      </w:r>
      <w:r w:rsidR="009C4C27">
        <w:rPr>
          <w:lang w:val="en-GB"/>
        </w:rPr>
        <w:fldChar w:fldCharType="end"/>
      </w:r>
      <w:r w:rsidRPr="5DE96412">
        <w:rPr>
          <w:lang w:val="en-GB"/>
        </w:rPr>
        <w:t>.</w:t>
      </w:r>
    </w:p>
    <w:p w14:paraId="6E5DBAE7" w14:textId="053C37A5" w:rsidR="000C1456" w:rsidRPr="004A2D65" w:rsidRDefault="00B4454B">
      <w:r w:rsidRPr="004A2D65">
        <w:tab/>
      </w:r>
    </w:p>
    <w:p w14:paraId="28F51277" w14:textId="0A6245B2" w:rsidR="000C1456" w:rsidRPr="00C55689" w:rsidRDefault="5DE96412">
      <w:pPr>
        <w:rPr>
          <w:u w:val="single"/>
        </w:rPr>
      </w:pPr>
      <w:r w:rsidRPr="00C55689">
        <w:rPr>
          <w:u w:val="single"/>
        </w:rPr>
        <w:t>Highlights</w:t>
      </w:r>
    </w:p>
    <w:p w14:paraId="722F554F" w14:textId="77777777" w:rsidR="00087612" w:rsidRPr="004A2D65" w:rsidRDefault="00087612"/>
    <w:p w14:paraId="1CE8A386" w14:textId="51069A23" w:rsidR="00087612" w:rsidRPr="004A2D65" w:rsidRDefault="5DE96412">
      <w:r>
        <w:t>In this section we highlight the most important results from the perspectives of the dominant biomedical, behavioral, psychosocial, and materialist perspectives on social inequality in health.</w:t>
      </w:r>
    </w:p>
    <w:p w14:paraId="5E91ABD4" w14:textId="1B3A3472" w:rsidR="00570DF6" w:rsidRPr="004A2D65" w:rsidRDefault="005007FB" w:rsidP="00570DF6">
      <w:pPr>
        <w:rPr>
          <w:b/>
        </w:rPr>
      </w:pPr>
      <w:r w:rsidRPr="004A2D65">
        <w:tab/>
        <w:t xml:space="preserve">The first theme across several articles is the documentation of cross-national variability in the magnitude and patterning of health </w:t>
      </w:r>
      <w:r w:rsidR="006A5F69" w:rsidRPr="004A2D65">
        <w:t>inequalities</w:t>
      </w:r>
      <w:r w:rsidRPr="004A2D65">
        <w:t xml:space="preserve">.  For instance, the second </w:t>
      </w:r>
      <w:r w:rsidR="009E5D45" w:rsidRPr="004A2D65">
        <w:t>article</w:t>
      </w:r>
      <w:r w:rsidR="00387FD8" w:rsidRPr="004A2D65">
        <w:t>,</w:t>
      </w:r>
      <w:r w:rsidR="009E5D45" w:rsidRPr="004A2D65">
        <w:t xml:space="preserve"> by </w:t>
      </w:r>
      <w:r w:rsidR="007137D8" w:rsidRPr="004A2D65">
        <w:t>Huijts</w:t>
      </w:r>
      <w:r w:rsidR="00321D43" w:rsidRPr="004A2D65">
        <w:t xml:space="preserve"> et al.</w:t>
      </w:r>
      <w:r w:rsidR="00331E8D">
        <w:fldChar w:fldCharType="begin"/>
      </w:r>
      <w:r w:rsidR="009C4C27">
        <w:instrText xml:space="preserve"> ADDIN EN.CITE &lt;EndNote&gt;&lt;Cite&gt;&lt;Author&gt;Huijts&lt;/Author&gt;&lt;Year&gt;2017&lt;/Year&gt;&lt;RecNum&gt;811&lt;/RecNum&gt;&lt;DisplayText&gt;&lt;style face="superscript"&gt;7&lt;/style&gt;&lt;/DisplayText&gt;&lt;record&gt;&lt;rec-number&gt;811&lt;/rec-number&gt;&lt;foreign-keys&gt;&lt;key app="EN" db-id="azx5pf05fsvt9kedzd5vpts6d5zdatteaww9" timestamp="1479809221"&gt;811&lt;/key&gt;&lt;/foreign-keys&gt;&lt;ref-type name="Journal Article"&gt;17&lt;/ref-type&gt;&lt;contributors&gt;&lt;authors&gt;&lt;author&gt;Huijts, T.&lt;/author&gt;&lt;author&gt;Stornes, P.&lt;/author&gt;&lt;author&gt;Eikemo, T. A.&lt;/author&gt;&lt;author&gt;Bambra, C.&lt;/author&gt;&lt;author&gt;Consortium HiNews&lt;/author&gt;&lt;/authors&gt;&lt;/contributors&gt;&lt;titles&gt;&lt;title&gt;Prevalence of physical and mental non-communicable diseases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331E8D">
        <w:fldChar w:fldCharType="separate"/>
      </w:r>
      <w:r w:rsidR="009C4C27" w:rsidRPr="009C4C27">
        <w:rPr>
          <w:noProof/>
          <w:vertAlign w:val="superscript"/>
        </w:rPr>
        <w:t>7</w:t>
      </w:r>
      <w:r w:rsidR="00331E8D">
        <w:fldChar w:fldCharType="end"/>
      </w:r>
      <w:r w:rsidR="00387FD8" w:rsidRPr="004A2D65">
        <w:t>,</w:t>
      </w:r>
      <w:r w:rsidR="007137D8" w:rsidRPr="004A2D65">
        <w:t xml:space="preserve"> </w:t>
      </w:r>
      <w:r w:rsidRPr="004A2D65">
        <w:t xml:space="preserve">shows that chronic conditions are prevalent in European </w:t>
      </w:r>
      <w:r w:rsidR="00617BAF" w:rsidRPr="004A2D65">
        <w:t>countries</w:t>
      </w:r>
      <w:r w:rsidRPr="004A2D65">
        <w:t xml:space="preserve">, at rates that vary from 45% of the population to 92% of the population, even after age adjustment.  Moreover, gender differences in the experience of </w:t>
      </w:r>
      <w:r w:rsidR="006D04EB" w:rsidRPr="004A2D65">
        <w:t>NCDs</w:t>
      </w:r>
      <w:r w:rsidRPr="004A2D65">
        <w:t xml:space="preserve"> are themselves highly variable across national context</w:t>
      </w:r>
      <w:r w:rsidR="00461B1F" w:rsidRPr="004A2D65">
        <w:t>s</w:t>
      </w:r>
      <w:r w:rsidRPr="004A2D65">
        <w:t xml:space="preserve">, lending </w:t>
      </w:r>
      <w:r w:rsidRPr="5DE96412">
        <w:rPr>
          <w:i/>
          <w:iCs/>
        </w:rPr>
        <w:t>prima facie</w:t>
      </w:r>
      <w:r w:rsidRPr="004A2D65">
        <w:t xml:space="preserve"> support to the “constrained choices” approach developed to explain cross-national variation in gender-based health </w:t>
      </w:r>
      <w:r w:rsidR="006A5F69" w:rsidRPr="004A2D65">
        <w:t>inequali</w:t>
      </w:r>
      <w:r w:rsidR="009E5D45" w:rsidRPr="004A2D65">
        <w:t>ty</w:t>
      </w:r>
      <w:r w:rsidR="00404263">
        <w:fldChar w:fldCharType="begin"/>
      </w:r>
      <w:r w:rsidR="00404263">
        <w:instrText xml:space="preserve"> ADDIN EN.CITE &lt;EndNote&gt;&lt;Cite&gt;&lt;Author&gt;Bird&lt;/Author&gt;&lt;Year&gt;2008&lt;/Year&gt;&lt;RecNum&gt;834&lt;/RecNum&gt;&lt;DisplayText&gt;&lt;style face="superscript"&gt;8&lt;/style&gt;&lt;/DisplayText&gt;&lt;record&gt;&lt;rec-number&gt;834&lt;/rec-number&gt;&lt;foreign-keys&gt;&lt;key app="EN" db-id="azx5pf05fsvt9kedzd5vpts6d5zdatteaww9" timestamp="1481205305"&gt;834&lt;/key&gt;&lt;/foreign-keys&gt;&lt;ref-type name="Book"&gt;6&lt;/ref-type&gt;&lt;contributors&gt;&lt;authors&gt;&lt;author&gt;Bird, Chloe E&lt;/author&gt;&lt;author&gt;Rieker, Patricia P&lt;/author&gt;&lt;/authors&gt;&lt;/contributors&gt;&lt;titles&gt;&lt;title&gt;Gender and health: The effects of constrained choices and social policies&lt;/title&gt;&lt;/titles&gt;&lt;dates&gt;&lt;year&gt;2008&lt;/year&gt;&lt;/dates&gt;&lt;publisher&gt;Cambridge University Press&lt;/publisher&gt;&lt;isbn&gt;1139469886&lt;/isbn&gt;&lt;urls&gt;&lt;/urls&gt;&lt;/record&gt;&lt;/Cite&gt;&lt;/EndNote&gt;</w:instrText>
      </w:r>
      <w:r w:rsidR="00404263">
        <w:fldChar w:fldCharType="separate"/>
      </w:r>
      <w:r w:rsidR="00404263" w:rsidRPr="00404263">
        <w:rPr>
          <w:noProof/>
          <w:vertAlign w:val="superscript"/>
        </w:rPr>
        <w:t>8</w:t>
      </w:r>
      <w:r w:rsidR="00404263">
        <w:fldChar w:fldCharType="end"/>
      </w:r>
      <w:r w:rsidRPr="004A2D65">
        <w:t>.  The third article</w:t>
      </w:r>
      <w:r w:rsidR="00387FD8" w:rsidRPr="004A2D65">
        <w:t>,</w:t>
      </w:r>
      <w:r w:rsidR="009E5D45" w:rsidRPr="004A2D65">
        <w:t xml:space="preserve"> by Thomson</w:t>
      </w:r>
      <w:r w:rsidR="00387FD8" w:rsidRPr="004A2D65">
        <w:t xml:space="preserve"> </w:t>
      </w:r>
      <w:r w:rsidR="00321D43" w:rsidRPr="004A2D65">
        <w:t>et al.</w:t>
      </w:r>
      <w:r w:rsidR="0065491F" w:rsidRPr="004A2D65">
        <w:fldChar w:fldCharType="begin"/>
      </w:r>
      <w:r w:rsidR="00404263">
        <w:instrText xml:space="preserve"> ADDIN EN.CITE &lt;EndNote&gt;&lt;Cite&gt;&lt;Author&gt;Thomson&lt;/Author&gt;&lt;Year&gt;2017&lt;/Year&gt;&lt;RecNum&gt;815&lt;/RecNum&gt;&lt;DisplayText&gt;&lt;style face="superscript"&gt;9&lt;/style&gt;&lt;/DisplayText&gt;&lt;record&gt;&lt;rec-number&gt;815&lt;/rec-number&gt;&lt;foreign-keys&gt;&lt;key app="EN" db-id="azx5pf05fsvt9kedzd5vpts6d5zdatteaww9" timestamp="1480019650"&gt;815&lt;/key&gt;&lt;/foreign-keys&gt;&lt;ref-type name="Journal Article"&gt;17&lt;/ref-type&gt;&lt;contributors&gt;&lt;authors&gt;&lt;author&gt;Thomson, H. K.  &lt;/author&gt;&lt;author&gt;Renneberg, A.C.&lt;/author&gt;&lt;author&gt;McNamara, L. C.&lt;/author&gt;&lt;author&gt;Akhter, N.&lt;/author&gt;&lt;author&gt;Reibling, N.&lt;/author&gt;&lt;author&gt;Bambra, C.&lt;/author&gt;&lt;/authors&gt;&lt;/contributors&gt;&lt;titles&gt;&lt;title&gt;Regional inequalities in self-reported conditions and non-communicable diseases in European countries: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65491F" w:rsidRPr="004A2D65">
        <w:fldChar w:fldCharType="separate"/>
      </w:r>
      <w:r w:rsidR="00404263" w:rsidRPr="00404263">
        <w:rPr>
          <w:noProof/>
          <w:vertAlign w:val="superscript"/>
        </w:rPr>
        <w:t>9</w:t>
      </w:r>
      <w:r w:rsidR="0065491F" w:rsidRPr="004A2D65">
        <w:fldChar w:fldCharType="end"/>
      </w:r>
      <w:r w:rsidR="00387FD8" w:rsidRPr="004A2D65">
        <w:t>,</w:t>
      </w:r>
      <w:r w:rsidRPr="004A2D65">
        <w:t xml:space="preserve"> shifts from gender to geography and reveals high heterogeneity in the distribution of </w:t>
      </w:r>
      <w:r w:rsidR="006D04EB" w:rsidRPr="004A2D65">
        <w:t>NCDs</w:t>
      </w:r>
      <w:r w:rsidRPr="004A2D65">
        <w:t xml:space="preserve"> across</w:t>
      </w:r>
      <w:r w:rsidR="00617BAF" w:rsidRPr="004A2D65">
        <w:t xml:space="preserve"> the sub</w:t>
      </w:r>
      <w:r w:rsidR="004B01F5" w:rsidRPr="004A2D65">
        <w:t>-</w:t>
      </w:r>
      <w:r w:rsidR="00617BAF" w:rsidRPr="004A2D65">
        <w:t xml:space="preserve">regions of </w:t>
      </w:r>
      <w:r w:rsidRPr="004A2D65">
        <w:t>Europe</w:t>
      </w:r>
      <w:r w:rsidR="00617BAF" w:rsidRPr="004A2D65">
        <w:t>an countries</w:t>
      </w:r>
      <w:r w:rsidRPr="004A2D65">
        <w:t xml:space="preserve">.  A key result from this paper goes against the “Nordic paradox” of large health inequalities in universalistic welfare states, finding instead the lowest levels of absolute and relative inequalities in </w:t>
      </w:r>
      <w:r w:rsidR="00515CB7" w:rsidRPr="004A2D65">
        <w:t>NCDs</w:t>
      </w:r>
      <w:r w:rsidRPr="004A2D65">
        <w:t xml:space="preserve"> in Denmark, Norway and Sweden.  As important, the extent of place-based </w:t>
      </w:r>
      <w:r w:rsidR="006A5F69" w:rsidRPr="004A2D65">
        <w:t>inequalities</w:t>
      </w:r>
      <w:r w:rsidRPr="004A2D65">
        <w:t xml:space="preserve"> itself varies substantially across European nations, and is especially large in Germany, a federation of states with substantial autonomy in the design of social and healthcare policy.</w:t>
      </w:r>
      <w:r w:rsidR="003F5493" w:rsidRPr="004A2D65">
        <w:t xml:space="preserve">  The </w:t>
      </w:r>
      <w:r w:rsidR="0065491F" w:rsidRPr="004A2D65">
        <w:t xml:space="preserve">fourth </w:t>
      </w:r>
      <w:r w:rsidR="003F5493" w:rsidRPr="004A2D65">
        <w:t>article</w:t>
      </w:r>
      <w:r w:rsidR="00387FD8" w:rsidRPr="004A2D65">
        <w:t>,</w:t>
      </w:r>
      <w:r w:rsidR="0065491F" w:rsidRPr="004A2D65">
        <w:t xml:space="preserve"> by McNamara</w:t>
      </w:r>
      <w:r w:rsidR="00321D43" w:rsidRPr="004A2D65">
        <w:t xml:space="preserve"> et al.</w:t>
      </w:r>
      <w:r w:rsidR="0065491F" w:rsidRPr="004A2D65">
        <w:fldChar w:fldCharType="begin"/>
      </w:r>
      <w:r w:rsidR="00404263">
        <w:instrText xml:space="preserve"> ADDIN EN.CITE &lt;EndNote&gt;&lt;Cite&gt;&lt;Author&gt;McNamara&lt;/Author&gt;&lt;Year&gt;2017&lt;/Year&gt;&lt;RecNum&gt;816&lt;/RecNum&gt;&lt;DisplayText&gt;&lt;style face="superscript"&gt;10&lt;/style&gt;&lt;/DisplayText&gt;&lt;record&gt;&lt;rec-number&gt;816&lt;/rec-number&gt;&lt;foreign-keys&gt;&lt;key app="EN" db-id="azx5pf05fsvt9kedzd5vpts6d5zdatteaww9" timestamp="1480020301"&gt;816&lt;/key&gt;&lt;/foreign-keys&gt;&lt;ref-type name="Journal Article"&gt;17&lt;/ref-type&gt;&lt;contributors&gt;&lt;authors&gt;&lt;author&gt;McNamara, L. C.&lt;/author&gt;&lt;author&gt;Balaj, M&lt;/author&gt;&lt;author&gt;Thomson, H. K.&lt;/author&gt;&lt;author&gt;Eikemo, T. A.&lt;/author&gt;&lt;author&gt;Bambra, C.&lt;/author&gt;&lt;/authors&gt;&lt;/contributors&gt;&lt;titles&gt;&lt;title&gt;The socioeconomic distribution of non-communicable diseases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65491F" w:rsidRPr="004A2D65">
        <w:fldChar w:fldCharType="separate"/>
      </w:r>
      <w:r w:rsidR="00404263" w:rsidRPr="00404263">
        <w:rPr>
          <w:noProof/>
          <w:vertAlign w:val="superscript"/>
        </w:rPr>
        <w:t>10</w:t>
      </w:r>
      <w:r w:rsidR="0065491F" w:rsidRPr="004A2D65">
        <w:fldChar w:fldCharType="end"/>
      </w:r>
      <w:r w:rsidR="00387FD8" w:rsidRPr="004A2D65">
        <w:t xml:space="preserve">, </w:t>
      </w:r>
      <w:r w:rsidR="003F5493" w:rsidRPr="004A2D65">
        <w:t xml:space="preserve">is the first to document, for several </w:t>
      </w:r>
      <w:r w:rsidR="006D04EB" w:rsidRPr="004A2D65">
        <w:t>NCDs</w:t>
      </w:r>
      <w:r w:rsidR="003F5493" w:rsidRPr="004A2D65">
        <w:t xml:space="preserve"> and representative samples of European populations, significant cross-national heterogeneity in education-based </w:t>
      </w:r>
      <w:r w:rsidR="006A5F69" w:rsidRPr="004A2D65">
        <w:t>inequalities</w:t>
      </w:r>
      <w:r w:rsidR="003F5493" w:rsidRPr="004A2D65">
        <w:t xml:space="preserve"> in the experience of </w:t>
      </w:r>
      <w:r w:rsidR="00E16B80" w:rsidRPr="004A2D65">
        <w:t>NCDs</w:t>
      </w:r>
      <w:r w:rsidR="003F5493" w:rsidRPr="004A2D65">
        <w:t>.</w:t>
      </w:r>
      <w:r w:rsidR="00863D14" w:rsidRPr="004A2D65">
        <w:t xml:space="preserve"> </w:t>
      </w:r>
      <w:r w:rsidR="00CD7844" w:rsidRPr="004A2D65">
        <w:t>For the same set of NCDs, along with self-rated health, t</w:t>
      </w:r>
      <w:r w:rsidR="00FB5C2A" w:rsidRPr="004A2D65">
        <w:t xml:space="preserve">he </w:t>
      </w:r>
      <w:r w:rsidR="00321D43" w:rsidRPr="004A2D65">
        <w:t>fifth article</w:t>
      </w:r>
      <w:r w:rsidR="00387FD8" w:rsidRPr="004A2D65">
        <w:t>,</w:t>
      </w:r>
      <w:r w:rsidR="00321D43" w:rsidRPr="004A2D65">
        <w:t xml:space="preserve"> </w:t>
      </w:r>
      <w:r w:rsidR="00B37F7C" w:rsidRPr="004A2D65">
        <w:t>by</w:t>
      </w:r>
      <w:r w:rsidR="00321D43" w:rsidRPr="004A2D65">
        <w:t xml:space="preserve"> Mc</w:t>
      </w:r>
      <w:r w:rsidR="00A55260" w:rsidRPr="004A2D65">
        <w:t>N</w:t>
      </w:r>
      <w:r w:rsidR="00321D43" w:rsidRPr="004A2D65">
        <w:t>amara et al</w:t>
      </w:r>
      <w:r w:rsidR="00331E8D">
        <w:t>.</w:t>
      </w:r>
      <w:r w:rsidR="00321D43" w:rsidRPr="004A2D65">
        <w:fldChar w:fldCharType="begin"/>
      </w:r>
      <w:r w:rsidR="00404263">
        <w:instrText xml:space="preserve"> ADDIN EN.CITE &lt;EndNote&gt;&lt;Cite&gt;&lt;Author&gt;McNamara&lt;/Author&gt;&lt;Year&gt;2017&lt;/Year&gt;&lt;RecNum&gt;817&lt;/RecNum&gt;&lt;DisplayText&gt;&lt;style face="superscript"&gt;11&lt;/style&gt;&lt;/DisplayText&gt;&lt;record&gt;&lt;rec-number&gt;817&lt;/rec-number&gt;&lt;foreign-keys&gt;&lt;key app="EN" db-id="azx5pf05fsvt9kedzd5vpts6d5zdatteaww9" timestamp="1480075044"&gt;817&lt;/key&gt;&lt;/foreign-keys&gt;&lt;ref-type name="Journal Article"&gt;17&lt;/ref-type&gt;&lt;contributors&gt;&lt;authors&gt;&lt;author&gt;McNamara, L. C.&lt;/author&gt;&lt;author&gt;Toch-Marquardt, M.&lt;/author&gt;&lt;author&gt;Balaj, M&lt;/author&gt;&lt;author&gt;Reibling, N&lt;/author&gt;&lt;author&gt;Eikemo, T. A.&lt;/author&gt;&lt;author&gt;Bambra, C.&lt;/author&gt;&lt;/authors&gt;&lt;/contributors&gt;&lt;titles&gt;&lt;title&gt;Occupational inequalities in self-rated health and non-communicable disease in different regions of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321D43" w:rsidRPr="004A2D65">
        <w:fldChar w:fldCharType="separate"/>
      </w:r>
      <w:r w:rsidR="00404263" w:rsidRPr="00404263">
        <w:rPr>
          <w:noProof/>
          <w:vertAlign w:val="superscript"/>
        </w:rPr>
        <w:t>11</w:t>
      </w:r>
      <w:r w:rsidR="00321D43" w:rsidRPr="004A2D65">
        <w:fldChar w:fldCharType="end"/>
      </w:r>
      <w:r w:rsidR="00FB5C2A" w:rsidRPr="004A2D65">
        <w:t xml:space="preserve"> </w:t>
      </w:r>
      <w:r w:rsidR="00387FD8" w:rsidRPr="004A2D65">
        <w:t xml:space="preserve">, </w:t>
      </w:r>
      <w:r w:rsidR="00FB5C2A" w:rsidRPr="004A2D65">
        <w:t xml:space="preserve">documents significant regional heterogeneity in occupation-based </w:t>
      </w:r>
      <w:r w:rsidR="006A5F69" w:rsidRPr="004A2D65">
        <w:t>inequalities</w:t>
      </w:r>
      <w:r w:rsidR="00FB5C2A" w:rsidRPr="004A2D65">
        <w:t xml:space="preserve">. </w:t>
      </w:r>
      <w:r w:rsidR="00E91782" w:rsidRPr="004A2D65">
        <w:t xml:space="preserve"> </w:t>
      </w:r>
      <w:r w:rsidR="00515CB7" w:rsidRPr="004A2D65">
        <w:t>This work finds</w:t>
      </w:r>
      <w:r w:rsidR="00CD7844" w:rsidRPr="004A2D65">
        <w:t xml:space="preserve"> </w:t>
      </w:r>
      <w:r w:rsidR="00C76A14" w:rsidRPr="004A2D65">
        <w:t xml:space="preserve">different patterns of </w:t>
      </w:r>
      <w:r w:rsidR="006A5F69" w:rsidRPr="004A2D65">
        <w:t>inequalities</w:t>
      </w:r>
      <w:r w:rsidR="00515CB7" w:rsidRPr="004A2D65">
        <w:t xml:space="preserve"> between </w:t>
      </w:r>
      <w:r w:rsidR="00D5141A" w:rsidRPr="004A2D65">
        <w:t>N</w:t>
      </w:r>
      <w:r w:rsidR="004B01F5" w:rsidRPr="004A2D65">
        <w:t>orthern,</w:t>
      </w:r>
      <w:r w:rsidR="00D5141A" w:rsidRPr="004A2D65">
        <w:t xml:space="preserve"> North-Western,</w:t>
      </w:r>
      <w:r w:rsidR="004B01F5" w:rsidRPr="004A2D65">
        <w:t xml:space="preserve"> </w:t>
      </w:r>
      <w:r w:rsidR="00D5141A" w:rsidRPr="004A2D65">
        <w:t>S</w:t>
      </w:r>
      <w:r w:rsidR="004B01F5" w:rsidRPr="004A2D65">
        <w:t xml:space="preserve">outhern, </w:t>
      </w:r>
      <w:r w:rsidR="00D5141A" w:rsidRPr="004A2D65">
        <w:t>E</w:t>
      </w:r>
      <w:r w:rsidR="004B01F5" w:rsidRPr="004A2D65">
        <w:t xml:space="preserve">astern and </w:t>
      </w:r>
      <w:r w:rsidR="00D5141A" w:rsidRPr="004A2D65">
        <w:t>W</w:t>
      </w:r>
      <w:r w:rsidR="004B01F5" w:rsidRPr="004A2D65">
        <w:t xml:space="preserve">estern </w:t>
      </w:r>
      <w:r w:rsidR="00515CB7" w:rsidRPr="004A2D65">
        <w:t xml:space="preserve">European regions </w:t>
      </w:r>
      <w:r w:rsidR="004D1A99" w:rsidRPr="004A2D65">
        <w:t>for different health outcomes</w:t>
      </w:r>
      <w:r w:rsidR="00515CB7" w:rsidRPr="004A2D65">
        <w:t xml:space="preserve">. </w:t>
      </w:r>
      <w:r w:rsidR="00C76A14" w:rsidRPr="004A2D65">
        <w:t xml:space="preserve">For example, </w:t>
      </w:r>
      <w:r w:rsidR="00D5141A" w:rsidRPr="004A2D65">
        <w:t>inequalities</w:t>
      </w:r>
      <w:r w:rsidR="00D5141A" w:rsidRPr="0058330B">
        <w:t xml:space="preserve"> </w:t>
      </w:r>
      <w:r w:rsidR="00515CB7" w:rsidRPr="0058330B">
        <w:t>in some NCD</w:t>
      </w:r>
      <w:r w:rsidR="00A55260" w:rsidRPr="0058330B">
        <w:t>s</w:t>
      </w:r>
      <w:r w:rsidR="00515CB7" w:rsidRPr="0058330B">
        <w:t xml:space="preserve"> were found to be the largest in the Northern region, suggesting further evidence of a Nordic paradox</w:t>
      </w:r>
      <w:r w:rsidR="00B37F7C" w:rsidRPr="0058330B">
        <w:t xml:space="preserve">. </w:t>
      </w:r>
      <w:r w:rsidR="004D1A99" w:rsidRPr="0058330B">
        <w:t>However, results do not align completely with previous work which finds smaller health inequalities in Southern Europe</w:t>
      </w:r>
      <w:r w:rsidR="0058330B">
        <w:t xml:space="preserve">. </w:t>
      </w:r>
      <w:r w:rsidR="0058330B" w:rsidRPr="0058330B">
        <w:t xml:space="preserve"> In comparing educational and occupational inequalities across countries and regions</w:t>
      </w:r>
      <w:r w:rsidR="001C319A">
        <w:t>,</w:t>
      </w:r>
      <w:r w:rsidR="0058330B" w:rsidRPr="0058330B">
        <w:t xml:space="preserve"> the observed magnitude and variation of inequalities was </w:t>
      </w:r>
      <w:r w:rsidR="00AA756E">
        <w:t xml:space="preserve">found to be </w:t>
      </w:r>
      <w:r w:rsidR="0058330B" w:rsidRPr="0058330B">
        <w:t>depende</w:t>
      </w:r>
      <w:r w:rsidR="0058330B">
        <w:t>nt</w:t>
      </w:r>
      <w:r w:rsidR="0058330B" w:rsidRPr="0058330B">
        <w:t xml:space="preserve"> on the social marker applied. </w:t>
      </w:r>
      <w:r w:rsidR="0058330B" w:rsidRPr="004A2D65">
        <w:t>The s</w:t>
      </w:r>
      <w:r w:rsidR="00B113D0">
        <w:t>ixth</w:t>
      </w:r>
      <w:r w:rsidR="0058330B" w:rsidRPr="004A2D65">
        <w:t xml:space="preserve"> article,  by  Toch-Marquardt</w:t>
      </w:r>
      <w:r w:rsidR="0058330B" w:rsidRPr="004A2D65">
        <w:fldChar w:fldCharType="begin"/>
      </w:r>
      <w:r w:rsidR="0058330B">
        <w:instrText xml:space="preserve"> ADDIN EN.CITE &lt;EndNote&gt;&lt;Cite&gt;&lt;Author&gt;Toch-Marquardt&lt;/Author&gt;&lt;Year&gt;2017&lt;/Year&gt;&lt;RecNum&gt;818&lt;/RecNum&gt;&lt;DisplayText&gt;&lt;style face="superscript"&gt;12&lt;/style&gt;&lt;/DisplayText&gt;&lt;record&gt;&lt;rec-number&gt;818&lt;/rec-number&gt;&lt;foreign-keys&gt;&lt;key app="EN" db-id="azx5pf05fsvt9kedzd5vpts6d5zdatteaww9" timestamp="1480076764"&gt;818&lt;/key&gt;&lt;/foreign-keys&gt;&lt;ref-type name="Journal Article"&gt;17&lt;/ref-type&gt;&lt;contributors&gt;&lt;authors&gt;&lt;author&gt;Toch-Marquardt, M.&lt;/author&gt;&lt;/authors&gt;&lt;/contributors&gt;&lt;titles&gt;&lt;title&gt;Does the pattern of occupational class inequalities in self-reported health depend on the choice of survey? A comparative analysis of four surveys and 35 European countries.&lt;/title&gt;&lt;secondary-title&gt;European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58330B" w:rsidRPr="004A2D65">
        <w:fldChar w:fldCharType="separate"/>
      </w:r>
      <w:r w:rsidR="0058330B" w:rsidRPr="0058330B">
        <w:rPr>
          <w:noProof/>
          <w:vertAlign w:val="superscript"/>
        </w:rPr>
        <w:t>12</w:t>
      </w:r>
      <w:r w:rsidR="0058330B" w:rsidRPr="004A2D65">
        <w:fldChar w:fldCharType="end"/>
      </w:r>
      <w:r w:rsidR="0058330B" w:rsidRPr="004A2D65">
        <w:t>, demonstrates that the magnitude of occupational health inequalities varies not only by the gender of the respondent, but also by the source of survey data.</w:t>
      </w:r>
      <w:r w:rsidR="0058330B">
        <w:t xml:space="preserve"> </w:t>
      </w:r>
      <w:r w:rsidR="00B113D0">
        <w:t xml:space="preserve"> These variations should be taken into account in comparative analysis of inequalities in health.</w:t>
      </w:r>
      <w:r w:rsidR="001C319A">
        <w:t xml:space="preserve"> </w:t>
      </w:r>
      <w:r w:rsidR="00E91782" w:rsidRPr="004A2D65">
        <w:t xml:space="preserve">The </w:t>
      </w:r>
      <w:r w:rsidR="00B113D0" w:rsidRPr="004A2D65">
        <w:t>s</w:t>
      </w:r>
      <w:r w:rsidR="00B113D0">
        <w:t>eventh</w:t>
      </w:r>
      <w:r w:rsidR="00B113D0" w:rsidRPr="004A2D65">
        <w:t xml:space="preserve"> </w:t>
      </w:r>
      <w:r w:rsidR="00E91782" w:rsidRPr="004A2D65">
        <w:t>article</w:t>
      </w:r>
      <w:r w:rsidR="00387FD8" w:rsidRPr="004A2D65">
        <w:t>,</w:t>
      </w:r>
      <w:r w:rsidR="00B37F7C" w:rsidRPr="004A2D65">
        <w:t xml:space="preserve"> by La Parra et al</w:t>
      </w:r>
      <w:r w:rsidR="00B038E2" w:rsidRPr="004A2D65">
        <w:fldChar w:fldCharType="begin"/>
      </w:r>
      <w:r w:rsidR="0058330B">
        <w:instrText xml:space="preserve"> ADDIN EN.CITE &lt;EndNote&gt;&lt;Cite&gt;&lt;Author&gt;La Parra-Casado&lt;/Author&gt;&lt;Year&gt;2017&lt;/Year&gt;&lt;RecNum&gt;827&lt;/RecNum&gt;&lt;DisplayText&gt;&lt;style face="superscript"&gt;13&lt;/style&gt;&lt;/DisplayText&gt;&lt;record&gt;&lt;rec-number&gt;827&lt;/rec-number&gt;&lt;foreign-keys&gt;&lt;key app="EN" db-id="azx5pf05fsvt9kedzd5vpts6d5zdatteaww9" timestamp="1480080667"&gt;827&lt;/key&gt;&lt;/foreign-keys&gt;&lt;ref-type name="Journal Article"&gt;17&lt;/ref-type&gt;&lt;contributors&gt;&lt;authors&gt;&lt;author&gt;La Parra-Casado, D.&lt;/author&gt;&lt;author&gt;Stornes, P.&lt;/author&gt;&lt;author&gt;Solheim, E. F.&lt;/author&gt;&lt;/authors&gt;&lt;/contributors&gt;&lt;titles&gt;&lt;title&gt;Self-rated health and wellbeing among the working-age immigrant population in Western Europe :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B038E2" w:rsidRPr="004A2D65">
        <w:fldChar w:fldCharType="separate"/>
      </w:r>
      <w:r w:rsidR="0058330B" w:rsidRPr="0058330B">
        <w:rPr>
          <w:noProof/>
          <w:vertAlign w:val="superscript"/>
        </w:rPr>
        <w:t>13</w:t>
      </w:r>
      <w:r w:rsidR="00B038E2" w:rsidRPr="004A2D65">
        <w:fldChar w:fldCharType="end"/>
      </w:r>
      <w:r w:rsidR="00E91782" w:rsidRPr="004A2D65">
        <w:t xml:space="preserve">, </w:t>
      </w:r>
      <w:r w:rsidR="00387FD8" w:rsidRPr="004A2D65">
        <w:t xml:space="preserve">is </w:t>
      </w:r>
      <w:r w:rsidR="00617BAF" w:rsidRPr="004A2D65">
        <w:t xml:space="preserve">one of the </w:t>
      </w:r>
      <w:r w:rsidR="00387FD8" w:rsidRPr="004A2D65">
        <w:t xml:space="preserve">first </w:t>
      </w:r>
      <w:r w:rsidR="00617BAF" w:rsidRPr="004A2D65">
        <w:t>to examine migrant health across Europe</w:t>
      </w:r>
      <w:r w:rsidR="00387FD8" w:rsidRPr="004A2D65">
        <w:t xml:space="preserve"> and </w:t>
      </w:r>
      <w:r w:rsidR="00B37F7C" w:rsidRPr="004A2D65">
        <w:t>find</w:t>
      </w:r>
      <w:r w:rsidR="00387FD8" w:rsidRPr="004A2D65">
        <w:t>s</w:t>
      </w:r>
      <w:r w:rsidR="00B37F7C" w:rsidRPr="004A2D65">
        <w:t xml:space="preserve"> strong support for </w:t>
      </w:r>
      <w:r w:rsidR="00387FD8" w:rsidRPr="004A2D65">
        <w:t>a</w:t>
      </w:r>
      <w:r w:rsidR="00A55260" w:rsidRPr="004A2D65">
        <w:t xml:space="preserve"> </w:t>
      </w:r>
      <w:r w:rsidR="00E91782" w:rsidRPr="004A2D65">
        <w:t>“healthy migrant effect.”</w:t>
      </w:r>
      <w:r w:rsidR="00B37F7C" w:rsidRPr="004A2D65">
        <w:t xml:space="preserve"> </w:t>
      </w:r>
      <w:r w:rsidR="002E2ABA" w:rsidRPr="004A2D65">
        <w:t>However, this health advantage was found to deteriorate rapidly among new migrants</w:t>
      </w:r>
      <w:r w:rsidR="00387FD8" w:rsidRPr="004A2D65">
        <w:t xml:space="preserve">, </w:t>
      </w:r>
      <w:r w:rsidR="002E2ABA" w:rsidRPr="004A2D65">
        <w:t>calling into question the effectiveness of past social inclusion</w:t>
      </w:r>
      <w:r w:rsidR="00B37F7C" w:rsidRPr="004A2D65">
        <w:t xml:space="preserve"> </w:t>
      </w:r>
      <w:r w:rsidR="002E2ABA" w:rsidRPr="004A2D65">
        <w:t>policies in Western Europe</w:t>
      </w:r>
      <w:r w:rsidR="00570DF6" w:rsidRPr="004A2D65">
        <w:t xml:space="preserve"> The </w:t>
      </w:r>
      <w:r w:rsidR="00C109FB" w:rsidRPr="004A2D65">
        <w:t>eighth</w:t>
      </w:r>
      <w:r w:rsidR="00570DF6" w:rsidRPr="004A2D65">
        <w:t xml:space="preserve"> article</w:t>
      </w:r>
      <w:r w:rsidR="002E2ABA" w:rsidRPr="004A2D65">
        <w:t xml:space="preserve"> by Reibling et al.</w:t>
      </w:r>
      <w:r w:rsidR="002E2ABA" w:rsidRPr="004A2D65">
        <w:fldChar w:fldCharType="begin"/>
      </w:r>
      <w:r w:rsidR="00404263">
        <w:instrText xml:space="preserve"> ADDIN EN.CITE &lt;EndNote&gt;&lt;Cite&gt;&lt;Author&gt;Reibling&lt;/Author&gt;&lt;Year&gt;2017&lt;/Year&gt;&lt;RecNum&gt;819&lt;/RecNum&gt;&lt;DisplayText&gt;&lt;style face="superscript"&gt;14&lt;/style&gt;&lt;/DisplayText&gt;&lt;record&gt;&lt;rec-number&gt;819&lt;/rec-number&gt;&lt;foreign-keys&gt;&lt;key app="EN" db-id="azx5pf05fsvt9kedzd5vpts6d5zdatteaww9" timestamp="1480076964"&gt;819&lt;/key&gt;&lt;/foreign-keys&gt;&lt;ref-type name="Journal Article"&gt;17&lt;/ref-type&gt;&lt;contributors&gt;&lt;authors&gt;&lt;author&gt;Reibling, N&lt;/author&gt;&lt;author&gt;Beckfield, J.&lt;/author&gt;&lt;author&gt;Huijts, T.&lt;/author&gt;&lt;author&gt;Schmidt-Catran, A.&lt;/author&gt;&lt;author&gt;Thomson, K. H.&lt;/author&gt;&lt;author&gt;Wendt, C.&lt;/author&gt;&lt;/authors&gt;&lt;/contributors&gt;&lt;titles&gt;&lt;title&gt;Depressed during the Depression: Has the Economic Crisis Affected Mental Health Inequalities in Europe? Findings from the European Social Survey (2014) Special Module on the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2E2ABA" w:rsidRPr="004A2D65">
        <w:fldChar w:fldCharType="separate"/>
      </w:r>
      <w:r w:rsidR="00404263" w:rsidRPr="00404263">
        <w:rPr>
          <w:noProof/>
          <w:vertAlign w:val="superscript"/>
        </w:rPr>
        <w:t>14</w:t>
      </w:r>
      <w:r w:rsidR="002E2ABA" w:rsidRPr="004A2D65">
        <w:fldChar w:fldCharType="end"/>
      </w:r>
      <w:r w:rsidR="00570DF6" w:rsidRPr="004A2D65">
        <w:t xml:space="preserve">, finds that while depressive feelings have decreased </w:t>
      </w:r>
      <w:r w:rsidR="00C76A14" w:rsidRPr="004A2D65">
        <w:t>overall bet</w:t>
      </w:r>
      <w:r w:rsidR="00570DF6" w:rsidRPr="004A2D65">
        <w:t xml:space="preserve">ween 2006 and 2014, patterns of health </w:t>
      </w:r>
      <w:r w:rsidR="00B20403" w:rsidRPr="004A2D65">
        <w:t xml:space="preserve">inequalities </w:t>
      </w:r>
      <w:r w:rsidR="00570DF6" w:rsidRPr="004A2D65">
        <w:t xml:space="preserve">have changed in diverse ways with respect to different social groups. For example, while mental health </w:t>
      </w:r>
      <w:r w:rsidR="00570DF6" w:rsidRPr="004A2D65">
        <w:lastRenderedPageBreak/>
        <w:t xml:space="preserve">differences between the employed and the unemployed/precariously employed were found to have remained stable between 2006 and 2014, differences between the employed and the inactive were found to have risen. </w:t>
      </w:r>
    </w:p>
    <w:p w14:paraId="36B7714C" w14:textId="22FAC060" w:rsidR="00FB6D17" w:rsidRPr="00C55689" w:rsidRDefault="007A35DC" w:rsidP="00021284">
      <w:pPr>
        <w:rPr>
          <w:rFonts w:cs="Times New Roman"/>
        </w:rPr>
      </w:pPr>
      <w:r w:rsidRPr="004A2D65">
        <w:tab/>
      </w:r>
      <w:r w:rsidR="005007FB" w:rsidRPr="009D322A">
        <w:t xml:space="preserve">The second theme across articles </w:t>
      </w:r>
      <w:r w:rsidR="00D96113" w:rsidRPr="009D322A">
        <w:t xml:space="preserve">relates to the extent to which health determinants both vary across populations and in their contribution to health </w:t>
      </w:r>
      <w:r w:rsidR="006A5F69" w:rsidRPr="009D322A">
        <w:t>inequalities</w:t>
      </w:r>
      <w:r w:rsidR="00D96113" w:rsidRPr="009D322A">
        <w:t>.</w:t>
      </w:r>
      <w:r w:rsidR="007B6068" w:rsidRPr="009D322A">
        <w:t xml:space="preserve"> H</w:t>
      </w:r>
      <w:r w:rsidR="00D96113" w:rsidRPr="009D322A">
        <w:t xml:space="preserve">ealth determinants examined across </w:t>
      </w:r>
      <w:r w:rsidR="00C76A14" w:rsidRPr="009D322A">
        <w:t xml:space="preserve">the </w:t>
      </w:r>
      <w:r w:rsidR="00D96113" w:rsidRPr="009D322A">
        <w:t>articles</w:t>
      </w:r>
      <w:r w:rsidR="00C76A14" w:rsidRPr="009D322A">
        <w:t xml:space="preserve"> included in this supplement</w:t>
      </w:r>
      <w:r w:rsidR="00D96113" w:rsidRPr="009D322A">
        <w:t xml:space="preserve"> relate to health behaviors, healthcare, and broader social determinants. In terms of health behaviors, t</w:t>
      </w:r>
      <w:r w:rsidRPr="009D322A">
        <w:t xml:space="preserve">he </w:t>
      </w:r>
      <w:r w:rsidR="00C109FB" w:rsidRPr="009D322A">
        <w:t xml:space="preserve">ninth </w:t>
      </w:r>
      <w:r w:rsidRPr="009D322A">
        <w:t>article</w:t>
      </w:r>
      <w:r w:rsidR="00387FD8" w:rsidRPr="009D322A">
        <w:t>,</w:t>
      </w:r>
      <w:r w:rsidR="007D1F29" w:rsidRPr="009D322A">
        <w:t xml:space="preserve"> by Huijts et al.</w:t>
      </w:r>
      <w:r w:rsidR="007D1F29" w:rsidRPr="009D322A">
        <w:fldChar w:fldCharType="begin"/>
      </w:r>
      <w:r w:rsidR="00404263" w:rsidRPr="009D322A">
        <w:instrText xml:space="preserve"> ADDIN EN.CITE &lt;EndNote&gt;&lt;Cite&gt;&lt;Author&gt;Huijts&lt;/Author&gt;&lt;Year&gt;2017&lt;/Year&gt;&lt;RecNum&gt;810&lt;/RecNum&gt;&lt;DisplayText&gt;&lt;style face="superscript"&gt;15&lt;/style&gt;&lt;/DisplayText&gt;&lt;record&gt;&lt;rec-number&gt;810&lt;/rec-number&gt;&lt;foreign-keys&gt;&lt;key app="EN" db-id="azx5pf05fsvt9kedzd5vpts6d5zdatteaww9" timestamp="1479808692"&gt;810&lt;/key&gt;&lt;/foreign-keys&gt;&lt;ref-type name="Journal Article"&gt;17&lt;/ref-type&gt;&lt;contributors&gt;&lt;authors&gt;&lt;author&gt;Huijts, T.&lt;/author&gt;&lt;author&gt;Stornes, P.&lt;/author&gt;&lt;author&gt;Eikemo, T. A.&lt;/author&gt;&lt;author&gt;Bambra, C.&lt;/author&gt;&lt;author&gt;Consortium HiNews &lt;/author&gt;&lt;/authors&gt;&lt;/contributors&gt;&lt;titles&gt;&lt;title&gt;The social and behavioural determinants of health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7D1F29" w:rsidRPr="009D322A">
        <w:fldChar w:fldCharType="separate"/>
      </w:r>
      <w:r w:rsidR="00404263" w:rsidRPr="009D322A">
        <w:rPr>
          <w:noProof/>
          <w:vertAlign w:val="superscript"/>
        </w:rPr>
        <w:t>15</w:t>
      </w:r>
      <w:r w:rsidR="007D1F29" w:rsidRPr="009D322A">
        <w:fldChar w:fldCharType="end"/>
      </w:r>
      <w:r w:rsidR="00387FD8" w:rsidRPr="009D322A">
        <w:t xml:space="preserve">, </w:t>
      </w:r>
      <w:r w:rsidRPr="009D322A">
        <w:t>demonstrates that although there are strong relationships between health behaviors and measures of physical and mental health in representative samples of several European nations, the patterns of exposure to these behavioral risks vary substantially cross-nationally, as do their effects.  This article thus casts doubt on the argument that the “health penalty” of unhealthy behavior is a biological constant, and instead shows how such penalties are institutionally patterned</w:t>
      </w:r>
      <w:r w:rsidR="00FF2ED2" w:rsidRPr="009D322A">
        <w:t xml:space="preserve"> (for more on cross-national variation in “prevalences and penalties,” see</w:t>
      </w:r>
      <w:r w:rsidR="00B113D0" w:rsidRPr="009D322A">
        <w:fldChar w:fldCharType="begin"/>
      </w:r>
      <w:r w:rsidR="009D322A" w:rsidRPr="009D322A">
        <w:instrText xml:space="preserve"> ADDIN EN.CITE &lt;EndNote&gt;&lt;Cite&gt;&lt;Author&gt;Brady&lt;/Author&gt;&lt;Year&gt;2014&lt;/Year&gt;&lt;RecNum&gt;835&lt;/RecNum&gt;&lt;DisplayText&gt;&lt;style face="superscript"&gt;16&lt;/style&gt;&lt;/DisplayText&gt;&lt;record&gt;&lt;rec-number&gt;835&lt;/rec-number&gt;&lt;foreign-keys&gt;&lt;key app="EN" db-id="azx5pf05fsvt9kedzd5vpts6d5zdatteaww9" timestamp="1481207231"&gt;835&lt;/key&gt;&lt;/foreign-keys&gt;&lt;ref-type name="Journal Article"&gt;17&lt;/ref-type&gt;&lt;contributors&gt;&lt;authors&gt;&lt;author&gt;Brady, D.&lt;/author&gt;&lt;author&gt;Hübgen, S.&lt;/author&gt;&lt;author&gt;Finnigan, R.&lt;/author&gt;&lt;/authors&gt;&lt;/contributors&gt;&lt;titles&gt;&lt;title&gt;Rethinking the Risks of Poverty: Prevalences and Penalties in Comparative Perspective&lt;/title&gt;&lt;/titles&gt;&lt;volume&gt;Harvard Kennedy School&lt;/volume&gt;&lt;dates&gt;&lt;year&gt;2014&lt;/year&gt;&lt;/dates&gt;&lt;work-type&gt;Inequality Seminar&lt;/work-type&gt;&lt;urls&gt;&lt;/urls&gt;&lt;/record&gt;&lt;/Cite&gt;&lt;Cite&gt;&lt;Author&gt;Brady&lt;/Author&gt;&lt;Year&gt;2014&lt;/Year&gt;&lt;RecNum&gt;835&lt;/RecNum&gt;&lt;record&gt;&lt;rec-number&gt;835&lt;/rec-number&gt;&lt;foreign-keys&gt;&lt;key app="EN" db-id="azx5pf05fsvt9kedzd5vpts6d5zdatteaww9" timestamp="1481207231"&gt;835&lt;/key&gt;&lt;/foreign-keys&gt;&lt;ref-type name="Journal Article"&gt;17&lt;/ref-type&gt;&lt;contributors&gt;&lt;authors&gt;&lt;author&gt;Brady, D.&lt;/author&gt;&lt;author&gt;Hübgen, S.&lt;/author&gt;&lt;author&gt;Finnigan, R.&lt;/author&gt;&lt;/authors&gt;&lt;/contributors&gt;&lt;titles&gt;&lt;title&gt;Rethinking the Risks of Poverty: Prevalences and Penalties in Comparative Perspective&lt;/title&gt;&lt;/titles&gt;&lt;volume&gt;Harvard Kennedy School&lt;/volume&gt;&lt;dates&gt;&lt;year&gt;2014&lt;/year&gt;&lt;/dates&gt;&lt;work-type&gt;Inequality Seminar&lt;/work-type&gt;&lt;urls&gt;&lt;/urls&gt;&lt;/record&gt;&lt;/Cite&gt;&lt;/EndNote&gt;</w:instrText>
      </w:r>
      <w:r w:rsidR="00B113D0" w:rsidRPr="009D322A">
        <w:fldChar w:fldCharType="separate"/>
      </w:r>
      <w:r w:rsidR="009D322A" w:rsidRPr="009D322A">
        <w:rPr>
          <w:noProof/>
          <w:vertAlign w:val="superscript"/>
        </w:rPr>
        <w:t>16</w:t>
      </w:r>
      <w:r w:rsidR="00B113D0" w:rsidRPr="009D322A">
        <w:fldChar w:fldCharType="end"/>
      </w:r>
      <w:r w:rsidR="00FF2ED2" w:rsidRPr="009D322A">
        <w:t>)</w:t>
      </w:r>
      <w:r w:rsidRPr="009D322A">
        <w:t xml:space="preserve">.  Thus, the mediating role of health behaviors in translating socioeconomic status inequality into health </w:t>
      </w:r>
      <w:r w:rsidR="006A5F69" w:rsidRPr="009D322A">
        <w:t>inequalit</w:t>
      </w:r>
      <w:r w:rsidR="007D1F29" w:rsidRPr="009D322A">
        <w:t>y</w:t>
      </w:r>
      <w:r w:rsidRPr="009D322A">
        <w:t xml:space="preserve"> is a structural variable, not a biological constant.</w:t>
      </w:r>
      <w:r w:rsidR="00021284" w:rsidRPr="009D322A">
        <w:t xml:space="preserve">  </w:t>
      </w:r>
      <w:r w:rsidR="005007FB" w:rsidRPr="009D322A">
        <w:t xml:space="preserve">Likewise, the </w:t>
      </w:r>
      <w:r w:rsidR="00C109FB" w:rsidRPr="009D322A">
        <w:t>tenth</w:t>
      </w:r>
      <w:r w:rsidR="007D1F29" w:rsidRPr="009D322A">
        <w:t xml:space="preserve"> </w:t>
      </w:r>
      <w:r w:rsidR="005007FB" w:rsidRPr="009D322A">
        <w:t>article</w:t>
      </w:r>
      <w:r w:rsidR="00387FD8" w:rsidRPr="009D322A">
        <w:t>,</w:t>
      </w:r>
      <w:r w:rsidR="007D1F29" w:rsidRPr="009D322A">
        <w:t xml:space="preserve"> by Huijts et al.</w:t>
      </w:r>
      <w:r w:rsidR="007D1F29" w:rsidRPr="009D322A">
        <w:fldChar w:fldCharType="begin"/>
      </w:r>
      <w:r w:rsidR="00B113D0" w:rsidRPr="009D322A">
        <w:instrText xml:space="preserve"> ADDIN EN.CITE &lt;EndNote&gt;&lt;Cite&gt;&lt;Author&gt;Huijts&lt;/Author&gt;&lt;Year&gt;2017&lt;/Year&gt;&lt;RecNum&gt;820&lt;/RecNum&gt;&lt;DisplayText&gt;&lt;style face="superscript"&gt;17&lt;/style&gt;&lt;/DisplayText&gt;&lt;record&gt;&lt;rec-number&gt;820&lt;/rec-number&gt;&lt;foreign-keys&gt;&lt;key app="EN" db-id="azx5pf05fsvt9kedzd5vpts6d5zdatteaww9" timestamp="1480077593"&gt;820&lt;/key&gt;&lt;/foreign-keys&gt;&lt;ref-type name="Journal Article"&gt;17&lt;/ref-type&gt;&lt;contributors&gt;&lt;authors&gt;&lt;author&gt;Huijts, T.&lt;/author&gt;&lt;author&gt;Gkiouleka, A.&lt;/author&gt;&lt;author&gt;Reibling, N&lt;/author&gt;&lt;author&gt;Thomson, K. H.&lt;/author&gt;&lt;author&gt;Eikemo, T. A.&lt;/author&gt;&lt;author&gt;Bambra, C.&lt;/author&gt;&lt;/authors&gt;&lt;/contributors&gt;&lt;titles&gt;&lt;title&gt;Educational inequalities in risky health behaviours in 21 European countries: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7D1F29" w:rsidRPr="009D322A">
        <w:fldChar w:fldCharType="separate"/>
      </w:r>
      <w:r w:rsidR="00B113D0" w:rsidRPr="009D322A">
        <w:rPr>
          <w:noProof/>
          <w:vertAlign w:val="superscript"/>
        </w:rPr>
        <w:t>17</w:t>
      </w:r>
      <w:r w:rsidR="007D1F29" w:rsidRPr="009D322A">
        <w:fldChar w:fldCharType="end"/>
      </w:r>
      <w:r w:rsidR="005007FB" w:rsidRPr="009D322A">
        <w:t xml:space="preserve">, examines engagement in risky behavior – measured as excessive alcohol consumption, smoking, and avoiding fruits and vegetables – </w:t>
      </w:r>
      <w:r w:rsidR="00D5141A" w:rsidRPr="009D322A">
        <w:t xml:space="preserve">and </w:t>
      </w:r>
      <w:r w:rsidR="007D1F29" w:rsidRPr="009D322A">
        <w:t>find</w:t>
      </w:r>
      <w:r w:rsidR="00D5141A" w:rsidRPr="009D322A">
        <w:t>s</w:t>
      </w:r>
      <w:r w:rsidR="007D1F29" w:rsidRPr="009D322A">
        <w:t xml:space="preserve"> that</w:t>
      </w:r>
      <w:r w:rsidR="00AC5B37" w:rsidRPr="009D322A">
        <w:t xml:space="preserve"> </w:t>
      </w:r>
      <w:r w:rsidR="005007FB" w:rsidRPr="009D322A">
        <w:t xml:space="preserve">better-educated people </w:t>
      </w:r>
      <w:r w:rsidR="007D1F29" w:rsidRPr="009D322A">
        <w:t xml:space="preserve">adhere to a healthier lifestyle </w:t>
      </w:r>
      <w:r w:rsidR="005007FB" w:rsidRPr="009D322A">
        <w:t>than less-educated people</w:t>
      </w:r>
      <w:r w:rsidR="007D1F29" w:rsidRPr="009D322A">
        <w:t>, with</w:t>
      </w:r>
      <w:r w:rsidR="00387FD8" w:rsidRPr="009D322A">
        <w:t xml:space="preserve"> the</w:t>
      </w:r>
      <w:r w:rsidR="007D1F29" w:rsidRPr="009D322A">
        <w:t xml:space="preserve"> exception of alcohol consumption</w:t>
      </w:r>
      <w:r w:rsidR="005007FB" w:rsidRPr="009D322A">
        <w:t xml:space="preserve">.  Once again the results cast serious doubt on the argument that risky health behavior is a constant and universal mediator between socioeconomic status inequality and health </w:t>
      </w:r>
      <w:r w:rsidR="006A5F69" w:rsidRPr="009D322A">
        <w:t>inequalities</w:t>
      </w:r>
      <w:r w:rsidR="005007FB" w:rsidRPr="009D322A">
        <w:t xml:space="preserve">.  Instead, the results show substantial cross-national variation in not only the prevalence of risky behavior, but also </w:t>
      </w:r>
      <w:r w:rsidR="004D1A99" w:rsidRPr="00C55689">
        <w:rPr>
          <w:rFonts w:eastAsia="Times New Roman" w:cs="Times New Roman"/>
        </w:rPr>
        <w:t>in the extent to which educational groups differ in their risky health behavior.</w:t>
      </w:r>
    </w:p>
    <w:p w14:paraId="24815AE5" w14:textId="3959C4CC" w:rsidR="005D0F8D" w:rsidRPr="00C55689" w:rsidRDefault="00D96113" w:rsidP="00DE0BA3">
      <w:pPr>
        <w:rPr>
          <w:rFonts w:cs="Times New Roman"/>
        </w:rPr>
      </w:pPr>
      <w:r w:rsidRPr="00C55689">
        <w:rPr>
          <w:rFonts w:cs="Times New Roman"/>
        </w:rPr>
        <w:tab/>
      </w:r>
      <w:r w:rsidR="005D0F8D" w:rsidRPr="00C55689">
        <w:rPr>
          <w:rFonts w:eastAsia="Times New Roman" w:cs="Times New Roman"/>
        </w:rPr>
        <w:t>A key result from articles examining determinants related to healthcare is that</w:t>
      </w:r>
    </w:p>
    <w:p w14:paraId="3CA2CF02" w14:textId="4FEA2B76" w:rsidR="005559E3" w:rsidRPr="009D322A" w:rsidRDefault="00DE0BA3" w:rsidP="00E629F6">
      <w:pPr>
        <w:rPr>
          <w:lang w:val="en-GB" w:eastAsia="x-none"/>
        </w:rPr>
      </w:pPr>
      <w:r w:rsidRPr="00C55689">
        <w:rPr>
          <w:rFonts w:eastAsia="Times New Roman" w:cs="Times New Roman"/>
          <w:lang w:val="en-GB"/>
        </w:rPr>
        <w:t>even though health care coverage is universal in many European welfare states,</w:t>
      </w:r>
      <w:r w:rsidR="005D0F8D" w:rsidRPr="00C55689">
        <w:rPr>
          <w:rFonts w:eastAsia="Times New Roman" w:cs="Times New Roman"/>
          <w:lang w:val="en-GB"/>
        </w:rPr>
        <w:t xml:space="preserve"> </w:t>
      </w:r>
      <w:r w:rsidR="004B01F5" w:rsidRPr="00C55689">
        <w:rPr>
          <w:rFonts w:eastAsia="Times New Roman" w:cs="Times New Roman"/>
          <w:lang w:val="en-GB"/>
        </w:rPr>
        <w:t xml:space="preserve">the </w:t>
      </w:r>
      <w:r w:rsidR="005D0F8D" w:rsidRPr="00C55689">
        <w:rPr>
          <w:rFonts w:eastAsia="Times New Roman" w:cs="Times New Roman"/>
          <w:lang w:val="en-GB"/>
        </w:rPr>
        <w:t>distribution of access var</w:t>
      </w:r>
      <w:r w:rsidR="004B01F5" w:rsidRPr="00C55689">
        <w:rPr>
          <w:rFonts w:eastAsia="Times New Roman" w:cs="Times New Roman"/>
          <w:lang w:val="en-GB"/>
        </w:rPr>
        <w:t>ies</w:t>
      </w:r>
      <w:r w:rsidR="005D0F8D" w:rsidRPr="00C55689">
        <w:rPr>
          <w:rFonts w:eastAsia="Times New Roman" w:cs="Times New Roman"/>
          <w:lang w:val="en-GB"/>
        </w:rPr>
        <w:t xml:space="preserve"> </w:t>
      </w:r>
      <w:r w:rsidR="004B01F5" w:rsidRPr="00C55689">
        <w:rPr>
          <w:rFonts w:eastAsia="Times New Roman" w:cs="Times New Roman"/>
          <w:lang w:val="en-GB"/>
        </w:rPr>
        <w:t xml:space="preserve">by social </w:t>
      </w:r>
      <w:r w:rsidR="005D0F8D" w:rsidRPr="00C55689">
        <w:rPr>
          <w:rFonts w:eastAsia="Times New Roman" w:cs="Times New Roman"/>
          <w:lang w:val="en-GB"/>
        </w:rPr>
        <w:t xml:space="preserve">group. For example, </w:t>
      </w:r>
      <w:r w:rsidR="006E6536" w:rsidRPr="00C55689">
        <w:rPr>
          <w:rFonts w:eastAsia="Times New Roman" w:cs="Times New Roman"/>
        </w:rPr>
        <w:t xml:space="preserve">the </w:t>
      </w:r>
      <w:r w:rsidR="00C109FB" w:rsidRPr="00C55689">
        <w:rPr>
          <w:rFonts w:eastAsia="Times New Roman" w:cs="Times New Roman"/>
        </w:rPr>
        <w:t>eleventh</w:t>
      </w:r>
      <w:r w:rsidR="007D1F29" w:rsidRPr="00C55689">
        <w:rPr>
          <w:rFonts w:eastAsia="Times New Roman" w:cs="Times New Roman"/>
        </w:rPr>
        <w:t xml:space="preserve"> </w:t>
      </w:r>
      <w:r w:rsidR="00DC0592" w:rsidRPr="00C55689">
        <w:rPr>
          <w:rFonts w:eastAsia="Times New Roman" w:cs="Times New Roman"/>
        </w:rPr>
        <w:t>article in the supplement</w:t>
      </w:r>
      <w:r w:rsidR="00387FD8" w:rsidRPr="00C55689">
        <w:rPr>
          <w:rFonts w:eastAsia="Times New Roman" w:cs="Times New Roman"/>
        </w:rPr>
        <w:t>,</w:t>
      </w:r>
      <w:r w:rsidRPr="00C55689">
        <w:rPr>
          <w:rFonts w:eastAsia="Times New Roman" w:cs="Times New Roman"/>
        </w:rPr>
        <w:t xml:space="preserve"> </w:t>
      </w:r>
      <w:r w:rsidR="007D1F29" w:rsidRPr="00C55689">
        <w:rPr>
          <w:rFonts w:eastAsia="Times New Roman" w:cs="Times New Roman"/>
        </w:rPr>
        <w:t>by Fjaer et al</w:t>
      </w:r>
      <w:r w:rsidR="00C120E1">
        <w:rPr>
          <w:rFonts w:eastAsia="Times New Roman" w:cs="Times New Roman"/>
        </w:rPr>
        <w:t>.</w:t>
      </w:r>
      <w:r w:rsidR="00273D5B" w:rsidRPr="00C55689" w:rsidDel="00273D5B">
        <w:rPr>
          <w:rFonts w:eastAsia="Times New Roman" w:cs="Times New Roman"/>
        </w:rPr>
        <w:t xml:space="preserve"> </w:t>
      </w:r>
      <w:r w:rsidR="001E04B4" w:rsidRPr="009D322A">
        <w:fldChar w:fldCharType="begin"/>
      </w:r>
      <w:r w:rsidR="00B113D0" w:rsidRPr="009D322A">
        <w:instrText xml:space="preserve"> ADDIN EN.CITE &lt;EndNote&gt;&lt;Cite&gt;&lt;Author&gt;Fjaer&lt;/Author&gt;&lt;Year&gt;2017&lt;/Year&gt;&lt;RecNum&gt;821&lt;/RecNum&gt;&lt;DisplayText&gt;&lt;style face="superscript"&gt;18&lt;/style&gt;&lt;/DisplayText&gt;&lt;record&gt;&lt;rec-number&gt;821&lt;/rec-number&gt;&lt;foreign-keys&gt;&lt;key app="EN" db-id="azx5pf05fsvt9kedzd5vpts6d5zdatteaww9" timestamp="1480078071"&gt;821&lt;/key&gt;&lt;/foreign-keys&gt;&lt;ref-type name="Journal Article"&gt;17&lt;/ref-type&gt;&lt;contributors&gt;&lt;authors&gt;&lt;author&gt;Fjaer, E. L.&lt;/author&gt;&lt;author&gt;Balaj, M&lt;/author&gt;&lt;author&gt;Stornes, P.&lt;/author&gt;&lt;author&gt;Todd, A.&lt;/author&gt;&lt;author&gt;McNamara,  C. L.&lt;/author&gt;&lt;author&gt;Eikemo, T. A.&lt;/author&gt;&lt;/authors&gt;&lt;/contributors&gt;&lt;titles&gt;&lt;title&gt;Exploring the differences in general practitioner and health care specialist utilisation according to education, occupation, income and social network in Europe:findings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1E04B4" w:rsidRPr="009D322A">
        <w:rPr>
          <w:rFonts w:cs="Times New Roman"/>
        </w:rPr>
        <w:fldChar w:fldCharType="separate"/>
      </w:r>
      <w:r w:rsidR="00B113D0" w:rsidRPr="009D322A">
        <w:rPr>
          <w:noProof/>
          <w:vertAlign w:val="superscript"/>
        </w:rPr>
        <w:t>18</w:t>
      </w:r>
      <w:r w:rsidR="001E04B4" w:rsidRPr="009D322A">
        <w:fldChar w:fldCharType="end"/>
      </w:r>
      <w:r w:rsidR="00387FD8" w:rsidRPr="00C55689">
        <w:rPr>
          <w:rFonts w:eastAsia="Times New Roman" w:cs="Times New Roman"/>
        </w:rPr>
        <w:t xml:space="preserve">, </w:t>
      </w:r>
      <w:r w:rsidR="00DC0592" w:rsidRPr="00C55689">
        <w:rPr>
          <w:rFonts w:eastAsia="Times New Roman" w:cs="Times New Roman"/>
          <w:lang w:val="en-GB"/>
        </w:rPr>
        <w:t>undertakes a cross-national</w:t>
      </w:r>
      <w:r w:rsidRPr="00C55689">
        <w:rPr>
          <w:rFonts w:eastAsia="Times New Roman" w:cs="Times New Roman"/>
          <w:lang w:val="en-GB"/>
        </w:rPr>
        <w:t xml:space="preserve"> examination of </w:t>
      </w:r>
      <w:r w:rsidRPr="00C55689">
        <w:rPr>
          <w:lang w:val="en-GB"/>
        </w:rPr>
        <w:t xml:space="preserve">inequalities in general practitioner and health care specialist use. This work finds that people from higher socioeconomic groups </w:t>
      </w:r>
      <w:r w:rsidR="00C76A14" w:rsidRPr="00C55689">
        <w:rPr>
          <w:lang w:val="en-GB"/>
        </w:rPr>
        <w:t>are</w:t>
      </w:r>
      <w:r w:rsidRPr="00C55689">
        <w:rPr>
          <w:lang w:val="en-GB"/>
        </w:rPr>
        <w:t xml:space="preserve"> more frequent users of health care specialists, even for the same level of need as lower status groups.</w:t>
      </w:r>
      <w:r w:rsidR="005D0F8D" w:rsidRPr="00C55689">
        <w:rPr>
          <w:lang w:val="en-GB"/>
        </w:rPr>
        <w:t xml:space="preserve"> The authors draw on fundamental cause theory</w:t>
      </w:r>
      <w:r w:rsidR="009D322A">
        <w:rPr>
          <w:lang w:val="en-GB"/>
        </w:rPr>
        <w:fldChar w:fldCharType="begin"/>
      </w:r>
      <w:r w:rsidR="009D322A">
        <w:rPr>
          <w:lang w:val="en-GB"/>
        </w:rPr>
        <w:instrText xml:space="preserve"> ADDIN EN.CITE &lt;EndNote&gt;&lt;Cite&gt;&lt;Author&gt;Link&lt;/Author&gt;&lt;Year&gt;1995&lt;/Year&gt;&lt;RecNum&gt;783&lt;/RecNum&gt;&lt;DisplayText&gt;&lt;style face="superscript"&gt;19&lt;/style&gt;&lt;/DisplayText&gt;&lt;record&gt;&lt;rec-number&gt;783&lt;/rec-number&gt;&lt;foreign-keys&gt;&lt;key app="EN" db-id="azx5pf05fsvt9kedzd5vpts6d5zdatteaww9" timestamp="1477652080"&gt;783&lt;/key&gt;&lt;/foreign-keys&gt;&lt;ref-type name="Journal Article"&gt;17&lt;/ref-type&gt;&lt;contributors&gt;&lt;authors&gt;&lt;author&gt;Link, Bruce G&lt;/author&gt;&lt;author&gt;Phelan, Jo&lt;/author&gt;&lt;/authors&gt;&lt;/contributors&gt;&lt;titles&gt;&lt;title&gt;Social conditions as fundamental causes of disease&lt;/title&gt;&lt;secondary-title&gt;Journal of health and social behavior&lt;/secondary-title&gt;&lt;/titles&gt;&lt;periodical&gt;&lt;full-title&gt;Journal of Health and Social Behavior&lt;/full-title&gt;&lt;/periodical&gt;&lt;pages&gt;80-94&lt;/pages&gt;&lt;dates&gt;&lt;year&gt;1995&lt;/year&gt;&lt;/dates&gt;&lt;isbn&gt;0022-1465&lt;/isbn&gt;&lt;urls&gt;&lt;/urls&gt;&lt;/record&gt;&lt;/Cite&gt;&lt;/EndNote&gt;</w:instrText>
      </w:r>
      <w:r w:rsidR="009D322A">
        <w:rPr>
          <w:lang w:val="en-GB"/>
        </w:rPr>
        <w:fldChar w:fldCharType="separate"/>
      </w:r>
      <w:r w:rsidR="009D322A" w:rsidRPr="009D322A">
        <w:rPr>
          <w:noProof/>
          <w:vertAlign w:val="superscript"/>
          <w:lang w:val="en-GB"/>
        </w:rPr>
        <w:t>19</w:t>
      </w:r>
      <w:r w:rsidR="009D322A">
        <w:rPr>
          <w:lang w:val="en-GB"/>
        </w:rPr>
        <w:fldChar w:fldCharType="end"/>
      </w:r>
      <w:r w:rsidR="00C76A14" w:rsidRPr="00C55689">
        <w:rPr>
          <w:lang w:val="en-GB"/>
        </w:rPr>
        <w:t xml:space="preserve"> </w:t>
      </w:r>
      <w:r w:rsidR="005D0F8D" w:rsidRPr="00C55689">
        <w:rPr>
          <w:lang w:val="en-GB"/>
        </w:rPr>
        <w:t xml:space="preserve">and hypothesize that this </w:t>
      </w:r>
      <w:r w:rsidR="00F50B5C" w:rsidRPr="00C55689">
        <w:rPr>
          <w:lang w:val="en-GB"/>
        </w:rPr>
        <w:t xml:space="preserve">is </w:t>
      </w:r>
      <w:r w:rsidRPr="00C55689">
        <w:rPr>
          <w:lang w:val="en-GB"/>
        </w:rPr>
        <w:t xml:space="preserve">because higher </w:t>
      </w:r>
      <w:r w:rsidR="005D0F8D" w:rsidRPr="00C55689">
        <w:rPr>
          <w:lang w:val="en-GB"/>
        </w:rPr>
        <w:t>socioeconomic</w:t>
      </w:r>
      <w:r w:rsidRPr="00C55689">
        <w:rPr>
          <w:lang w:val="en-GB"/>
        </w:rPr>
        <w:t xml:space="preserve"> groups have more flexible resources that can help </w:t>
      </w:r>
      <w:r w:rsidR="00C76A14" w:rsidRPr="00C55689">
        <w:rPr>
          <w:lang w:val="en-GB"/>
        </w:rPr>
        <w:t xml:space="preserve">them access specialized care to a greater extent than </w:t>
      </w:r>
      <w:r w:rsidRPr="00C55689">
        <w:rPr>
          <w:lang w:val="en-GB"/>
        </w:rPr>
        <w:t xml:space="preserve">lower </w:t>
      </w:r>
      <w:r w:rsidR="005D0F8D" w:rsidRPr="00C55689">
        <w:rPr>
          <w:lang w:val="en-GB"/>
        </w:rPr>
        <w:t>socioeconomic</w:t>
      </w:r>
      <w:r w:rsidRPr="00C55689">
        <w:rPr>
          <w:lang w:val="en-GB"/>
        </w:rPr>
        <w:t xml:space="preserve"> groups.</w:t>
      </w:r>
      <w:r w:rsidR="005D0F8D" w:rsidRPr="00C55689">
        <w:rPr>
          <w:lang w:val="en-GB"/>
        </w:rPr>
        <w:t xml:space="preserve"> </w:t>
      </w:r>
      <w:r w:rsidR="006E6536" w:rsidRPr="00C55689">
        <w:rPr>
          <w:rFonts w:eastAsia="Times New Roman" w:cs="Times New Roman"/>
        </w:rPr>
        <w:t>T</w:t>
      </w:r>
      <w:r w:rsidR="00D96113" w:rsidRPr="00C55689">
        <w:rPr>
          <w:rFonts w:eastAsia="Times New Roman" w:cs="Times New Roman"/>
        </w:rPr>
        <w:t xml:space="preserve">he </w:t>
      </w:r>
      <w:r w:rsidR="00C109FB" w:rsidRPr="00C55689">
        <w:rPr>
          <w:rFonts w:eastAsia="Times New Roman" w:cs="Times New Roman"/>
        </w:rPr>
        <w:t xml:space="preserve">twelfth </w:t>
      </w:r>
      <w:r w:rsidR="00D96113" w:rsidRPr="00C55689">
        <w:rPr>
          <w:rFonts w:eastAsia="Times New Roman" w:cs="Times New Roman"/>
        </w:rPr>
        <w:t>article</w:t>
      </w:r>
      <w:r w:rsidR="00F50B5C" w:rsidRPr="00C55689">
        <w:rPr>
          <w:rFonts w:eastAsia="Times New Roman" w:cs="Times New Roman"/>
        </w:rPr>
        <w:t>,</w:t>
      </w:r>
      <w:r w:rsidR="001E04B4" w:rsidRPr="00C55689">
        <w:rPr>
          <w:rFonts w:eastAsia="Times New Roman" w:cs="Times New Roman"/>
        </w:rPr>
        <w:t xml:space="preserve"> by Fjaer et al.</w:t>
      </w:r>
      <w:r w:rsidR="001E04B4" w:rsidRPr="009D322A">
        <w:fldChar w:fldCharType="begin"/>
      </w:r>
      <w:r w:rsidR="009D322A">
        <w:rPr>
          <w:rFonts w:cs="Times New Roman"/>
        </w:rPr>
        <w:instrText xml:space="preserve"> ADDIN EN.CITE &lt;EndNote&gt;&lt;Cite&gt;&lt;Author&gt;Fjaer&lt;/Author&gt;&lt;Year&gt;2017&lt;/Year&gt;&lt;RecNum&gt;822&lt;/RecNum&gt;&lt;DisplayText&gt;&lt;style face="superscript"&gt;20&lt;/style&gt;&lt;/DisplayText&gt;&lt;record&gt;&lt;rec-number&gt;822&lt;/rec-number&gt;&lt;foreign-keys&gt;&lt;key app="EN" db-id="azx5pf05fsvt9kedzd5vpts6d5zdatteaww9" timestamp="1480079173"&gt;822&lt;/key&gt;&lt;/foreign-keys&gt;&lt;ref-type name="Journal Article"&gt;17&lt;/ref-type&gt;&lt;contributors&gt;&lt;authors&gt;&lt;author&gt;Fjaer, E. L.&lt;/author&gt;&lt;author&gt;Stornes, P.&lt;/author&gt;&lt;author&gt;Borisova, L.V.&lt;/author&gt;&lt;author&gt;McNamara, C. L.&lt;/author&gt;&lt;author&gt;Eikemo, T. A.&lt;/author&gt;&lt;/authors&gt;&lt;/contributors&gt;&lt;titles&gt;&lt;title&gt;Subjective perceptions of unmet need for health care in Europe among social groups&amp;#xD;Findings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1E04B4" w:rsidRPr="009D322A">
        <w:rPr>
          <w:rFonts w:cs="Times New Roman"/>
        </w:rPr>
        <w:fldChar w:fldCharType="separate"/>
      </w:r>
      <w:r w:rsidR="009D322A" w:rsidRPr="009D322A">
        <w:rPr>
          <w:rFonts w:cs="Times New Roman"/>
          <w:noProof/>
          <w:vertAlign w:val="superscript"/>
        </w:rPr>
        <w:t>20</w:t>
      </w:r>
      <w:r w:rsidR="001E04B4" w:rsidRPr="009D322A">
        <w:fldChar w:fldCharType="end"/>
      </w:r>
      <w:r w:rsidR="00D96113" w:rsidRPr="00C55689">
        <w:rPr>
          <w:rFonts w:eastAsia="Times New Roman" w:cs="Times New Roman"/>
        </w:rPr>
        <w:t xml:space="preserve">, </w:t>
      </w:r>
      <w:r w:rsidR="00D96113" w:rsidRPr="00C55689">
        <w:rPr>
          <w:rFonts w:eastAsia="Times New Roman" w:cs="Times New Roman"/>
          <w:lang w:val="en-GB"/>
        </w:rPr>
        <w:t>finds that</w:t>
      </w:r>
      <w:r w:rsidRPr="00C55689">
        <w:rPr>
          <w:rFonts w:eastAsia="Times New Roman" w:cs="Times New Roman"/>
          <w:lang w:val="en-GB"/>
        </w:rPr>
        <w:t xml:space="preserve"> unmet need, </w:t>
      </w:r>
      <w:r w:rsidR="00D96113" w:rsidRPr="00C55689">
        <w:rPr>
          <w:lang w:val="en-GB"/>
        </w:rPr>
        <w:t>a subjective measure of access to health care</w:t>
      </w:r>
      <w:r w:rsidRPr="00C55689">
        <w:rPr>
          <w:lang w:val="en-GB"/>
        </w:rPr>
        <w:t>,</w:t>
      </w:r>
      <w:r w:rsidR="00D96113" w:rsidRPr="00C55689">
        <w:rPr>
          <w:lang w:val="en-GB"/>
        </w:rPr>
        <w:t xml:space="preserve"> </w:t>
      </w:r>
      <w:r w:rsidR="002F16EA" w:rsidRPr="00C55689">
        <w:rPr>
          <w:lang w:val="en-GB"/>
        </w:rPr>
        <w:t>is</w:t>
      </w:r>
      <w:r w:rsidR="00D96113" w:rsidRPr="00C55689">
        <w:rPr>
          <w:lang w:val="en-GB"/>
        </w:rPr>
        <w:t xml:space="preserve"> great</w:t>
      </w:r>
      <w:r w:rsidR="002F16EA" w:rsidRPr="00C55689">
        <w:rPr>
          <w:lang w:val="en-GB"/>
        </w:rPr>
        <w:t>er</w:t>
      </w:r>
      <w:r w:rsidR="00D96113" w:rsidRPr="00C55689">
        <w:rPr>
          <w:lang w:val="en-GB"/>
        </w:rPr>
        <w:t xml:space="preserve"> among females, older populations, those li</w:t>
      </w:r>
      <w:r w:rsidR="002F16EA" w:rsidRPr="00C55689">
        <w:rPr>
          <w:lang w:val="en-GB"/>
        </w:rPr>
        <w:t>ving in rural areas, and among those with financial strain.</w:t>
      </w:r>
      <w:r w:rsidR="005559E3" w:rsidRPr="00C55689">
        <w:rPr>
          <w:lang w:val="en-GB"/>
        </w:rPr>
        <w:t xml:space="preserve"> </w:t>
      </w:r>
      <w:r w:rsidR="005D0F8D" w:rsidRPr="00C55689">
        <w:rPr>
          <w:lang w:val="en-GB"/>
        </w:rPr>
        <w:t>A final healthcare related study</w:t>
      </w:r>
      <w:r w:rsidR="001E04B4" w:rsidRPr="00C55689">
        <w:rPr>
          <w:lang w:val="en-GB"/>
        </w:rPr>
        <w:t xml:space="preserve"> by Verbakel et al.</w:t>
      </w:r>
      <w:r w:rsidR="001E04B4" w:rsidRPr="009D322A">
        <w:fldChar w:fldCharType="begin"/>
      </w:r>
      <w:r w:rsidR="009D322A">
        <w:rPr>
          <w:lang w:val="en-GB"/>
        </w:rPr>
        <w:instrText xml:space="preserve"> ADDIN EN.CITE &lt;EndNote&gt;&lt;Cite&gt;&lt;Author&gt;Verbakel&lt;/Author&gt;&lt;Year&gt;2017&lt;/Year&gt;&lt;RecNum&gt;823&lt;/RecNum&gt;&lt;DisplayText&gt;&lt;style face="superscript"&gt;21&lt;/style&gt;&lt;/DisplayText&gt;&lt;record&gt;&lt;rec-number&gt;823&lt;/rec-number&gt;&lt;foreign-keys&gt;&lt;key app="EN" db-id="azx5pf05fsvt9kedzd5vpts6d5zdatteaww9" timestamp="1480079327"&gt;823&lt;/key&gt;&lt;/foreign-keys&gt;&lt;ref-type name="Journal Article"&gt;17&lt;/ref-type&gt;&lt;contributors&gt;&lt;authors&gt;&lt;author&gt;Verbakel, E.&lt;/author&gt;&lt;author&gt;Tamlagsronning, S.&lt;/author&gt;&lt;author&gt;Winstone, L.&lt;/author&gt;&lt;author&gt;Fjaer, E. L.&lt;/author&gt;&lt;author&gt;Eikemo, T. A.&lt;/author&gt;&lt;/authors&gt;&lt;/contributors&gt;&lt;titles&gt;&lt;title&gt;Informal care in Europe: findings from the European social survey (2014) special module on the social determinants of health.&lt;/title&gt;&lt;/titles&gt;&lt;dates&gt;&lt;year&gt;2017&lt;/year&gt;&lt;/dates&gt;&lt;urls&gt;&lt;/urls&gt;&lt;/record&gt;&lt;/Cite&gt;&lt;/EndNote&gt;</w:instrText>
      </w:r>
      <w:r w:rsidR="001E04B4" w:rsidRPr="00C55689">
        <w:rPr>
          <w:lang w:val="en-GB"/>
        </w:rPr>
        <w:fldChar w:fldCharType="separate"/>
      </w:r>
      <w:r w:rsidR="009D322A" w:rsidRPr="009D322A">
        <w:rPr>
          <w:noProof/>
          <w:vertAlign w:val="superscript"/>
          <w:lang w:val="en-GB"/>
        </w:rPr>
        <w:t>21</w:t>
      </w:r>
      <w:r w:rsidR="001E04B4" w:rsidRPr="009D322A">
        <w:fldChar w:fldCharType="end"/>
      </w:r>
      <w:r w:rsidR="005D0F8D" w:rsidRPr="00C55689">
        <w:rPr>
          <w:lang w:val="en-GB"/>
        </w:rPr>
        <w:t xml:space="preserve">, </w:t>
      </w:r>
      <w:r w:rsidR="00E8134C" w:rsidRPr="00C55689">
        <w:rPr>
          <w:rFonts w:eastAsia="Times New Roman" w:cs="Times New Roman"/>
          <w:lang w:val="en-GB"/>
        </w:rPr>
        <w:t xml:space="preserve">examines what is known as the “hidden health care system” </w:t>
      </w:r>
      <w:r w:rsidR="005D0F8D" w:rsidRPr="00C55689">
        <w:rPr>
          <w:rFonts w:eastAsia="Times New Roman" w:cs="Times New Roman"/>
          <w:lang w:val="en-GB"/>
        </w:rPr>
        <w:t>and</w:t>
      </w:r>
      <w:r w:rsidR="00E8134C" w:rsidRPr="00C55689">
        <w:rPr>
          <w:rFonts w:eastAsia="Times New Roman" w:cs="Times New Roman"/>
          <w:lang w:val="en-GB"/>
        </w:rPr>
        <w:t xml:space="preserve"> find</w:t>
      </w:r>
      <w:r w:rsidR="005D0F8D" w:rsidRPr="00C55689">
        <w:rPr>
          <w:rFonts w:eastAsia="Times New Roman" w:cs="Times New Roman"/>
          <w:lang w:val="en-GB"/>
        </w:rPr>
        <w:t>s</w:t>
      </w:r>
      <w:r w:rsidR="00E8134C" w:rsidRPr="00C55689">
        <w:rPr>
          <w:rFonts w:eastAsia="Times New Roman" w:cs="Times New Roman"/>
          <w:lang w:val="en-GB"/>
        </w:rPr>
        <w:t xml:space="preserve"> that, a</w:t>
      </w:r>
      <w:r w:rsidR="00E8134C" w:rsidRPr="009D322A">
        <w:rPr>
          <w:lang w:val="en-GB"/>
        </w:rPr>
        <w:t>gainst the background of a rising demand for informal care in European societies, c</w:t>
      </w:r>
      <w:r w:rsidR="005559E3" w:rsidRPr="009D322A">
        <w:rPr>
          <w:lang w:val="en-GB"/>
        </w:rPr>
        <w:t xml:space="preserve">aregiving was most prevalent among women, 50-59 year olds, non-employed - especially those doing housework - and religious persons. </w:t>
      </w:r>
      <w:r w:rsidR="00E8134C" w:rsidRPr="009D322A">
        <w:rPr>
          <w:lang w:val="en-GB"/>
        </w:rPr>
        <w:t>Further, c</w:t>
      </w:r>
      <w:r w:rsidR="005559E3" w:rsidRPr="009D322A">
        <w:rPr>
          <w:lang w:val="en-GB"/>
        </w:rPr>
        <w:t>aregivers, especially female and intensive caregivers,</w:t>
      </w:r>
      <w:r w:rsidR="007B6068" w:rsidRPr="009D322A">
        <w:rPr>
          <w:lang w:val="en-GB"/>
        </w:rPr>
        <w:t xml:space="preserve"> were found to report</w:t>
      </w:r>
      <w:r w:rsidR="005559E3" w:rsidRPr="009D322A">
        <w:rPr>
          <w:lang w:val="en-GB"/>
        </w:rPr>
        <w:t xml:space="preserve"> lower mental well-being than non-caregivers.</w:t>
      </w:r>
      <w:r w:rsidR="00E8134C" w:rsidRPr="009D322A">
        <w:rPr>
          <w:lang w:val="en-GB"/>
        </w:rPr>
        <w:t xml:space="preserve"> </w:t>
      </w:r>
    </w:p>
    <w:p w14:paraId="2A7F2A68" w14:textId="659230C5" w:rsidR="00DC0592" w:rsidRPr="00C55689" w:rsidRDefault="00E0513B" w:rsidP="001F755A">
      <w:pPr>
        <w:ind w:firstLine="720"/>
      </w:pPr>
      <w:r w:rsidRPr="00C55689">
        <w:rPr>
          <w:rFonts w:eastAsia="Times New Roman" w:cs="Times New Roman"/>
          <w:lang w:val="en-GB"/>
        </w:rPr>
        <w:t>A key result from</w:t>
      </w:r>
      <w:r w:rsidR="001F755A" w:rsidRPr="00C55689">
        <w:rPr>
          <w:rFonts w:eastAsia="Times New Roman" w:cs="Times New Roman"/>
          <w:lang w:val="en-GB"/>
        </w:rPr>
        <w:t xml:space="preserve"> articles</w:t>
      </w:r>
      <w:r w:rsidRPr="00C55689">
        <w:rPr>
          <w:rFonts w:eastAsia="Times New Roman" w:cs="Times New Roman"/>
          <w:lang w:val="en-GB"/>
        </w:rPr>
        <w:t xml:space="preserve"> which examine broader social determinants of health </w:t>
      </w:r>
      <w:r w:rsidR="001F755A" w:rsidRPr="00C55689">
        <w:rPr>
          <w:rFonts w:eastAsia="Times New Roman" w:cs="Times New Roman"/>
          <w:lang w:val="en-GB"/>
        </w:rPr>
        <w:t xml:space="preserve">is that the contribution </w:t>
      </w:r>
      <w:r w:rsidRPr="00C55689">
        <w:rPr>
          <w:rFonts w:eastAsia="Times New Roman" w:cs="Times New Roman"/>
          <w:lang w:val="en-GB"/>
        </w:rPr>
        <w:t xml:space="preserve">these </w:t>
      </w:r>
      <w:r w:rsidR="001F755A" w:rsidRPr="00C55689">
        <w:rPr>
          <w:rFonts w:eastAsia="Times New Roman" w:cs="Times New Roman"/>
          <w:lang w:val="en-GB"/>
        </w:rPr>
        <w:t>determinants mak</w:t>
      </w:r>
      <w:r w:rsidRPr="00C55689">
        <w:rPr>
          <w:rFonts w:eastAsia="Times New Roman" w:cs="Times New Roman"/>
          <w:lang w:val="en-GB"/>
        </w:rPr>
        <w:t xml:space="preserve">e to health and health </w:t>
      </w:r>
      <w:r w:rsidR="006A5F69" w:rsidRPr="00C55689">
        <w:rPr>
          <w:rFonts w:eastAsia="Times New Roman" w:cs="Times New Roman"/>
          <w:lang w:val="en-GB"/>
        </w:rPr>
        <w:t>inequalities</w:t>
      </w:r>
      <w:r w:rsidR="001F755A" w:rsidRPr="00C55689">
        <w:rPr>
          <w:rFonts w:eastAsia="Times New Roman" w:cs="Times New Roman"/>
          <w:lang w:val="en-GB"/>
        </w:rPr>
        <w:t xml:space="preserve"> depends to a large extent on the social group, country and health outcome under consideration. </w:t>
      </w:r>
      <w:r w:rsidRPr="00C55689">
        <w:rPr>
          <w:rFonts w:eastAsia="Times New Roman" w:cs="Times New Roman"/>
          <w:lang w:val="en-GB"/>
        </w:rPr>
        <w:t xml:space="preserve">For </w:t>
      </w:r>
      <w:r w:rsidRPr="00C55689">
        <w:rPr>
          <w:rFonts w:eastAsia="Times New Roman" w:cs="Times New Roman"/>
          <w:lang w:val="en-GB"/>
        </w:rPr>
        <w:lastRenderedPageBreak/>
        <w:t>instance, t</w:t>
      </w:r>
      <w:r w:rsidR="001F755A" w:rsidRPr="00C55689">
        <w:rPr>
          <w:rFonts w:eastAsia="Times New Roman" w:cs="Times New Roman"/>
          <w:lang w:val="en-GB"/>
        </w:rPr>
        <w:t xml:space="preserve">he </w:t>
      </w:r>
      <w:r w:rsidR="00C109FB" w:rsidRPr="00C55689">
        <w:rPr>
          <w:rFonts w:eastAsia="Times New Roman" w:cs="Times New Roman"/>
          <w:lang w:val="en-GB"/>
        </w:rPr>
        <w:t xml:space="preserve">fourteenth </w:t>
      </w:r>
      <w:r w:rsidR="001F755A" w:rsidRPr="00C55689">
        <w:rPr>
          <w:rFonts w:eastAsia="Times New Roman" w:cs="Times New Roman"/>
          <w:lang w:val="en-GB"/>
        </w:rPr>
        <w:t>article</w:t>
      </w:r>
      <w:r w:rsidR="00F50B5C" w:rsidRPr="00C55689">
        <w:rPr>
          <w:rFonts w:eastAsia="Times New Roman" w:cs="Times New Roman"/>
          <w:lang w:val="en-GB"/>
        </w:rPr>
        <w:t>,</w:t>
      </w:r>
      <w:r w:rsidR="002A7AB0" w:rsidRPr="00C55689">
        <w:rPr>
          <w:rFonts w:eastAsia="Times New Roman" w:cs="Times New Roman"/>
          <w:lang w:val="en-GB"/>
        </w:rPr>
        <w:t xml:space="preserve"> by B</w:t>
      </w:r>
      <w:r w:rsidR="0014508D">
        <w:rPr>
          <w:rFonts w:eastAsia="Times New Roman" w:cs="Times New Roman"/>
          <w:lang w:val="en-GB"/>
        </w:rPr>
        <w:t>ø</w:t>
      </w:r>
      <w:r w:rsidR="002A7AB0" w:rsidRPr="00C55689">
        <w:rPr>
          <w:rFonts w:eastAsia="Times New Roman" w:cs="Times New Roman"/>
          <w:lang w:val="en-GB"/>
        </w:rPr>
        <w:t>e et al.</w:t>
      </w:r>
      <w:r w:rsidR="002A7AB0" w:rsidRPr="009D322A">
        <w:fldChar w:fldCharType="begin"/>
      </w:r>
      <w:r w:rsidR="00CE247D">
        <w:rPr>
          <w:rFonts w:cs="Times New Roman"/>
          <w:lang w:val="en-GB"/>
        </w:rPr>
        <w:instrText xml:space="preserve"> ADDIN EN.CITE &lt;EndNote&gt;&lt;Cite&gt;&lt;Author&gt;Bøe&lt;/Author&gt;&lt;Year&gt;2017&lt;/Year&gt;&lt;RecNum&gt;824&lt;/RecNum&gt;&lt;DisplayText&gt;&lt;style face="superscript"&gt;22&lt;/style&gt;&lt;/DisplayText&gt;&lt;record&gt;&lt;rec-number&gt;824&lt;/rec-number&gt;&lt;foreign-keys&gt;&lt;key app="EN" db-id="azx5pf05fsvt9kedzd5vpts6d5zdatteaww9" timestamp="1480079761"&gt;824&lt;/key&gt;&lt;/foreign-keys&gt;&lt;ref-type name="Journal Article"&gt;17&lt;/ref-type&gt;&lt;contributors&gt;&lt;authors&gt;&lt;author&gt;Bøe, T.&lt;/author&gt;&lt;author&gt;Balaj, M.&lt;/author&gt;&lt;author&gt;Eikemo, T. A.&lt;/author&gt;&lt;author&gt;McNamara, C. L.&lt;/author&gt;&lt;author&gt;Solheim, E. F.&lt;/author&gt;&lt;/authors&gt;&lt;/contributors&gt;&lt;titles&gt;&lt;title&gt;Financial Difficulties in Childhood and Adult Depression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2A7AB0" w:rsidRPr="00C55689">
        <w:rPr>
          <w:rFonts w:cs="Times New Roman"/>
          <w:lang w:val="en-GB"/>
        </w:rPr>
        <w:fldChar w:fldCharType="separate"/>
      </w:r>
      <w:r w:rsidR="009D322A" w:rsidRPr="009D322A">
        <w:rPr>
          <w:rFonts w:cs="Times New Roman"/>
          <w:noProof/>
          <w:vertAlign w:val="superscript"/>
          <w:lang w:val="en-GB"/>
        </w:rPr>
        <w:t>22</w:t>
      </w:r>
      <w:r w:rsidR="002A7AB0" w:rsidRPr="009D322A">
        <w:fldChar w:fldCharType="end"/>
      </w:r>
      <w:r w:rsidR="00F50B5C" w:rsidRPr="00C55689">
        <w:rPr>
          <w:rFonts w:eastAsia="Times New Roman" w:cs="Times New Roman"/>
          <w:lang w:val="en-GB"/>
        </w:rPr>
        <w:t>,</w:t>
      </w:r>
      <w:r w:rsidR="001F755A" w:rsidRPr="00C55689">
        <w:rPr>
          <w:rFonts w:eastAsia="Times New Roman" w:cs="Times New Roman"/>
          <w:lang w:val="en-GB"/>
        </w:rPr>
        <w:t xml:space="preserve"> </w:t>
      </w:r>
      <w:r w:rsidR="001F755A" w:rsidRPr="00C55689">
        <w:t>finds that while financial difficulties in childhood</w:t>
      </w:r>
      <w:r w:rsidRPr="00C55689">
        <w:t xml:space="preserve"> are influen</w:t>
      </w:r>
      <w:r w:rsidR="001F755A" w:rsidRPr="00C55689">
        <w:t xml:space="preserve">tial predictors of </w:t>
      </w:r>
      <w:r w:rsidR="00C76A14" w:rsidRPr="00C55689">
        <w:t>mental health</w:t>
      </w:r>
      <w:r w:rsidR="001F755A" w:rsidRPr="00C55689">
        <w:t xml:space="preserve"> in young adults, the magnitude of associated risk varies by country and patterns of risk factors contributing to adult depression </w:t>
      </w:r>
      <w:r w:rsidRPr="00C55689">
        <w:t>are different for older populations.</w:t>
      </w:r>
      <w:r w:rsidR="001F755A" w:rsidRPr="009D322A">
        <w:t xml:space="preserve"> </w:t>
      </w:r>
      <w:r w:rsidR="00C0056D" w:rsidRPr="00C55689">
        <w:rPr>
          <w:rFonts w:eastAsia="Times New Roman" w:cs="Times New Roman"/>
          <w:lang w:val="en-GB"/>
        </w:rPr>
        <w:t xml:space="preserve">The </w:t>
      </w:r>
      <w:r w:rsidR="00C109FB" w:rsidRPr="00C55689">
        <w:rPr>
          <w:rFonts w:eastAsia="Times New Roman" w:cs="Times New Roman"/>
          <w:lang w:val="en-GB"/>
        </w:rPr>
        <w:t xml:space="preserve">fifteenth </w:t>
      </w:r>
      <w:r w:rsidR="00C0056D" w:rsidRPr="00C55689">
        <w:rPr>
          <w:rFonts w:eastAsia="Times New Roman" w:cs="Times New Roman"/>
          <w:lang w:val="en-GB"/>
        </w:rPr>
        <w:t>study</w:t>
      </w:r>
      <w:r w:rsidR="002A7AB0" w:rsidRPr="00C55689">
        <w:rPr>
          <w:rFonts w:eastAsia="Times New Roman" w:cs="Times New Roman"/>
          <w:lang w:val="en-GB"/>
        </w:rPr>
        <w:t xml:space="preserve"> by McNamara et al.</w:t>
      </w:r>
      <w:r w:rsidR="00B038E2" w:rsidRPr="009D322A">
        <w:fldChar w:fldCharType="begin"/>
      </w:r>
      <w:r w:rsidR="009D322A">
        <w:rPr>
          <w:rFonts w:cs="Times New Roman"/>
          <w:lang w:val="en-GB"/>
        </w:rPr>
        <w:instrText xml:space="preserve"> ADDIN EN.CITE &lt;EndNote&gt;&lt;Cite&gt;&lt;Author&gt;McNamara&lt;/Author&gt;&lt;Year&gt;2017&lt;/Year&gt;&lt;RecNum&gt;825&lt;/RecNum&gt;&lt;DisplayText&gt;&lt;style face="superscript"&gt;23&lt;/style&gt;&lt;/DisplayText&gt;&lt;record&gt;&lt;rec-number&gt;825&lt;/rec-number&gt;&lt;foreign-keys&gt;&lt;key app="EN" db-id="azx5pf05fsvt9kedzd5vpts6d5zdatteaww9" timestamp="1480079990"&gt;825&lt;/key&gt;&lt;/foreign-keys&gt;&lt;ref-type name="Journal Article"&gt;17&lt;/ref-type&gt;&lt;contributors&gt;&lt;authors&gt;&lt;author&gt;McNamara, C. L.&lt;/author&gt;&lt;author&gt;Balaj, M.&lt;/author&gt;&lt;author&gt;Thomson, K. H.&lt;/author&gt;&lt;author&gt;Eikemo, T. A.&lt;/author&gt;&lt;author&gt;Bambra, C.&lt;/author&gt;&lt;/authors&gt;&lt;/contributors&gt;&lt;titles&gt;&lt;title&gt;The contribution of housing and neighborhood conditions to educational inequalities in non-communicable diseases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B038E2" w:rsidRPr="00C55689">
        <w:rPr>
          <w:rFonts w:cs="Times New Roman"/>
          <w:lang w:val="en-GB"/>
        </w:rPr>
        <w:fldChar w:fldCharType="separate"/>
      </w:r>
      <w:r w:rsidR="009D322A" w:rsidRPr="009D322A">
        <w:rPr>
          <w:rFonts w:cs="Times New Roman"/>
          <w:noProof/>
          <w:vertAlign w:val="superscript"/>
          <w:lang w:val="en-GB"/>
        </w:rPr>
        <w:t>23</w:t>
      </w:r>
      <w:r w:rsidR="00B038E2" w:rsidRPr="009D322A">
        <w:fldChar w:fldCharType="end"/>
      </w:r>
      <w:r w:rsidR="002A7AB0" w:rsidRPr="00C55689">
        <w:rPr>
          <w:rFonts w:eastAsia="Times New Roman" w:cs="Times New Roman"/>
          <w:lang w:val="en-GB"/>
        </w:rPr>
        <w:t xml:space="preserve"> </w:t>
      </w:r>
      <w:r w:rsidR="00C0056D" w:rsidRPr="00C55689">
        <w:rPr>
          <w:rFonts w:eastAsia="Times New Roman" w:cs="Times New Roman"/>
          <w:lang w:val="en-GB"/>
        </w:rPr>
        <w:t xml:space="preserve"> </w:t>
      </w:r>
      <w:r w:rsidR="00DC0592" w:rsidRPr="00C55689">
        <w:rPr>
          <w:rFonts w:eastAsia="Times New Roman" w:cs="Times New Roman"/>
        </w:rPr>
        <w:t>finds that adjusting for poor housing and neighborhood quality reduces inequalities in NCDs</w:t>
      </w:r>
      <w:r w:rsidR="00C76A14" w:rsidRPr="00C55689">
        <w:rPr>
          <w:rFonts w:eastAsia="Times New Roman" w:cs="Times New Roman"/>
        </w:rPr>
        <w:t>, to different degrees for different health conditions</w:t>
      </w:r>
      <w:r w:rsidR="00DC0592" w:rsidRPr="00C55689">
        <w:rPr>
          <w:rFonts w:eastAsia="Times New Roman" w:cs="Times New Roman"/>
        </w:rPr>
        <w:t xml:space="preserve">. While reductions were relatively small for some NCDs, </w:t>
      </w:r>
      <w:r w:rsidR="00C76A14" w:rsidRPr="00C55689">
        <w:rPr>
          <w:rFonts w:eastAsia="Times New Roman" w:cs="Times New Roman"/>
        </w:rPr>
        <w:t xml:space="preserve">for others </w:t>
      </w:r>
      <w:r w:rsidR="00DC0592" w:rsidRPr="00C55689">
        <w:rPr>
          <w:rFonts w:eastAsia="Times New Roman" w:cs="Times New Roman"/>
        </w:rPr>
        <w:t xml:space="preserve">reductions were more considerable. Controlling for both housing and neighborhood conditions for example, reduced inequalities by 16-24% for severe headaches and 14-30% for breathing problems. </w:t>
      </w:r>
      <w:r w:rsidR="00DC0592" w:rsidRPr="009D322A">
        <w:t xml:space="preserve">The </w:t>
      </w:r>
      <w:r w:rsidR="00C109FB" w:rsidRPr="00C55689">
        <w:rPr>
          <w:rFonts w:eastAsia="Times New Roman" w:cs="Times New Roman"/>
          <w:lang w:val="en-GB"/>
        </w:rPr>
        <w:t xml:space="preserve">sixteenth </w:t>
      </w:r>
      <w:r w:rsidR="00DC0592" w:rsidRPr="009D322A">
        <w:t xml:space="preserve"> article</w:t>
      </w:r>
      <w:r w:rsidR="00C109FB" w:rsidRPr="009D322A">
        <w:t xml:space="preserve"> by Balaj et al.</w:t>
      </w:r>
      <w:r w:rsidR="00C109FB" w:rsidRPr="009D322A">
        <w:fldChar w:fldCharType="begin"/>
      </w:r>
      <w:r w:rsidR="009D322A">
        <w:instrText xml:space="preserve"> ADDIN EN.CITE &lt;EndNote&gt;&lt;Cite&gt;&lt;Author&gt;Balaj&lt;/Author&gt;&lt;Year&gt;2017&lt;/Year&gt;&lt;RecNum&gt;813&lt;/RecNum&gt;&lt;DisplayText&gt;&lt;style face="superscript"&gt;24&lt;/style&gt;&lt;/DisplayText&gt;&lt;record&gt;&lt;rec-number&gt;813&lt;/rec-number&gt;&lt;foreign-keys&gt;&lt;key app="EN" db-id="azx5pf05fsvt9kedzd5vpts6d5zdatteaww9" timestamp="1479903559"&gt;813&lt;/key&gt;&lt;/foreign-keys&gt;&lt;ref-type name="Journal Article"&gt;17&lt;/ref-type&gt;&lt;contributors&gt;&lt;authors&gt;&lt;author&gt;Balaj, M&lt;/author&gt;&lt;author&gt;McNamara, L. Courtney&lt;/author&gt;&lt;author&gt;Eikemo, T. A.&lt;/author&gt;&lt;author&gt;Bambra, C.&lt;/author&gt;&lt;/authors&gt;&lt;/contributors&gt;&lt;titles&gt;&lt;title&gt;The social determinants of inequalities in self-reported health in Europe: findings from the European social survey (2014) special module on the social determinants of health &lt;/title&gt;&lt;secondary-title&gt;European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C109FB" w:rsidRPr="009D322A">
        <w:fldChar w:fldCharType="separate"/>
      </w:r>
      <w:r w:rsidR="009D322A" w:rsidRPr="009D322A">
        <w:rPr>
          <w:noProof/>
          <w:vertAlign w:val="superscript"/>
        </w:rPr>
        <w:t>24</w:t>
      </w:r>
      <w:r w:rsidR="00C109FB" w:rsidRPr="009D322A">
        <w:fldChar w:fldCharType="end"/>
      </w:r>
      <w:r w:rsidR="00C76A14" w:rsidRPr="009D322A">
        <w:t xml:space="preserve"> </w:t>
      </w:r>
      <w:r w:rsidRPr="009D322A">
        <w:t>cross</w:t>
      </w:r>
      <w:r w:rsidR="004744CF" w:rsidRPr="009D322A">
        <w:t>-nationally compares the</w:t>
      </w:r>
      <w:r w:rsidR="004744CF" w:rsidRPr="00C55689">
        <w:rPr>
          <w:rFonts w:eastAsia="AkzidenzGroteskBE-Regular" w:cs="AkzidenzGroteskBE-Regular"/>
        </w:rPr>
        <w:t xml:space="preserve"> </w:t>
      </w:r>
      <w:r w:rsidR="004744CF" w:rsidRPr="009D322A">
        <w:t xml:space="preserve">contribution of </w:t>
      </w:r>
      <w:r w:rsidR="00F92C84" w:rsidRPr="009D322A">
        <w:t>behavioral</w:t>
      </w:r>
      <w:r w:rsidR="004744CF" w:rsidRPr="009D322A">
        <w:t xml:space="preserve">, occupational and living conditions in explaining educational </w:t>
      </w:r>
      <w:r w:rsidR="00FE1FD6" w:rsidRPr="009D322A">
        <w:t>inequalities</w:t>
      </w:r>
      <w:r w:rsidR="00B20403" w:rsidRPr="009D322A">
        <w:t xml:space="preserve"> </w:t>
      </w:r>
      <w:r w:rsidR="004744CF" w:rsidRPr="009D322A">
        <w:t>in self-rated health. Occupational</w:t>
      </w:r>
      <w:r w:rsidR="00F92C84" w:rsidRPr="009D322A">
        <w:t xml:space="preserve"> determinants</w:t>
      </w:r>
      <w:r w:rsidR="004744CF" w:rsidRPr="009D322A">
        <w:t xml:space="preserve"> </w:t>
      </w:r>
      <w:r w:rsidR="00F92C84" w:rsidRPr="009D322A">
        <w:t xml:space="preserve">and living conditions </w:t>
      </w:r>
      <w:r w:rsidR="004744CF" w:rsidRPr="009D322A">
        <w:t>were found to explain the largest shar</w:t>
      </w:r>
      <w:r w:rsidR="00F92C84" w:rsidRPr="009D322A">
        <w:t>e</w:t>
      </w:r>
      <w:r w:rsidR="004744CF" w:rsidRPr="009D322A">
        <w:t xml:space="preserve"> of educational </w:t>
      </w:r>
      <w:r w:rsidR="00B20403" w:rsidRPr="009D322A">
        <w:t xml:space="preserve">inequalities </w:t>
      </w:r>
      <w:r w:rsidR="00F92C84" w:rsidRPr="009D322A">
        <w:t xml:space="preserve">in most of the countries, and relative </w:t>
      </w:r>
      <w:r w:rsidR="00B20403" w:rsidRPr="009D322A">
        <w:t xml:space="preserve">inequalities </w:t>
      </w:r>
      <w:r w:rsidR="00F92C84" w:rsidRPr="009D322A">
        <w:t>were either substantially reduced or became insignificant when a combination of determinants was considered. The observation that behavioral factors were less important in explaining health inequalities in most countries</w:t>
      </w:r>
      <w:r w:rsidR="00C76A14" w:rsidRPr="009D322A">
        <w:t>,</w:t>
      </w:r>
      <w:r w:rsidR="00F92C84" w:rsidRPr="009D322A">
        <w:t xml:space="preserve"> compared to occupational factors and living conditions</w:t>
      </w:r>
      <w:r w:rsidR="00C76A14" w:rsidRPr="009D322A">
        <w:t>,</w:t>
      </w:r>
      <w:r w:rsidR="00F92C84" w:rsidRPr="009D322A">
        <w:t xml:space="preserve"> underlines that the prevalence of risky health </w:t>
      </w:r>
      <w:r w:rsidRPr="009D322A">
        <w:t>behavior</w:t>
      </w:r>
      <w:r w:rsidR="00F92C84" w:rsidRPr="009D322A">
        <w:t xml:space="preserve"> alone is insufficient to explain why higher educational groups report better health than lower educational groups</w:t>
      </w:r>
      <w:r w:rsidR="00F92C84" w:rsidRPr="004A2D65">
        <w:t>.</w:t>
      </w:r>
    </w:p>
    <w:p w14:paraId="278EE99D" w14:textId="051AEB51" w:rsidR="006F4449" w:rsidRPr="009D322A" w:rsidRDefault="007A35DC">
      <w:r w:rsidRPr="004A2D65">
        <w:tab/>
      </w:r>
      <w:r w:rsidR="00021284" w:rsidRPr="009D322A">
        <w:t xml:space="preserve">The third </w:t>
      </w:r>
      <w:r w:rsidR="004B01F5" w:rsidRPr="009D322A">
        <w:t>main</w:t>
      </w:r>
      <w:r w:rsidR="00021284" w:rsidRPr="009D322A">
        <w:t xml:space="preserve"> theme </w:t>
      </w:r>
      <w:r w:rsidR="00023963" w:rsidRPr="009D322A">
        <w:t xml:space="preserve">crosscutting several of the articles in the supplement </w:t>
      </w:r>
      <w:r w:rsidR="00021284" w:rsidRPr="009D322A">
        <w:t xml:space="preserve">is that the </w:t>
      </w:r>
      <w:r w:rsidR="00021284" w:rsidRPr="009D322A">
        <w:rPr>
          <w:i/>
          <w:iCs/>
        </w:rPr>
        <w:t>effects</w:t>
      </w:r>
      <w:r w:rsidR="00021284" w:rsidRPr="009D322A">
        <w:t xml:space="preserve"> of </w:t>
      </w:r>
      <w:r w:rsidR="001B1EB0" w:rsidRPr="009D322A">
        <w:t>NCDs</w:t>
      </w:r>
      <w:r w:rsidR="00021284" w:rsidRPr="009D322A">
        <w:t xml:space="preserve"> are distributed unevenly across social groups, and those </w:t>
      </w:r>
      <w:r w:rsidR="00B20403" w:rsidRPr="009D322A">
        <w:t xml:space="preserve">inequalities </w:t>
      </w:r>
      <w:r w:rsidR="00021284" w:rsidRPr="009D322A">
        <w:t xml:space="preserve">themselves are unevenly distributed across national populations. </w:t>
      </w:r>
      <w:r w:rsidR="00023963" w:rsidRPr="00C55689">
        <w:rPr>
          <w:rFonts w:eastAsia="Times New Roman" w:cs="Times New Roman"/>
          <w:lang w:val="en-GB"/>
        </w:rPr>
        <w:t xml:space="preserve">The article titled </w:t>
      </w:r>
      <w:r w:rsidR="00023963" w:rsidRPr="00C55689">
        <w:rPr>
          <w:rFonts w:eastAsia="Times New Roman" w:cs="Times New Roman"/>
        </w:rPr>
        <w:t>“</w:t>
      </w:r>
      <w:r w:rsidR="00023963" w:rsidRPr="00C55689">
        <w:rPr>
          <w:rFonts w:eastAsia="Times New Roman" w:cs="Times New Roman"/>
          <w:lang w:val="en-GB"/>
        </w:rPr>
        <w:t>Subjective perceptions of unmet need for health care in Europe among social groups” finds that unmet need is higher among those with poorer health status.</w:t>
      </w:r>
      <w:r w:rsidR="00DC0592" w:rsidRPr="009D322A">
        <w:t xml:space="preserve"> </w:t>
      </w:r>
      <w:r w:rsidR="00021284" w:rsidRPr="009D322A">
        <w:t xml:space="preserve">The </w:t>
      </w:r>
      <w:r w:rsidR="00B038E2" w:rsidRPr="009D322A">
        <w:t xml:space="preserve">final </w:t>
      </w:r>
      <w:r w:rsidR="00021284" w:rsidRPr="009D322A">
        <w:t>paper in the supplement</w:t>
      </w:r>
      <w:r w:rsidR="00FE1FD6" w:rsidRPr="009D322A">
        <w:t>,</w:t>
      </w:r>
      <w:r w:rsidR="00B038E2" w:rsidRPr="009D322A">
        <w:t xml:space="preserve"> by Ringdal and Ringdal</w:t>
      </w:r>
      <w:r w:rsidR="00B038E2" w:rsidRPr="009D322A">
        <w:fldChar w:fldCharType="begin"/>
      </w:r>
      <w:r w:rsidR="009D322A">
        <w:instrText xml:space="preserve"> ADDIN EN.CITE &lt;EndNote&gt;&lt;Cite&gt;&lt;Author&gt;Ringdal&lt;/Author&gt;&lt;Year&gt;2017&lt;/Year&gt;&lt;RecNum&gt;826&lt;/RecNum&gt;&lt;DisplayText&gt;&lt;style face="superscript"&gt;25&lt;/style&gt;&lt;/DisplayText&gt;&lt;record&gt;&lt;rec-number&gt;826&lt;/rec-number&gt;&lt;foreign-keys&gt;&lt;key app="EN" db-id="azx5pf05fsvt9kedzd5vpts6d5zdatteaww9" timestamp="1480080304"&gt;826&lt;/key&gt;&lt;/foreign-keys&gt;&lt;ref-type name="Journal Article"&gt;17&lt;/ref-type&gt;&lt;contributors&gt;&lt;authors&gt;&lt;author&gt;Ringdal, K.&lt;/author&gt;&lt;author&gt;Ringdal, G. I.&lt;/author&gt;&lt;/authors&gt;&lt;/contributors&gt;&lt;titles&gt;&lt;title&gt;Quality of life and living with cancer: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B038E2" w:rsidRPr="009D322A">
        <w:fldChar w:fldCharType="separate"/>
      </w:r>
      <w:r w:rsidR="009D322A" w:rsidRPr="009D322A">
        <w:rPr>
          <w:noProof/>
          <w:vertAlign w:val="superscript"/>
        </w:rPr>
        <w:t>25</w:t>
      </w:r>
      <w:r w:rsidR="00B038E2" w:rsidRPr="009D322A">
        <w:fldChar w:fldCharType="end"/>
      </w:r>
      <w:r w:rsidR="00FE1FD6" w:rsidRPr="009D322A">
        <w:t xml:space="preserve">, </w:t>
      </w:r>
      <w:r w:rsidR="00021284" w:rsidRPr="009D322A">
        <w:t>documents this cross-national variation using the experience of cancer as a case.  The key insight here is that even an illness as serious as cancer varies strongly in its effects on quality of life, with people in some countries suffering much worse than others.  Notably, the broad, three-category welfare-state classification does not seem to explain the cross-national variation that exists in the extent to which cancer undermines quality of life.</w:t>
      </w:r>
      <w:r w:rsidR="009A0FF6" w:rsidRPr="009D322A">
        <w:t xml:space="preserve">  We note that several of the articles highlighted in the above sections also support a “variable-penalty” approach to </w:t>
      </w:r>
      <w:r w:rsidR="00DC0592" w:rsidRPr="009D322A">
        <w:t>NCDs</w:t>
      </w:r>
      <w:r w:rsidR="009A0FF6" w:rsidRPr="009D322A">
        <w:t>, since the cross-sectional data in the ESS do not allow for a rigorous assessment of causal direction.</w:t>
      </w:r>
    </w:p>
    <w:p w14:paraId="76149147" w14:textId="77777777" w:rsidR="004B01F5" w:rsidRPr="004A2D65" w:rsidRDefault="004B01F5"/>
    <w:p w14:paraId="43C8C6A4" w14:textId="77777777" w:rsidR="00081511" w:rsidRPr="00C55689" w:rsidRDefault="5DE96412">
      <w:pPr>
        <w:rPr>
          <w:u w:val="single"/>
        </w:rPr>
      </w:pPr>
      <w:r w:rsidRPr="00C55689">
        <w:rPr>
          <w:u w:val="single"/>
        </w:rPr>
        <w:t>Strength and Limitations of the European Social Survey Health Data</w:t>
      </w:r>
    </w:p>
    <w:p w14:paraId="35108E63" w14:textId="77777777" w:rsidR="00081511" w:rsidRPr="004A2D65" w:rsidRDefault="00081511"/>
    <w:p w14:paraId="7ED59946" w14:textId="3465ECC7" w:rsidR="00081511" w:rsidRPr="004A2D65" w:rsidRDefault="5DE96412">
      <w:r>
        <w:t>A strength of the ESS data is its nationally representative sampling design.  With representative samples of the adult populations of all the major Western European countries and also some Central and Eastern European countries, the ESS enables analysts to draw inferences to national adult populations.  Such representativeness permits evaluation of the generalizability of results of non-nationally-representative datasets, e.g. clinical samples, cohort studies, age-group-specific datasets like the SHARE, and urban or regional mortality registers.</w:t>
      </w:r>
    </w:p>
    <w:p w14:paraId="220150A8" w14:textId="77777777" w:rsidR="00401F02" w:rsidRPr="004A2D65" w:rsidRDefault="00081511">
      <w:r w:rsidRPr="004A2D65">
        <w:tab/>
        <w:t xml:space="preserve">A further strength of the ESS health module specifically is the coverage of a range of health behaviors and health statuses through a more comprehensive list of questionnaire items than is available in other nationally-representative samples.  This is an important </w:t>
      </w:r>
      <w:r w:rsidRPr="004A2D65">
        <w:lastRenderedPageBreak/>
        <w:t xml:space="preserve">feature because it allows analysts to combine rich, individual-level health data with </w:t>
      </w:r>
      <w:r w:rsidR="00401F02" w:rsidRPr="004A2D65">
        <w:t>state-of-the-art measures of socioeconomic position.  Moreover, the ESS has included a wide array of questions about attitudes and behavior outside the health domain, which opens a number of new opportunities for the investigation of social-epidemiological hypotheses.  For instance, the ESS allows a far more comprehensive assessment of inequality in the social determinants of health, and cross-national differences in their health effects, than has been possible to date.</w:t>
      </w:r>
    </w:p>
    <w:p w14:paraId="0E165259" w14:textId="453967C2" w:rsidR="004B01F5" w:rsidRPr="004A2D65" w:rsidRDefault="00401F02">
      <w:r w:rsidRPr="004A2D65">
        <w:tab/>
        <w:t xml:space="preserve">The ESS also has limitations, including a reliance on self-report data (as in most behavioral and attitudinal surveys).  </w:t>
      </w:r>
      <w:r w:rsidR="002C292C" w:rsidRPr="004A2D65">
        <w:t>That is, the ESS does not include medical professionals’ biometric measures; nor does it include physician diagnoses.  Second, the samples are not designed for subnational geographic analysis.  Third, the sample sizes, all in the 1,000-2,000 range, do not allow for the analysis of health inequalities that may apply to small-sized minority groups.  Fourth, the response rates vary significantly across countries.  Fifth, the ESS is designed as a cross-sectional study of national adult populations, and cannot be used to investigate within-person changes over time</w:t>
      </w:r>
      <w:r w:rsidR="00B00E32">
        <w:fldChar w:fldCharType="begin"/>
      </w:r>
      <w:r w:rsidR="00B00E32">
        <w:instrText xml:space="preserve"> ADDIN EN.CITE &lt;EndNote&gt;&lt;Cite&gt;&lt;Author&gt;Eikemo&lt;/Author&gt;&lt;Year&gt;2016&lt;/Year&gt;&lt;RecNum&gt;658&lt;/RecNum&gt;&lt;DisplayText&gt;&lt;style face="superscript"&gt;1&lt;/style&gt;&lt;/DisplayText&gt;&lt;record&gt;&lt;rec-number&gt;658&lt;/rec-number&gt;&lt;foreign-keys&gt;&lt;key app="EN" db-id="azx5pf05fsvt9kedzd5vpts6d5zdatteaww9" timestamp="1464422140"&gt;658&lt;/key&gt;&lt;/foreign-keys&gt;&lt;ref-type name="Journal Article"&gt;17&lt;/ref-type&gt;&lt;contributors&gt;&lt;authors&gt;&lt;author&gt;Eikemo, Terje A.&lt;/author&gt;&lt;author&gt;Bambra, Clare&lt;/author&gt;&lt;author&gt;Huijts, Tim&lt;/author&gt;&lt;author&gt;Fitzgerald, Rory&lt;/author&gt;&lt;/authors&gt;&lt;/contributors&gt;&lt;titles&gt;&lt;title&gt;The First Pan-European Sociological Health Inequalities Survey of the General Population: The European Social Survey Rotating Module on the Social Determinants of Health&lt;/title&gt;&lt;secondary-title&gt;European Sociological Review&lt;/secondary-title&gt;&lt;/titles&gt;&lt;periodical&gt;&lt;full-title&gt;European Sociological Review&lt;/full-title&gt;&lt;/periodical&gt;&lt;dates&gt;&lt;year&gt;2016&lt;/year&gt;&lt;pub-dates&gt;&lt;date&gt;May 16, 2016&lt;/date&gt;&lt;/pub-dates&gt;&lt;/dates&gt;&lt;urls&gt;&lt;related-urls&gt;&lt;url&gt;http://esr.oxfordjournals.org/content/early/2016/05/16/esr.jcw019.abstract&lt;/url&gt;&lt;url&gt;http://esr.oxfordjournals.org/content/early/2016/05/16/esr.jcw019.full.pdf&lt;/url&gt;&lt;/related-urls&gt;&lt;/urls&gt;&lt;electronic-resource-num&gt;10.1093/esr/jcw019&lt;/electronic-resource-num&gt;&lt;/record&gt;&lt;/Cite&gt;&lt;/EndNote&gt;</w:instrText>
      </w:r>
      <w:r w:rsidR="00B00E32">
        <w:fldChar w:fldCharType="separate"/>
      </w:r>
      <w:r w:rsidR="00B00E32" w:rsidRPr="00B00E32">
        <w:rPr>
          <w:noProof/>
          <w:vertAlign w:val="superscript"/>
        </w:rPr>
        <w:t>1</w:t>
      </w:r>
      <w:r w:rsidR="00B00E32">
        <w:fldChar w:fldCharType="end"/>
      </w:r>
      <w:r w:rsidR="00B00E32">
        <w:t>.</w:t>
      </w:r>
      <w:r w:rsidR="002C292C" w:rsidRPr="004A2D65">
        <w:t xml:space="preserve"> </w:t>
      </w:r>
    </w:p>
    <w:p w14:paraId="03A889F9" w14:textId="77777777" w:rsidR="000C1456" w:rsidRPr="004A2D65" w:rsidRDefault="000C1456"/>
    <w:p w14:paraId="73C1B539" w14:textId="3448FBF6" w:rsidR="000C1456" w:rsidRPr="00D55E66" w:rsidRDefault="5DE96412">
      <w:pPr>
        <w:rPr>
          <w:u w:val="single"/>
        </w:rPr>
      </w:pPr>
      <w:r w:rsidRPr="00D55E66">
        <w:rPr>
          <w:u w:val="single"/>
        </w:rPr>
        <w:t xml:space="preserve">Discussion </w:t>
      </w:r>
    </w:p>
    <w:p w14:paraId="557F6121" w14:textId="77777777" w:rsidR="00121DED" w:rsidRPr="004A2D65" w:rsidRDefault="00121DED"/>
    <w:p w14:paraId="007C969B" w14:textId="6D0CA1A0" w:rsidR="00ED1F85" w:rsidRPr="004A2D65" w:rsidRDefault="5DE96412">
      <w:r>
        <w:t>The papers in this supplement set the foundation for an explanation of cross-national and cross-regional variation in health and healthcare inequalities in Europe.  In many cases, the most surprising results are those that cast doubt on arguments that risky behavior is the main driver of associations between socioeconomic status and health inequality.  We interpret these results as an invitation to further analysis of how institutional arrangements – politics and policies that organize the distribution of resources – might matter for health and healthcare inequalities above and beyond the usual individual biological and behavioral factors.</w:t>
      </w:r>
    </w:p>
    <w:p w14:paraId="619A3D93" w14:textId="45C6581E" w:rsidR="00ED1F85" w:rsidRPr="004A2D65" w:rsidRDefault="00ED1F85">
      <w:r w:rsidRPr="004A2D65">
        <w:tab/>
        <w:t xml:space="preserve">Such analysis would address a major shortcoming of all the papers included here: they do not measure directly the relationship between the individual and the welfare state, in either its symbolic or its material aspects.  That is, the analyses reported here do not use ESS items on the respondents’ evaluation of the proper roles of the welfare state, or their own perceptions of exclusion or inclusion.  Nor do the analyses include measures of respondents’ use of social policy instruments (apart from healthcare itself).  </w:t>
      </w:r>
      <w:r w:rsidR="00524EFC" w:rsidRPr="004A2D65">
        <w:t>Moreover</w:t>
      </w:r>
      <w:r w:rsidR="004E0B6A" w:rsidRPr="004A2D65">
        <w:t xml:space="preserve">, while the analyses reported in the articles highlight substantial cross-national and cross-regional variation that </w:t>
      </w:r>
      <w:r w:rsidR="004E0B6A" w:rsidRPr="5DE96412">
        <w:rPr>
          <w:i/>
          <w:iCs/>
        </w:rPr>
        <w:t>may</w:t>
      </w:r>
      <w:r w:rsidR="004E0B6A" w:rsidRPr="004A2D65">
        <w:t xml:space="preserve"> be associated with institutional arrangements of welfare states, future work will need to include in models fine-grained measures of social policy design, like those employed by </w:t>
      </w:r>
      <w:r w:rsidR="003A42D4" w:rsidRPr="004A2D65">
        <w:t>Da</w:t>
      </w:r>
      <w:r w:rsidR="008E0126" w:rsidRPr="004A2D65">
        <w:t>h</w:t>
      </w:r>
      <w:r w:rsidR="003A42D4" w:rsidRPr="004A2D65">
        <w:t xml:space="preserve">l and Van </w:t>
      </w:r>
      <w:r w:rsidR="008E0126" w:rsidRPr="004A2D65">
        <w:t>d</w:t>
      </w:r>
      <w:r w:rsidR="003A42D4" w:rsidRPr="004A2D65">
        <w:t>er Wel</w:t>
      </w:r>
      <w:r w:rsidR="0087699F">
        <w:fldChar w:fldCharType="begin"/>
      </w:r>
      <w:r w:rsidR="0087699F">
        <w:instrText xml:space="preserve"> ADDIN EN.CITE &lt;EndNote&gt;&lt;Cite&gt;&lt;Author&gt;Dahl&lt;/Author&gt;&lt;Year&gt;2013&lt;/Year&gt;&lt;RecNum&gt;531&lt;/RecNum&gt;&lt;DisplayText&gt;&lt;style face="superscript"&gt;26&lt;/style&gt;&lt;/DisplayText&gt;&lt;record&gt;&lt;rec-number&gt;531&lt;/rec-number&gt;&lt;foreign-keys&gt;&lt;key app="EN" db-id="azx5pf05fsvt9kedzd5vpts6d5zdatteaww9" timestamp="1459029806"&gt;531&lt;/key&gt;&lt;/foreign-keys&gt;&lt;ref-type name="Journal Article"&gt;17&lt;/ref-type&gt;&lt;contributors&gt;&lt;authors&gt;&lt;author&gt;Dahl, E.&lt;/author&gt;&lt;author&gt;Wel, K. A.&lt;/author&gt;&lt;/authors&gt;&lt;/contributors&gt;&lt;titles&gt;&lt;title&gt;Educational inequalities in health in European welfare states: A social expenditure approach&lt;/title&gt;&lt;secondary-title&gt;Soc Sci Med&lt;/secondary-title&gt;&lt;/titles&gt;&lt;periodical&gt;&lt;full-title&gt;Soc Sci Med&lt;/full-title&gt;&lt;/periodical&gt;&lt;volume&gt;81&lt;/volume&gt;&lt;dates&gt;&lt;year&gt;2013&lt;/year&gt;&lt;/dates&gt;&lt;label&gt;Dahl2013&lt;/label&gt;&lt;urls&gt;&lt;related-urls&gt;&lt;url&gt;http://dx.doi.org/10.1016/j.socscimed.2012.12.010&lt;/url&gt;&lt;/related-urls&gt;&lt;/urls&gt;&lt;electronic-resource-num&gt;10.1016/j.socscimed.2012.12.010&lt;/electronic-resource-num&gt;&lt;/record&gt;&lt;/Cite&gt;&lt;/EndNote&gt;</w:instrText>
      </w:r>
      <w:r w:rsidR="0087699F">
        <w:fldChar w:fldCharType="separate"/>
      </w:r>
      <w:r w:rsidR="0087699F" w:rsidRPr="0087699F">
        <w:rPr>
          <w:noProof/>
          <w:vertAlign w:val="superscript"/>
        </w:rPr>
        <w:t>26</w:t>
      </w:r>
      <w:r w:rsidR="0087699F">
        <w:fldChar w:fldCharType="end"/>
      </w:r>
      <w:r w:rsidR="003A42D4" w:rsidRPr="004A2D65">
        <w:t xml:space="preserve"> for social expenditures, and Ferrarini et al.</w:t>
      </w:r>
      <w:r w:rsidR="00B54932">
        <w:fldChar w:fldCharType="begin"/>
      </w:r>
      <w:r w:rsidR="00B54932">
        <w:instrText xml:space="preserve"> ADDIN EN.CITE &lt;EndNote&gt;&lt;Cite&gt;&lt;Author&gt;Ferrarini&lt;/Author&gt;&lt;Year&gt;2014&lt;/Year&gt;&lt;RecNum&gt;838&lt;/RecNum&gt;&lt;DisplayText&gt;&lt;style face="superscript"&gt;27&lt;/style&gt;&lt;/DisplayText&gt;&lt;record&gt;&lt;rec-number&gt;838&lt;/rec-number&gt;&lt;foreign-keys&gt;&lt;key app="EN" db-id="azx5pf05fsvt9kedzd5vpts6d5zdatteaww9" timestamp="1481209882"&gt;838&lt;/key&gt;&lt;/foreign-keys&gt;&lt;ref-type name="Journal Article"&gt;17&lt;/ref-type&gt;&lt;contributors&gt;&lt;authors&gt;&lt;author&gt;Ferrarini, Tommy&lt;/author&gt;&lt;author&gt;Nelson, Kenneth&lt;/author&gt;&lt;author&gt;Sjöberg, Ola&lt;/author&gt;&lt;/authors&gt;&lt;/contributors&gt;&lt;titles&gt;&lt;title&gt;Unemployment insurance and deteriorating self-rated health in 23 European countries&lt;/title&gt;&lt;secondary-title&gt;Journal of epidemiology and community health&lt;/secondary-title&gt;&lt;/titles&gt;&lt;periodical&gt;&lt;full-title&gt;Journal of Epidemiology and Community Health&lt;/full-title&gt;&lt;/periodical&gt;&lt;pages&gt;657-662&lt;/pages&gt;&lt;volume&gt;68&lt;/volume&gt;&lt;number&gt;7&lt;/number&gt;&lt;dates&gt;&lt;year&gt;2014&lt;/year&gt;&lt;/dates&gt;&lt;isbn&gt;1470-2738&lt;/isbn&gt;&lt;urls&gt;&lt;/urls&gt;&lt;/record&gt;&lt;/Cite&gt;&lt;/EndNote&gt;</w:instrText>
      </w:r>
      <w:r w:rsidR="00B54932">
        <w:fldChar w:fldCharType="separate"/>
      </w:r>
      <w:r w:rsidR="00B54932" w:rsidRPr="00B54932">
        <w:rPr>
          <w:noProof/>
          <w:vertAlign w:val="superscript"/>
        </w:rPr>
        <w:t>27</w:t>
      </w:r>
      <w:r w:rsidR="00B54932">
        <w:fldChar w:fldCharType="end"/>
      </w:r>
      <w:r w:rsidR="003A42D4" w:rsidRPr="004A2D65">
        <w:t xml:space="preserve"> for institutional design.</w:t>
      </w:r>
      <w:r w:rsidR="00524EFC" w:rsidRPr="004A2D65">
        <w:t xml:space="preserve">  Finally, while the analyses here do distinguish between diseases with different etiologic periods, and also include measurement of respondent recall of childhood</w:t>
      </w:r>
      <w:r w:rsidR="00D5141A" w:rsidRPr="004A2D65">
        <w:t xml:space="preserve"> </w:t>
      </w:r>
      <w:r w:rsidR="00B038E2" w:rsidRPr="004A2D65">
        <w:t>conditions</w:t>
      </w:r>
      <w:r w:rsidR="00524EFC" w:rsidRPr="004A2D65">
        <w:t>, the life-course information available in a cross-sectional survey like the ESS is necessarily quite limited.</w:t>
      </w:r>
    </w:p>
    <w:p w14:paraId="4D91D161" w14:textId="652F4340" w:rsidR="003A42D4" w:rsidRPr="004A2D65" w:rsidRDefault="003A42D4">
      <w:r w:rsidRPr="004A2D65">
        <w:tab/>
        <w:t xml:space="preserve">How would macro-level political-economic factors like </w:t>
      </w:r>
      <w:r w:rsidR="002872A8" w:rsidRPr="004A2D65">
        <w:t xml:space="preserve">social expenditure and the design of social insurance systems </w:t>
      </w:r>
      <w:r w:rsidRPr="004A2D65">
        <w:t xml:space="preserve">be expected to account for the cross-national variation in health/healthcare </w:t>
      </w:r>
      <w:r w:rsidR="00B20403" w:rsidRPr="004A2D65">
        <w:t xml:space="preserve">inequalities </w:t>
      </w:r>
      <w:r w:rsidRPr="004A2D65">
        <w:t>identified in this EJPH supplement?  Our institutional theory</w:t>
      </w:r>
      <w:r w:rsidR="00B54932">
        <w:fldChar w:fldCharType="begin"/>
      </w:r>
      <w:r w:rsidR="00B54932">
        <w:instrText xml:space="preserve"> ADDIN EN.CITE &lt;EndNote&gt;&lt;Cite&gt;&lt;Author&gt;Beckfield&lt;/Author&gt;&lt;Year&gt;2015&lt;/Year&gt;&lt;RecNum&gt;408&lt;/RecNum&gt;&lt;DisplayText&gt;&lt;style face="superscript"&gt;2&lt;/style&gt;&lt;/DisplayText&gt;&lt;record&gt;&lt;rec-number&gt;408&lt;/rec-number&gt;&lt;foreign-keys&gt;&lt;key app="EN" db-id="azx5pf05fsvt9kedzd5vpts6d5zdatteaww9" timestamp="1458817508"&gt;408&lt;/key&gt;&lt;/foreign-keys&gt;&lt;ref-type name="Journal Article"&gt;17&lt;/ref-type&gt;&lt;contributors&gt;&lt;authors&gt;&lt;author&gt;Beckfield, Jason&lt;/author&gt;&lt;author&gt;Bambra, Clare&lt;/author&gt;&lt;author&gt;Eikemo, Terje A.&lt;/author&gt;&lt;author&gt;Huijts, Tim&lt;/author&gt;&lt;author&gt;McNamara, Courtney&lt;/author&gt;&lt;author&gt;Wendt, Claus&lt;/author&gt;&lt;/authors&gt;&lt;/contributors&gt;&lt;titles&gt;&lt;title&gt;An institutional theory of welfare state effects on the distribution of population health&lt;/title&gt;&lt;secondary-title&gt;Soc Theory Health&lt;/secondary-title&gt;&lt;/titles&gt;&lt;periodical&gt;&lt;full-title&gt;Soc Theory Health&lt;/full-title&gt;&lt;/periodical&gt;&lt;pages&gt;227-244&lt;/pages&gt;&lt;volume&gt;13&lt;/volume&gt;&lt;number&gt;3-4&lt;/number&gt;&lt;keywords&gt;&lt;keyword&gt;health inequality&lt;/keyword&gt;&lt;keyword&gt;spatial&lt;/keyword&gt;&lt;keyword&gt;social policy&lt;/keyword&gt;&lt;keyword&gt;public health&lt;/keyword&gt;&lt;keyword&gt;Europe&lt;/keyword&gt;&lt;keyword&gt;social determinants&lt;/keyword&gt;&lt;/keywords&gt;&lt;dates&gt;&lt;year&gt;2015&lt;/year&gt;&lt;pub-dates&gt;&lt;date&gt;08//print&lt;/date&gt;&lt;/pub-dates&gt;&lt;/dates&gt;&lt;publisher&gt;Palgrave Macmillan, a division of Macmillan Publishers Ltd&lt;/publisher&gt;&lt;isbn&gt;1477-8211&lt;/isbn&gt;&lt;work-type&gt;Original Article&lt;/work-type&gt;&lt;urls&gt;&lt;related-urls&gt;&lt;url&gt;http://dx.doi.org/10.1057/sth.2015.19&lt;/url&gt;&lt;url&gt;http://www.palgrave-journals.com/sth/journal/v13/n3-4/pdf/sth201519a.pdf&lt;/url&gt;&lt;/related-urls&gt;&lt;/urls&gt;&lt;electronic-resource-num&gt;10.1057/sth.2015.19&lt;/electronic-resource-num&gt;&lt;/record&gt;&lt;/Cite&gt;&lt;/EndNote&gt;</w:instrText>
      </w:r>
      <w:r w:rsidR="00B54932">
        <w:fldChar w:fldCharType="separate"/>
      </w:r>
      <w:r w:rsidR="00B54932" w:rsidRPr="00B54932">
        <w:rPr>
          <w:noProof/>
          <w:vertAlign w:val="superscript"/>
        </w:rPr>
        <w:t>2</w:t>
      </w:r>
      <w:r w:rsidR="00B54932">
        <w:fldChar w:fldCharType="end"/>
      </w:r>
      <w:r w:rsidRPr="004A2D65">
        <w:t xml:space="preserve"> identifies several processes that may explain the connections.  </w:t>
      </w:r>
      <w:r w:rsidR="008071D9" w:rsidRPr="004A2D65">
        <w:t xml:space="preserve">The first process is </w:t>
      </w:r>
      <w:r w:rsidR="008071D9" w:rsidRPr="5DE96412">
        <w:rPr>
          <w:i/>
          <w:iCs/>
        </w:rPr>
        <w:lastRenderedPageBreak/>
        <w:t>redistribution</w:t>
      </w:r>
      <w:r w:rsidR="008071D9" w:rsidRPr="004A2D65">
        <w:t xml:space="preserve">, common in welfare states, accomplished via fiscal policies that transfer resources among legislatively defined categories of people.  </w:t>
      </w:r>
      <w:r w:rsidR="00C86FF1" w:rsidRPr="004A2D65">
        <w:t xml:space="preserve">The </w:t>
      </w:r>
      <w:r w:rsidR="008071D9" w:rsidRPr="004A2D65">
        <w:t>second</w:t>
      </w:r>
      <w:r w:rsidR="00C86FF1" w:rsidRPr="004A2D65">
        <w:t xml:space="preserve"> process is </w:t>
      </w:r>
      <w:r w:rsidR="00C86FF1" w:rsidRPr="5DE96412">
        <w:rPr>
          <w:i/>
          <w:iCs/>
        </w:rPr>
        <w:t>compression</w:t>
      </w:r>
      <w:r w:rsidR="00C86FF1" w:rsidRPr="004A2D65">
        <w:t xml:space="preserve">, or change in the distribution of </w:t>
      </w:r>
      <w:r w:rsidR="008071D9" w:rsidRPr="004A2D65">
        <w:t xml:space="preserve">a social determinant of health.  For instance, minimum-wage policies set floors for the wage distribution, and fiscal policies set ceilings. The third process is </w:t>
      </w:r>
      <w:r w:rsidR="008071D9" w:rsidRPr="5DE96412">
        <w:rPr>
          <w:i/>
          <w:iCs/>
        </w:rPr>
        <w:t>mediation</w:t>
      </w:r>
      <w:r w:rsidR="008071D9" w:rsidRPr="004A2D65">
        <w:t xml:space="preserve">, whereby policies determine whether and to what extent the social determinants of health are necessary for health.  For instance, healthcare as a citizenship right should reduce the extent to which household income and education matter for access to healthcare.  The fourth process, </w:t>
      </w:r>
      <w:r w:rsidR="008071D9" w:rsidRPr="5DE96412">
        <w:rPr>
          <w:i/>
          <w:iCs/>
        </w:rPr>
        <w:t>imbrication</w:t>
      </w:r>
      <w:r w:rsidR="008071D9" w:rsidRPr="004A2D65">
        <w:t>, or overlap, represents the institutional complementarity of policies across domains.  For instance, conservative welfare states like France and Germany deliver a high level of social insurance to some but not all groups, which are themselves defined by family and occupational types.</w:t>
      </w:r>
      <w:r w:rsidR="00081511" w:rsidRPr="004A2D65">
        <w:t xml:space="preserve">  Institutions likely also play a role in health </w:t>
      </w:r>
      <w:r w:rsidR="00081511" w:rsidRPr="5DE96412">
        <w:rPr>
          <w:i/>
          <w:iCs/>
        </w:rPr>
        <w:t>selection</w:t>
      </w:r>
      <w:r w:rsidR="00081511" w:rsidRPr="004A2D65">
        <w:t>, which probably varies to a largely unknown degree across welfare states.</w:t>
      </w:r>
    </w:p>
    <w:p w14:paraId="72A44F84" w14:textId="085DED3C" w:rsidR="00D73B48" w:rsidRPr="004A2D65" w:rsidRDefault="008071D9" w:rsidP="00D73B48">
      <w:r w:rsidRPr="004A2D65">
        <w:tab/>
        <w:t>As research in this new field of cross-national comparative work on health inequality moves forward, then, it confronts several substantial but surmountable obstacles.  The first is the prop</w:t>
      </w:r>
      <w:r w:rsidR="00524EFC" w:rsidRPr="004A2D65">
        <w:t xml:space="preserve">er measurement of the possible institutional exposures that distribute population health.  </w:t>
      </w:r>
      <w:r w:rsidR="008D7863" w:rsidRPr="004A2D65">
        <w:t>Fortunately, several candidate datasets are available, including the Comparative Welfare State Dataset</w:t>
      </w:r>
      <w:r w:rsidR="00B54932">
        <w:fldChar w:fldCharType="begin"/>
      </w:r>
      <w:r w:rsidR="00B54932">
        <w:instrText xml:space="preserve"> ADDIN EN.CITE &lt;EndNote&gt;&lt;Cite&gt;&lt;Author&gt;Huber&lt;/Author&gt;&lt;Year&gt;2004&lt;/Year&gt;&lt;RecNum&gt;839&lt;/RecNum&gt;&lt;DisplayText&gt;&lt;style face="superscript"&gt;28&lt;/style&gt;&lt;/DisplayText&gt;&lt;record&gt;&lt;rec-number&gt;839&lt;/rec-number&gt;&lt;foreign-keys&gt;&lt;key app="EN" db-id="azx5pf05fsvt9kedzd5vpts6d5zdatteaww9" timestamp="1481210988"&gt;839&lt;/key&gt;&lt;/foreign-keys&gt;&lt;ref-type name="Report"&gt;27&lt;/ref-type&gt;&lt;contributors&gt;&lt;authors&gt;&lt;author&gt;Huber, E.&lt;/author&gt;&lt;author&gt;Ragin, C.&lt;/author&gt;&lt;author&gt;Stephens, J.D.&lt;/author&gt;&lt;author&gt;Brady,D.&lt;/author&gt;&lt;author&gt;Beckfield, J.&lt;/author&gt;&lt;/authors&gt;&lt;/contributors&gt;&lt;titles&gt;&lt;title&gt;Comparative Welfare States Data Set&lt;/title&gt;&lt;/titles&gt;&lt;dates&gt;&lt;year&gt;2004&lt;/year&gt;&lt;/dates&gt;&lt;pub-location&gt;Northwestern University&lt;/pub-location&gt;&lt;publisher&gt; University of North Carolina, Duke University and Indiana University&lt;/publisher&gt;&lt;urls&gt;&lt;/urls&gt;&lt;/record&gt;&lt;/Cite&gt;&lt;/EndNote&gt;</w:instrText>
      </w:r>
      <w:r w:rsidR="00B54932">
        <w:fldChar w:fldCharType="separate"/>
      </w:r>
      <w:r w:rsidR="00B54932" w:rsidRPr="00B54932">
        <w:rPr>
          <w:noProof/>
          <w:vertAlign w:val="superscript"/>
        </w:rPr>
        <w:t>28</w:t>
      </w:r>
      <w:r w:rsidR="00B54932">
        <w:fldChar w:fldCharType="end"/>
      </w:r>
      <w:r w:rsidR="008D7863" w:rsidRPr="004A2D65">
        <w:t xml:space="preserve"> (Huber et al.</w:t>
      </w:r>
      <w:r w:rsidR="00EA233B" w:rsidRPr="004A2D65">
        <w:t xml:space="preserve"> 2004</w:t>
      </w:r>
      <w:r w:rsidR="008D7863" w:rsidRPr="004A2D65">
        <w:t>), the Social Citizenship Indicators Program</w:t>
      </w:r>
      <w:r w:rsidR="00D55E66">
        <w:fldChar w:fldCharType="begin"/>
      </w:r>
      <w:r w:rsidR="00D55E66">
        <w:instrText xml:space="preserve"> ADDIN EN.CITE &lt;EndNote&gt;&lt;Cite&gt;&lt;Author&gt;Korpi&lt;/Author&gt;&lt;Year&gt;2007&lt;/Year&gt;&lt;RecNum&gt;840&lt;/RecNum&gt;&lt;DisplayText&gt;&lt;style face="superscript"&gt;29&lt;/style&gt;&lt;/DisplayText&gt;&lt;record&gt;&lt;rec-number&gt;840&lt;/rec-number&gt;&lt;foreign-keys&gt;&lt;key app="EN" db-id="azx5pf05fsvt9kedzd5vpts6d5zdatteaww9" timestamp="1481211282"&gt;840&lt;/key&gt;&lt;/foreign-keys&gt;&lt;ref-type name="Report"&gt;27&lt;/ref-type&gt;&lt;contributors&gt;&lt;authors&gt;&lt;author&gt;Korpi, W.&lt;/author&gt;&lt;author&gt;Palme, J.&lt;/author&gt;&lt;/authors&gt;&lt;/contributors&gt;&lt;titles&gt;&lt;title&gt;The social citizenship indicator program (SCIP)&lt;/title&gt;&lt;/titles&gt;&lt;dates&gt;&lt;year&gt;2007&lt;/year&gt;&lt;/dates&gt;&lt;pub-location&gt;Swedish Institute for Social Research&lt;/pub-location&gt;&lt;publisher&gt;Stockholm University &lt;/publisher&gt;&lt;urls&gt;&lt;/urls&gt;&lt;/record&gt;&lt;/Cite&gt;&lt;/EndNote&gt;</w:instrText>
      </w:r>
      <w:r w:rsidR="00D55E66">
        <w:fldChar w:fldCharType="separate"/>
      </w:r>
      <w:r w:rsidR="00D55E66" w:rsidRPr="00D55E66">
        <w:rPr>
          <w:noProof/>
          <w:vertAlign w:val="superscript"/>
        </w:rPr>
        <w:t>29</w:t>
      </w:r>
      <w:r w:rsidR="00D55E66">
        <w:fldChar w:fldCharType="end"/>
      </w:r>
      <w:r w:rsidR="008D7863" w:rsidRPr="004A2D65">
        <w:t xml:space="preserve"> , the Social Policy Indicators</w:t>
      </w:r>
      <w:r w:rsidR="00D55E66">
        <w:fldChar w:fldCharType="begin"/>
      </w:r>
      <w:r w:rsidR="00D55E66">
        <w:instrText xml:space="preserve"> ADDIN EN.CITE &lt;EndNote&gt;&lt;Cite&gt;&lt;Author&gt;Ferrarini&lt;/Author&gt;&lt;Year&gt;2012&lt;/Year&gt;&lt;RecNum&gt;836&lt;/RecNum&gt;&lt;DisplayText&gt;&lt;style face="superscript"&gt;30&lt;/style&gt;&lt;/DisplayText&gt;&lt;record&gt;&lt;rec-number&gt;836&lt;/rec-number&gt;&lt;foreign-keys&gt;&lt;key app="EN" db-id="azx5pf05fsvt9kedzd5vpts6d5zdatteaww9" timestamp="1481209747"&gt;836&lt;/key&gt;&lt;/foreign-keys&gt;&lt;ref-type name="Journal Article"&gt;17&lt;/ref-type&gt;&lt;contributors&gt;&lt;authors&gt;&lt;author&gt;Ferrarini, Tommy&lt;/author&gt;&lt;author&gt;Nelson, Kenneth&lt;/author&gt;&lt;author&gt;Palme, Joakim&lt;/author&gt;&lt;author&gt;Sjöberg, O&lt;/author&gt;&lt;/authors&gt;&lt;/contributors&gt;&lt;titles&gt;&lt;title&gt;Sveriges socialförsäkringar i jämförande perspektiv&lt;/title&gt;&lt;secondary-title&gt;En institutionell analys av sjuk-, arbetsskade-och arbetslöshetsförsäkringarna i 18 OECD-länder 1930 till 2010&lt;/secondary-title&gt;&lt;/titles&gt;&lt;periodical&gt;&lt;full-title&gt;En institutionell analys av sjuk-, arbetsskade-och arbetslöshetsförsäkringarna i 18 OECD-länder 1930 till 2010&lt;/full-title&gt;&lt;/periodical&gt;&lt;pages&gt;2010&lt;/pages&gt;&lt;dates&gt;&lt;year&gt;2012&lt;/year&gt;&lt;/dates&gt;&lt;urls&gt;&lt;/urls&gt;&lt;/record&gt;&lt;/Cite&gt;&lt;/EndNote&gt;</w:instrText>
      </w:r>
      <w:r w:rsidR="00D55E66">
        <w:fldChar w:fldCharType="separate"/>
      </w:r>
      <w:r w:rsidR="00D55E66" w:rsidRPr="00D55E66">
        <w:rPr>
          <w:noProof/>
          <w:vertAlign w:val="superscript"/>
        </w:rPr>
        <w:t>30</w:t>
      </w:r>
      <w:r w:rsidR="00D55E66">
        <w:fldChar w:fldCharType="end"/>
      </w:r>
      <w:r w:rsidR="008D7863" w:rsidRPr="004A2D65">
        <w:t>, and the Quality of Government program</w:t>
      </w:r>
      <w:r w:rsidR="00D55E66">
        <w:fldChar w:fldCharType="begin"/>
      </w:r>
      <w:r w:rsidR="00D55E66">
        <w:instrText xml:space="preserve"> ADDIN EN.CITE &lt;EndNote&gt;&lt;Cite&gt;&lt;Author&gt;Rothstein&lt;/Author&gt;&lt;Year&gt;2011&lt;/Year&gt;&lt;RecNum&gt;841&lt;/RecNum&gt;&lt;DisplayText&gt;&lt;style face="superscript"&gt;31&lt;/style&gt;&lt;/DisplayText&gt;&lt;record&gt;&lt;rec-number&gt;841&lt;/rec-number&gt;&lt;foreign-keys&gt;&lt;key app="EN" db-id="azx5pf05fsvt9kedzd5vpts6d5zdatteaww9" timestamp="1481211508"&gt;841&lt;/key&gt;&lt;/foreign-keys&gt;&lt;ref-type name="Book"&gt;6&lt;/ref-type&gt;&lt;contributors&gt;&lt;authors&gt;&lt;author&gt;Rothstein, Bo&lt;/author&gt;&lt;/authors&gt;&lt;/contributors&gt;&lt;titles&gt;&lt;title&gt;The quality of government: Corruption, social trust, and inequality in international perspective&lt;/title&gt;&lt;/titles&gt;&lt;dates&gt;&lt;year&gt;2011&lt;/year&gt;&lt;/dates&gt;&lt;publisher&gt;University of Chicago Press&lt;/publisher&gt;&lt;isbn&gt;0226729583&lt;/isbn&gt;&lt;urls&gt;&lt;/urls&gt;&lt;/record&gt;&lt;/Cite&gt;&lt;/EndNote&gt;</w:instrText>
      </w:r>
      <w:r w:rsidR="00D55E66">
        <w:fldChar w:fldCharType="separate"/>
      </w:r>
      <w:r w:rsidR="00D55E66" w:rsidRPr="00D55E66">
        <w:rPr>
          <w:noProof/>
          <w:vertAlign w:val="superscript"/>
        </w:rPr>
        <w:t>31</w:t>
      </w:r>
      <w:r w:rsidR="00D55E66">
        <w:fldChar w:fldCharType="end"/>
      </w:r>
      <w:r w:rsidR="008D7863" w:rsidRPr="004A2D65">
        <w:t>.</w:t>
      </w:r>
      <w:r w:rsidR="00067850" w:rsidRPr="004A2D65">
        <w:t xml:space="preserve">  The</w:t>
      </w:r>
      <w:r w:rsidR="00A6799D" w:rsidRPr="004A2D65">
        <w:t xml:space="preserve"> second is to consider the possibility of institutional experiences and effects that vary across the life course, and yield sensitive-period, accumulative, and lagged effects, as in the effects of economic recessions</w:t>
      </w:r>
      <w:r w:rsidR="00D55E66">
        <w:fldChar w:fldCharType="begin"/>
      </w:r>
      <w:r w:rsidR="00D55E66">
        <w:instrText xml:space="preserve"> ADDIN EN.CITE &lt;EndNote&gt;&lt;Cite&gt;&lt;Author&gt;Hessel&lt;/Author&gt;&lt;Year&gt;2013&lt;/Year&gt;&lt;RecNum&gt;842&lt;/RecNum&gt;&lt;DisplayText&gt;&lt;style face="superscript"&gt;32, 33&lt;/style&gt;&lt;/DisplayText&gt;&lt;record&gt;&lt;rec-number&gt;842&lt;/rec-number&gt;&lt;foreign-keys&gt;&lt;key app="EN" db-id="azx5pf05fsvt9kedzd5vpts6d5zdatteaww9" timestamp="1481211608"&gt;842&lt;/key&gt;&lt;/foreign-keys&gt;&lt;ref-type name="Journal Article"&gt;17&lt;/ref-type&gt;&lt;contributors&gt;&lt;authors&gt;&lt;author&gt;Hessel, Philipp&lt;/author&gt;&lt;author&gt;Avendano, Mauricio&lt;/author&gt;&lt;/authors&gt;&lt;/contributors&gt;&lt;titles&gt;&lt;title&gt;Are economic recessions at the time of leaving school associated with worse physical functioning in later life?&lt;/title&gt;&lt;secondary-title&gt;Annals of epidemiology&lt;/secondary-title&gt;&lt;/titles&gt;&lt;periodical&gt;&lt;full-title&gt;Annals of epidemiology&lt;/full-title&gt;&lt;/periodical&gt;&lt;pages&gt;708-715&lt;/pages&gt;&lt;volume&gt;23&lt;/volume&gt;&lt;number&gt;11&lt;/number&gt;&lt;dates&gt;&lt;year&gt;2013&lt;/year&gt;&lt;/dates&gt;&lt;isbn&gt;1047-2797&lt;/isbn&gt;&lt;urls&gt;&lt;/urls&gt;&lt;/record&gt;&lt;/Cite&gt;&lt;Cite&gt;&lt;Author&gt;Noelke&lt;/Author&gt;&lt;Year&gt;2014&lt;/Year&gt;&lt;RecNum&gt;843&lt;/RecNum&gt;&lt;record&gt;&lt;rec-number&gt;843&lt;/rec-number&gt;&lt;foreign-keys&gt;&lt;key app="EN" db-id="azx5pf05fsvt9kedzd5vpts6d5zdatteaww9" timestamp="1481211677"&gt;843&lt;/key&gt;&lt;/foreign-keys&gt;&lt;ref-type name="Journal Article"&gt;17&lt;/ref-type&gt;&lt;contributors&gt;&lt;authors&gt;&lt;author&gt;Noelke, Clemens&lt;/author&gt;&lt;author&gt;Beckfield, Jason&lt;/author&gt;&lt;/authors&gt;&lt;/contributors&gt;&lt;titles&gt;&lt;title&gt;Recessions, job loss, and mortality among older US adults&lt;/title&gt;&lt;secondary-title&gt;American journal of public health&lt;/secondary-title&gt;&lt;/titles&gt;&lt;periodical&gt;&lt;full-title&gt;American Journal of Public Health&lt;/full-title&gt;&lt;/periodical&gt;&lt;pages&gt;e126-e134&lt;/pages&gt;&lt;volume&gt;104&lt;/volume&gt;&lt;number&gt;11&lt;/number&gt;&lt;dates&gt;&lt;year&gt;2014&lt;/year&gt;&lt;/dates&gt;&lt;isbn&gt;1541-0048&lt;/isbn&gt;&lt;urls&gt;&lt;/urls&gt;&lt;/record&gt;&lt;/Cite&gt;&lt;/EndNote&gt;</w:instrText>
      </w:r>
      <w:r w:rsidR="00D55E66">
        <w:fldChar w:fldCharType="separate"/>
      </w:r>
      <w:r w:rsidR="00D55E66" w:rsidRPr="00D55E66">
        <w:rPr>
          <w:noProof/>
          <w:vertAlign w:val="superscript"/>
        </w:rPr>
        <w:t>32, 33</w:t>
      </w:r>
      <w:r w:rsidR="00D55E66">
        <w:fldChar w:fldCharType="end"/>
      </w:r>
      <w:r w:rsidR="00A6799D" w:rsidRPr="004A2D65">
        <w:t xml:space="preserve"> </w:t>
      </w:r>
      <w:r w:rsidR="007713C6" w:rsidRPr="004A2D65">
        <w:t xml:space="preserve">These are just two of many lines of inquiry opened by cross-national investigations of health </w:t>
      </w:r>
      <w:r w:rsidR="006A5F69" w:rsidRPr="004A2D65">
        <w:t>inequalities</w:t>
      </w:r>
      <w:r w:rsidR="007713C6" w:rsidRPr="004A2D65">
        <w:t xml:space="preserve"> such as those appearing in this supplement to the </w:t>
      </w:r>
      <w:r w:rsidR="007713C6" w:rsidRPr="5DE96412">
        <w:rPr>
          <w:i/>
          <w:iCs/>
        </w:rPr>
        <w:t>EJPH</w:t>
      </w:r>
      <w:r w:rsidR="007713C6" w:rsidRPr="004A2D65">
        <w:t>.</w:t>
      </w:r>
    </w:p>
    <w:p w14:paraId="188C9F04" w14:textId="77777777" w:rsidR="004B01F5" w:rsidRPr="004A2D65" w:rsidRDefault="004B01F5" w:rsidP="00D73B48"/>
    <w:p w14:paraId="181A5F86" w14:textId="77777777" w:rsidR="004B01F5" w:rsidRPr="00D55E66" w:rsidRDefault="5DE96412">
      <w:pPr>
        <w:rPr>
          <w:u w:val="single"/>
        </w:rPr>
      </w:pPr>
      <w:r w:rsidRPr="00D55E66">
        <w:rPr>
          <w:u w:val="single"/>
        </w:rPr>
        <w:t>Conclusion</w:t>
      </w:r>
    </w:p>
    <w:p w14:paraId="1D88AF39" w14:textId="77777777" w:rsidR="00081511" w:rsidRPr="004A2D65" w:rsidRDefault="00081511"/>
    <w:p w14:paraId="33AF8828" w14:textId="77777777" w:rsidR="00976341" w:rsidRDefault="5DE96412">
      <w:r>
        <w:t>This special supplement on the social determinants of health module of the European social survey offers a first wave of analysis of this new, novel, pan-European, comparable dataset. It has documented the extent of cross national variability in the magnitude of health inequalities in Europe, looking at the patterning of health behaviours, the social determinants of health as well as access to healthcare. The supplement suggests that conventional models of explaining the variation of health inequalities in Europe may be limited and future research should explore new avenues such as those offered by taking a more institutional approach.</w:t>
      </w:r>
    </w:p>
    <w:p w14:paraId="6214E47B" w14:textId="77777777" w:rsidR="00976341" w:rsidRDefault="00976341"/>
    <w:p w14:paraId="568E4056" w14:textId="77777777" w:rsidR="00976341" w:rsidRDefault="00976341"/>
    <w:p w14:paraId="2A471489" w14:textId="151EF89C" w:rsidR="00976341" w:rsidRDefault="00D55E66" w:rsidP="00976341">
      <w:r>
        <w:t>Funding</w:t>
      </w:r>
    </w:p>
    <w:p w14:paraId="30D2A6E3" w14:textId="77777777" w:rsidR="00976341" w:rsidRPr="00976341" w:rsidRDefault="00976341" w:rsidP="00976341"/>
    <w:p w14:paraId="03EB97D3" w14:textId="77777777" w:rsidR="00976341" w:rsidRPr="00976341" w:rsidRDefault="00976341" w:rsidP="00976341">
      <w:pPr>
        <w:jc w:val="both"/>
      </w:pPr>
      <w:r w:rsidRPr="003B1092">
        <w:t>This article is part of the HiNEWS project—Health Inequalities in European Welfare States—funded by NORFACE (New Opportunities for Research Funding Agency Cooperation in Europe) Welfare State Futures programme (grant reference:462-14-110). For more details on NORFACE, see</w:t>
      </w:r>
      <w:r w:rsidRPr="00976341">
        <w:t xml:space="preserve"> </w:t>
      </w:r>
      <w:hyperlink r:id="rId7" w:history="1">
        <w:r w:rsidRPr="00976341">
          <w:t>http://www.norface.net/11</w:t>
        </w:r>
      </w:hyperlink>
      <w:r w:rsidRPr="00976341">
        <w:t>.</w:t>
      </w:r>
    </w:p>
    <w:p w14:paraId="6FA9D69A" w14:textId="77777777" w:rsidR="00D55E66" w:rsidRDefault="00D55E66"/>
    <w:p w14:paraId="29D46581" w14:textId="77777777" w:rsidR="00D55E66" w:rsidRDefault="00D55E66">
      <w:r>
        <w:lastRenderedPageBreak/>
        <w:t>Acknowledgement</w:t>
      </w:r>
      <w:bookmarkStart w:id="0" w:name="_GoBack"/>
      <w:bookmarkEnd w:id="0"/>
    </w:p>
    <w:p w14:paraId="7B7C9397" w14:textId="77777777" w:rsidR="00D55E66" w:rsidRDefault="00D55E66"/>
    <w:p w14:paraId="65BD15EC" w14:textId="0A331C67" w:rsidR="004B01F5" w:rsidRPr="004A2D65" w:rsidRDefault="00D55E66" w:rsidP="00D55E66">
      <w:pPr>
        <w:jc w:val="both"/>
      </w:pPr>
      <w:r w:rsidRPr="00D55E66">
        <w:t>Terje Eikemo, Clare Bambra and Tim Huijts led the design of the ESS special module on the social determinants of health in coordination with Rory Fitzgerald of the ESS</w:t>
      </w:r>
      <w:r w:rsidR="00C55689">
        <w:t>.</w:t>
      </w:r>
      <w:r w:rsidR="004B01F5" w:rsidRPr="004A2D65">
        <w:br w:type="page"/>
      </w:r>
    </w:p>
    <w:p w14:paraId="4A9BDBFE" w14:textId="77777777" w:rsidR="004B01F5" w:rsidRPr="004A2D65" w:rsidRDefault="004B01F5" w:rsidP="00D73B48"/>
    <w:p w14:paraId="5CAF64B6" w14:textId="77777777" w:rsidR="00B4454B" w:rsidRPr="004A2D65" w:rsidRDefault="00B4454B"/>
    <w:p w14:paraId="4FB78D48" w14:textId="433D4848" w:rsidR="00B4454B" w:rsidRPr="004A2D65" w:rsidRDefault="5DE96412">
      <w:r>
        <w:t>References</w:t>
      </w:r>
    </w:p>
    <w:p w14:paraId="4FB3E3F7" w14:textId="77777777" w:rsidR="00B4454B" w:rsidRPr="004A2D65" w:rsidRDefault="00B4454B"/>
    <w:p w14:paraId="1002A11A" w14:textId="77777777" w:rsidR="00F42B09" w:rsidRPr="004A2D65" w:rsidRDefault="00F42B09"/>
    <w:p w14:paraId="704E455D" w14:textId="77777777" w:rsidR="00C55689" w:rsidRPr="00C55689" w:rsidRDefault="00F42B09" w:rsidP="00C55689">
      <w:pPr>
        <w:pStyle w:val="EndNoteBibliography"/>
        <w:ind w:left="720" w:hanging="720"/>
      </w:pPr>
      <w:r w:rsidRPr="00C55689">
        <w:rPr>
          <w:rFonts w:asciiTheme="minorHAnsi" w:hAnsiTheme="minorHAnsi"/>
        </w:rPr>
        <w:fldChar w:fldCharType="begin"/>
      </w:r>
      <w:r w:rsidRPr="00C55689">
        <w:rPr>
          <w:rFonts w:asciiTheme="minorHAnsi" w:hAnsiTheme="minorHAnsi"/>
        </w:rPr>
        <w:instrText xml:space="preserve"> ADDIN EN.REFLIST </w:instrText>
      </w:r>
      <w:r w:rsidRPr="00C55689">
        <w:rPr>
          <w:rFonts w:asciiTheme="minorHAnsi" w:hAnsiTheme="minorHAnsi"/>
        </w:rPr>
        <w:fldChar w:fldCharType="separate"/>
      </w:r>
      <w:r w:rsidR="00C55689" w:rsidRPr="00C55689">
        <w:rPr>
          <w:b/>
        </w:rPr>
        <w:t>1.</w:t>
      </w:r>
      <w:r w:rsidR="00C55689" w:rsidRPr="00C55689">
        <w:tab/>
        <w:t xml:space="preserve">Eikemo TA, Bambra C, Huijts T, Fitzgerald R. The First Pan-European Sociological Health Inequalities Survey of the General Population: The European Social Survey Rotating Module on the Social Determinants of Health. </w:t>
      </w:r>
      <w:r w:rsidR="00C55689" w:rsidRPr="00C55689">
        <w:rPr>
          <w:i/>
        </w:rPr>
        <w:t xml:space="preserve">European Sociological Review. </w:t>
      </w:r>
      <w:r w:rsidR="00C55689" w:rsidRPr="00C55689">
        <w:t>May 16, 2016 2016.</w:t>
      </w:r>
    </w:p>
    <w:p w14:paraId="62231AF4" w14:textId="77777777" w:rsidR="00C55689" w:rsidRPr="00C55689" w:rsidRDefault="00C55689" w:rsidP="00C55689">
      <w:pPr>
        <w:pStyle w:val="EndNoteBibliography"/>
        <w:ind w:left="720" w:hanging="720"/>
      </w:pPr>
      <w:r w:rsidRPr="00C55689">
        <w:rPr>
          <w:b/>
        </w:rPr>
        <w:t>2.</w:t>
      </w:r>
      <w:r w:rsidRPr="00C55689">
        <w:tab/>
        <w:t xml:space="preserve">Beckfield J, Bambra C, Eikemo TA, Huijts T, McNamara C, Wendt C. An institutional theory of welfare state effects on the distribution of population health. </w:t>
      </w:r>
      <w:r w:rsidRPr="00C55689">
        <w:rPr>
          <w:i/>
        </w:rPr>
        <w:t xml:space="preserve">Soc Theory Health. </w:t>
      </w:r>
      <w:r w:rsidRPr="00C55689">
        <w:t>08//print 2015;13(3-4):227-244.</w:t>
      </w:r>
    </w:p>
    <w:p w14:paraId="6663A13A" w14:textId="77777777" w:rsidR="00C55689" w:rsidRPr="00C55689" w:rsidRDefault="00C55689" w:rsidP="00C55689">
      <w:pPr>
        <w:pStyle w:val="EndNoteBibliography"/>
        <w:ind w:left="720" w:hanging="720"/>
      </w:pPr>
      <w:r w:rsidRPr="00C55689">
        <w:rPr>
          <w:b/>
        </w:rPr>
        <w:t>3.</w:t>
      </w:r>
      <w:r w:rsidRPr="00C55689">
        <w:tab/>
        <w:t xml:space="preserve">Whitehead M. The concepts and principles of equity and health. </w:t>
      </w:r>
      <w:r w:rsidRPr="00C55689">
        <w:rPr>
          <w:i/>
        </w:rPr>
        <w:t xml:space="preserve">International journal of health services. </w:t>
      </w:r>
      <w:r w:rsidRPr="00C55689">
        <w:t>1992;22(3):429-445.</w:t>
      </w:r>
    </w:p>
    <w:p w14:paraId="18B5EE21" w14:textId="77777777" w:rsidR="00C55689" w:rsidRPr="00C55689" w:rsidRDefault="00C55689" w:rsidP="00C55689">
      <w:pPr>
        <w:pStyle w:val="EndNoteBibliography"/>
        <w:ind w:left="720" w:hanging="720"/>
      </w:pPr>
      <w:r w:rsidRPr="00C55689">
        <w:rPr>
          <w:b/>
        </w:rPr>
        <w:t>4.</w:t>
      </w:r>
      <w:r w:rsidRPr="00C55689">
        <w:tab/>
        <w:t xml:space="preserve">Erikson R, Goldthorpe JH, Portocarero L. Intergenerational class mobility in three Western European societies: England, France and Sweden. </w:t>
      </w:r>
      <w:r w:rsidRPr="00C55689">
        <w:rPr>
          <w:i/>
        </w:rPr>
        <w:t xml:space="preserve">The British Journal of Sociology. </w:t>
      </w:r>
      <w:r w:rsidRPr="00C55689">
        <w:t>1979;30(4):415-441.</w:t>
      </w:r>
    </w:p>
    <w:p w14:paraId="59F7E5DD" w14:textId="77777777" w:rsidR="00C55689" w:rsidRPr="00C55689" w:rsidRDefault="00C55689" w:rsidP="00C55689">
      <w:pPr>
        <w:pStyle w:val="EndNoteBibliography"/>
        <w:ind w:left="720" w:hanging="720"/>
      </w:pPr>
      <w:r w:rsidRPr="00C55689">
        <w:rPr>
          <w:b/>
        </w:rPr>
        <w:t>5.</w:t>
      </w:r>
      <w:r w:rsidRPr="00C55689">
        <w:tab/>
        <w:t xml:space="preserve">Scott Long J. Regression models for categorical and limited dependent variables. </w:t>
      </w:r>
      <w:r w:rsidRPr="00C55689">
        <w:rPr>
          <w:i/>
        </w:rPr>
        <w:t xml:space="preserve">Advanced quantitative techniques in the social sciences. </w:t>
      </w:r>
      <w:r w:rsidRPr="00C55689">
        <w:t>1997;7.</w:t>
      </w:r>
    </w:p>
    <w:p w14:paraId="5ACCED9B" w14:textId="77777777" w:rsidR="00C55689" w:rsidRPr="00C55689" w:rsidRDefault="00C55689" w:rsidP="00C55689">
      <w:pPr>
        <w:pStyle w:val="EndNoteBibliography"/>
        <w:ind w:left="720" w:hanging="720"/>
      </w:pPr>
      <w:r w:rsidRPr="00C55689">
        <w:rPr>
          <w:b/>
        </w:rPr>
        <w:t>6.</w:t>
      </w:r>
      <w:r w:rsidRPr="00C55689">
        <w:tab/>
        <w:t xml:space="preserve">Mood C. Logistic regression: Why we cannot do what we think we can do, and what we can do about it. </w:t>
      </w:r>
      <w:r w:rsidRPr="00C55689">
        <w:rPr>
          <w:i/>
        </w:rPr>
        <w:t xml:space="preserve">European sociological review. </w:t>
      </w:r>
      <w:r w:rsidRPr="00C55689">
        <w:t>2010;26(1):67-82.</w:t>
      </w:r>
    </w:p>
    <w:p w14:paraId="73C4E9A2" w14:textId="77777777" w:rsidR="00C55689" w:rsidRPr="00C55689" w:rsidRDefault="00C55689" w:rsidP="00C55689">
      <w:pPr>
        <w:pStyle w:val="EndNoteBibliography"/>
        <w:ind w:left="720" w:hanging="720"/>
      </w:pPr>
      <w:r w:rsidRPr="00C55689">
        <w:rPr>
          <w:b/>
        </w:rPr>
        <w:t>7.</w:t>
      </w:r>
      <w:r w:rsidRPr="00C55689">
        <w:tab/>
        <w:t xml:space="preserve">Huijts T, Stornes P, Eikemo TA, Bambra C, HiNews C. Prevalence of physical and mental non-communicable diseases in Europe: Findings from the European social survey (2014) special module on the social determinants of health. </w:t>
      </w:r>
      <w:r w:rsidRPr="00C55689">
        <w:rPr>
          <w:i/>
        </w:rPr>
        <w:t xml:space="preserve">European Journal of Public Health. </w:t>
      </w:r>
      <w:r w:rsidRPr="00C55689">
        <w:t>2017.</w:t>
      </w:r>
    </w:p>
    <w:p w14:paraId="19C9E92F" w14:textId="77777777" w:rsidR="00C55689" w:rsidRPr="00C55689" w:rsidRDefault="00C55689" w:rsidP="00C55689">
      <w:pPr>
        <w:pStyle w:val="EndNoteBibliography"/>
        <w:ind w:left="720" w:hanging="720"/>
      </w:pPr>
      <w:r w:rsidRPr="00C55689">
        <w:rPr>
          <w:b/>
        </w:rPr>
        <w:t>8.</w:t>
      </w:r>
      <w:r w:rsidRPr="00C55689">
        <w:tab/>
        <w:t xml:space="preserve">Bird CE, Rieker PP. </w:t>
      </w:r>
      <w:r w:rsidRPr="00C55689">
        <w:rPr>
          <w:i/>
        </w:rPr>
        <w:t>Gender and health: The effects of constrained choices and social policies</w:t>
      </w:r>
      <w:r w:rsidRPr="00C55689">
        <w:t>: Cambridge University Press; 2008.</w:t>
      </w:r>
    </w:p>
    <w:p w14:paraId="2C85125E" w14:textId="77777777" w:rsidR="00C55689" w:rsidRPr="00C55689" w:rsidRDefault="00C55689" w:rsidP="00C55689">
      <w:pPr>
        <w:pStyle w:val="EndNoteBibliography"/>
        <w:ind w:left="720" w:hanging="720"/>
      </w:pPr>
      <w:r w:rsidRPr="00C55689">
        <w:rPr>
          <w:b/>
        </w:rPr>
        <w:t>9.</w:t>
      </w:r>
      <w:r w:rsidRPr="00C55689">
        <w:tab/>
        <w:t xml:space="preserve">Thomson HK, Renneberg AC, McNamara LC, Akhter N, Reibling N, Bambra C. Regional inequalities in self-reported conditions and non-communicable diseases in European countries: Findings from the European Social Survey (2014) special module on the social determinants of health. </w:t>
      </w:r>
      <w:r w:rsidRPr="00C55689">
        <w:rPr>
          <w:i/>
        </w:rPr>
        <w:t xml:space="preserve">European Journal of Public Health. </w:t>
      </w:r>
      <w:r w:rsidRPr="00C55689">
        <w:t>2017.</w:t>
      </w:r>
    </w:p>
    <w:p w14:paraId="73625A04" w14:textId="77777777" w:rsidR="00C55689" w:rsidRPr="00C55689" w:rsidRDefault="00C55689" w:rsidP="00C55689">
      <w:pPr>
        <w:pStyle w:val="EndNoteBibliography"/>
        <w:ind w:left="720" w:hanging="720"/>
      </w:pPr>
      <w:r w:rsidRPr="00C55689">
        <w:rPr>
          <w:b/>
        </w:rPr>
        <w:t>10.</w:t>
      </w:r>
      <w:r w:rsidRPr="00C55689">
        <w:tab/>
        <w:t xml:space="preserve">McNamara LC, Balaj M, Thomson HK, Eikemo TA, Bambra C. The socioeconomic distribution of non-communicable diseases in Europe: findings from the European social survey (2014) special module on the social determinants of health. </w:t>
      </w:r>
      <w:r w:rsidRPr="00C55689">
        <w:rPr>
          <w:i/>
        </w:rPr>
        <w:t xml:space="preserve">European Journal of Public Health. </w:t>
      </w:r>
      <w:r w:rsidRPr="00C55689">
        <w:t>2017.</w:t>
      </w:r>
    </w:p>
    <w:p w14:paraId="76E70D3B" w14:textId="77777777" w:rsidR="00C55689" w:rsidRPr="00C55689" w:rsidRDefault="00C55689" w:rsidP="00C55689">
      <w:pPr>
        <w:pStyle w:val="EndNoteBibliography"/>
        <w:ind w:left="720" w:hanging="720"/>
      </w:pPr>
      <w:r w:rsidRPr="00C55689">
        <w:rPr>
          <w:b/>
        </w:rPr>
        <w:t>11.</w:t>
      </w:r>
      <w:r w:rsidRPr="00C55689">
        <w:tab/>
        <w:t xml:space="preserve">McNamara LC, Toch-Marquardt M, Balaj M, Reibling N, Eikemo TA, Bambra C. Occupational inequalities in self-rated health and non-communicable disease in different regions of Europe: findings from the European Social Survey (2014) special module on the social determinants of health. </w:t>
      </w:r>
      <w:r w:rsidRPr="00C55689">
        <w:rPr>
          <w:i/>
        </w:rPr>
        <w:t xml:space="preserve">European Journal of Public Health. </w:t>
      </w:r>
      <w:r w:rsidRPr="00C55689">
        <w:t>2017.</w:t>
      </w:r>
    </w:p>
    <w:p w14:paraId="57B78DF0" w14:textId="77777777" w:rsidR="00C55689" w:rsidRPr="00C55689" w:rsidRDefault="00C55689" w:rsidP="00C55689">
      <w:pPr>
        <w:pStyle w:val="EndNoteBibliography"/>
        <w:ind w:left="720" w:hanging="720"/>
      </w:pPr>
      <w:r w:rsidRPr="00C55689">
        <w:rPr>
          <w:b/>
        </w:rPr>
        <w:t>12.</w:t>
      </w:r>
      <w:r w:rsidRPr="00C55689">
        <w:tab/>
        <w:t xml:space="preserve">Toch-Marquardt M. Does the pattern of occupational class inequalities in self-reported health depend on the choice of survey? A comparative analysis of four surveys and 35 European countries. </w:t>
      </w:r>
      <w:r w:rsidRPr="00C55689">
        <w:rPr>
          <w:i/>
        </w:rPr>
        <w:t xml:space="preserve">European Journal of Public Health. </w:t>
      </w:r>
      <w:r w:rsidRPr="00C55689">
        <w:t>2017.</w:t>
      </w:r>
    </w:p>
    <w:p w14:paraId="498D6D70" w14:textId="77777777" w:rsidR="00C55689" w:rsidRPr="00C55689" w:rsidRDefault="00C55689" w:rsidP="00C55689">
      <w:pPr>
        <w:pStyle w:val="EndNoteBibliography"/>
        <w:ind w:left="720" w:hanging="720"/>
      </w:pPr>
      <w:r w:rsidRPr="00C55689">
        <w:rPr>
          <w:b/>
        </w:rPr>
        <w:lastRenderedPageBreak/>
        <w:t>13.</w:t>
      </w:r>
      <w:r w:rsidRPr="00C55689">
        <w:tab/>
        <w:t xml:space="preserve">La Parra-Casado D, Stornes P, Solheim EF. Self-rated health and wellbeing among the working-age immigrant population in Western Europe : findings from the European social survey (2014) special module on the social determinants of health. </w:t>
      </w:r>
      <w:r w:rsidRPr="00C55689">
        <w:rPr>
          <w:i/>
        </w:rPr>
        <w:t xml:space="preserve">European Journal of Public Health. </w:t>
      </w:r>
      <w:r w:rsidRPr="00C55689">
        <w:t>2017.</w:t>
      </w:r>
    </w:p>
    <w:p w14:paraId="12D03E25" w14:textId="77777777" w:rsidR="00C55689" w:rsidRPr="00C55689" w:rsidRDefault="00C55689" w:rsidP="00C55689">
      <w:pPr>
        <w:pStyle w:val="EndNoteBibliography"/>
        <w:ind w:left="720" w:hanging="720"/>
      </w:pPr>
      <w:r w:rsidRPr="00C55689">
        <w:rPr>
          <w:b/>
        </w:rPr>
        <w:t>14.</w:t>
      </w:r>
      <w:r w:rsidRPr="00C55689">
        <w:tab/>
        <w:t xml:space="preserve">Reibling N, Beckfield J, Huijts T, Schmidt-Catran A, Thomson KH, Wendt C. Depressed during the Depression: Has the Economic Crisis Affected Mental Health Inequalities in Europe? Findings from the European Social Survey (2014) Special Module on the Determinants of Health. </w:t>
      </w:r>
      <w:r w:rsidRPr="00C55689">
        <w:rPr>
          <w:i/>
        </w:rPr>
        <w:t xml:space="preserve">European Journal of Public Health. </w:t>
      </w:r>
      <w:r w:rsidRPr="00C55689">
        <w:t>2017.</w:t>
      </w:r>
    </w:p>
    <w:p w14:paraId="776631AB" w14:textId="77777777" w:rsidR="00C55689" w:rsidRPr="00C55689" w:rsidRDefault="00C55689" w:rsidP="00C55689">
      <w:pPr>
        <w:pStyle w:val="EndNoteBibliography"/>
        <w:ind w:left="720" w:hanging="720"/>
      </w:pPr>
      <w:r w:rsidRPr="00C55689">
        <w:rPr>
          <w:b/>
        </w:rPr>
        <w:t>15.</w:t>
      </w:r>
      <w:r w:rsidRPr="00C55689">
        <w:tab/>
        <w:t xml:space="preserve">Huijts T, Stornes P, Eikemo TA, Bambra C, HiNews C. The social and behavioural determinants of health in Europe: Findings from the European social survey (2014) special module on the social determinants of health. </w:t>
      </w:r>
      <w:r w:rsidRPr="00C55689">
        <w:rPr>
          <w:i/>
        </w:rPr>
        <w:t xml:space="preserve">European Journal of Public Health. </w:t>
      </w:r>
      <w:r w:rsidRPr="00C55689">
        <w:t>2017.</w:t>
      </w:r>
    </w:p>
    <w:p w14:paraId="2653BD28" w14:textId="77777777" w:rsidR="00C55689" w:rsidRPr="00C55689" w:rsidRDefault="00C55689" w:rsidP="00C55689">
      <w:pPr>
        <w:pStyle w:val="EndNoteBibliography"/>
        <w:ind w:left="720" w:hanging="720"/>
      </w:pPr>
      <w:r w:rsidRPr="00C55689">
        <w:rPr>
          <w:b/>
        </w:rPr>
        <w:t>16.</w:t>
      </w:r>
      <w:r w:rsidRPr="00C55689">
        <w:tab/>
        <w:t>Brady D, Hübgen S, Finnigan R. Rethinking the Risks of Poverty: Prevalences and Penalties in Comparative Perspective. 2014;Harvard Kennedy School.</w:t>
      </w:r>
    </w:p>
    <w:p w14:paraId="2BEFCA9D" w14:textId="77777777" w:rsidR="00C55689" w:rsidRPr="00C55689" w:rsidRDefault="00C55689" w:rsidP="00C55689">
      <w:pPr>
        <w:pStyle w:val="EndNoteBibliography"/>
        <w:ind w:left="720" w:hanging="720"/>
      </w:pPr>
      <w:r w:rsidRPr="00C55689">
        <w:rPr>
          <w:b/>
        </w:rPr>
        <w:t>17.</w:t>
      </w:r>
      <w:r w:rsidRPr="00C55689">
        <w:tab/>
        <w:t xml:space="preserve">Huijts T, Gkiouleka A, Reibling N, Thomson KH, Eikemo TA, Bambra C. Educational inequalities in risky health behaviours in 21 European countries: Findings from the European social survey (2014) special module on the social determinants of health. </w:t>
      </w:r>
      <w:r w:rsidRPr="00C55689">
        <w:rPr>
          <w:i/>
        </w:rPr>
        <w:t xml:space="preserve">European Journal of Public Health. </w:t>
      </w:r>
      <w:r w:rsidRPr="00C55689">
        <w:t>2017.</w:t>
      </w:r>
    </w:p>
    <w:p w14:paraId="5A0B6459" w14:textId="77777777" w:rsidR="00C55689" w:rsidRPr="00C55689" w:rsidRDefault="00C55689" w:rsidP="00C55689">
      <w:pPr>
        <w:pStyle w:val="EndNoteBibliography"/>
        <w:ind w:left="720" w:hanging="720"/>
      </w:pPr>
      <w:r w:rsidRPr="00C55689">
        <w:rPr>
          <w:b/>
        </w:rPr>
        <w:t>18.</w:t>
      </w:r>
      <w:r w:rsidRPr="00C55689">
        <w:tab/>
        <w:t xml:space="preserve">Fjaer EL, Balaj M, Stornes P, Todd A, McNamara CL, Eikemo TA. Exploring the differences in general practitioner and health care specialist utilisation according to education, occupation, income and social network in Europe:findings from the European social survey (2014) special module on the social determinants of health. </w:t>
      </w:r>
      <w:r w:rsidRPr="00C55689">
        <w:rPr>
          <w:i/>
        </w:rPr>
        <w:t xml:space="preserve">European Journal of Public Health. </w:t>
      </w:r>
      <w:r w:rsidRPr="00C55689">
        <w:t>2017.</w:t>
      </w:r>
    </w:p>
    <w:p w14:paraId="4287566C" w14:textId="77777777" w:rsidR="00C55689" w:rsidRPr="00C55689" w:rsidRDefault="00C55689" w:rsidP="00C55689">
      <w:pPr>
        <w:pStyle w:val="EndNoteBibliography"/>
        <w:ind w:left="720" w:hanging="720"/>
      </w:pPr>
      <w:r w:rsidRPr="00C55689">
        <w:rPr>
          <w:b/>
        </w:rPr>
        <w:t>19.</w:t>
      </w:r>
      <w:r w:rsidRPr="00C55689">
        <w:tab/>
        <w:t xml:space="preserve">Link BG, Phelan J. Social conditions as fundamental causes of disease. </w:t>
      </w:r>
      <w:r w:rsidRPr="00C55689">
        <w:rPr>
          <w:i/>
        </w:rPr>
        <w:t xml:space="preserve">Journal of health and social behavior. </w:t>
      </w:r>
      <w:r w:rsidRPr="00C55689">
        <w:t>1995:80-94.</w:t>
      </w:r>
    </w:p>
    <w:p w14:paraId="3F1FE429" w14:textId="77777777" w:rsidR="00C55689" w:rsidRPr="00C55689" w:rsidRDefault="00C55689" w:rsidP="00C55689">
      <w:pPr>
        <w:pStyle w:val="EndNoteBibliography"/>
        <w:ind w:left="720" w:hanging="720"/>
      </w:pPr>
      <w:r w:rsidRPr="00C55689">
        <w:rPr>
          <w:b/>
        </w:rPr>
        <w:t>20.</w:t>
      </w:r>
      <w:r w:rsidRPr="00C55689">
        <w:tab/>
        <w:t>Fjaer EL, Stornes P, Borisova LV, McNamara CL, Eikemo TA. Subjective perceptions of unmet need for health care in Europe among social groups</w:t>
      </w:r>
    </w:p>
    <w:p w14:paraId="7A74A437" w14:textId="77777777" w:rsidR="00C55689" w:rsidRPr="00C55689" w:rsidRDefault="00C55689" w:rsidP="00C55689">
      <w:pPr>
        <w:pStyle w:val="EndNoteBibliography"/>
        <w:ind w:left="720" w:hanging="720"/>
      </w:pPr>
      <w:r w:rsidRPr="00C55689">
        <w:t xml:space="preserve">Findings from the European social survey (2014) special module on the social determinants of health. </w:t>
      </w:r>
      <w:r w:rsidRPr="00C55689">
        <w:rPr>
          <w:i/>
        </w:rPr>
        <w:t xml:space="preserve">European Journal of Public Health. </w:t>
      </w:r>
      <w:r w:rsidRPr="00C55689">
        <w:t>2017.</w:t>
      </w:r>
    </w:p>
    <w:p w14:paraId="490823A0" w14:textId="77777777" w:rsidR="00C55689" w:rsidRPr="00C55689" w:rsidRDefault="00C55689" w:rsidP="00C55689">
      <w:pPr>
        <w:pStyle w:val="EndNoteBibliography"/>
        <w:ind w:left="720" w:hanging="720"/>
      </w:pPr>
      <w:r w:rsidRPr="00C55689">
        <w:rPr>
          <w:b/>
        </w:rPr>
        <w:t>21.</w:t>
      </w:r>
      <w:r w:rsidRPr="00C55689">
        <w:tab/>
        <w:t>Verbakel E, Tamlagsronning S, Winstone L, Fjaer EL, Eikemo TA. Informal care in Europe: findings from the European social survey (2014) special module on the social determinants of health. 2017.</w:t>
      </w:r>
    </w:p>
    <w:p w14:paraId="5691C056" w14:textId="77777777" w:rsidR="00C55689" w:rsidRPr="00C55689" w:rsidRDefault="00C55689" w:rsidP="00C55689">
      <w:pPr>
        <w:pStyle w:val="EndNoteBibliography"/>
        <w:ind w:left="720" w:hanging="720"/>
      </w:pPr>
      <w:r w:rsidRPr="00C55689">
        <w:rPr>
          <w:b/>
        </w:rPr>
        <w:t>22.</w:t>
      </w:r>
      <w:r w:rsidRPr="00C55689">
        <w:tab/>
        <w:t xml:space="preserve">Bøe T, Balaj M, Eikemo TA, McNamara CL, Solheim EF. Financial Difficulties in Childhood and Adult Depression in Europe: findings from the European social survey (2014) special module on the social determinants of health. </w:t>
      </w:r>
      <w:r w:rsidRPr="00C55689">
        <w:rPr>
          <w:i/>
        </w:rPr>
        <w:t xml:space="preserve">European Journal of Public Health. </w:t>
      </w:r>
      <w:r w:rsidRPr="00C55689">
        <w:t>2017.</w:t>
      </w:r>
    </w:p>
    <w:p w14:paraId="31129CF9" w14:textId="77777777" w:rsidR="00C55689" w:rsidRPr="00C55689" w:rsidRDefault="00C55689" w:rsidP="00C55689">
      <w:pPr>
        <w:pStyle w:val="EndNoteBibliography"/>
        <w:ind w:left="720" w:hanging="720"/>
      </w:pPr>
      <w:r w:rsidRPr="00C55689">
        <w:rPr>
          <w:b/>
        </w:rPr>
        <w:t>23.</w:t>
      </w:r>
      <w:r w:rsidRPr="00C55689">
        <w:tab/>
        <w:t xml:space="preserve">McNamara CL, Balaj M, Thomson KH, Eikemo TA, Bambra C. The contribution of housing and neighborhood conditions to educational inequalities in non-communicable diseases in Europe: findings from the European Social Survey (2014) special module on the social determinants of health. </w:t>
      </w:r>
      <w:r w:rsidRPr="00C55689">
        <w:rPr>
          <w:i/>
        </w:rPr>
        <w:t xml:space="preserve">European Journal of Public Health. </w:t>
      </w:r>
      <w:r w:rsidRPr="00C55689">
        <w:t>2017.</w:t>
      </w:r>
    </w:p>
    <w:p w14:paraId="7F5E8D88" w14:textId="77777777" w:rsidR="00C55689" w:rsidRPr="00C55689" w:rsidRDefault="00C55689" w:rsidP="00C55689">
      <w:pPr>
        <w:pStyle w:val="EndNoteBibliography"/>
        <w:ind w:left="720" w:hanging="720"/>
      </w:pPr>
      <w:r w:rsidRPr="00C55689">
        <w:rPr>
          <w:b/>
        </w:rPr>
        <w:t>24.</w:t>
      </w:r>
      <w:r w:rsidRPr="00C55689">
        <w:tab/>
        <w:t xml:space="preserve">Balaj M, McNamara LC, Eikemo TA, Bambra C. The social determinants of inequalities in self-reported health in Europe: findings from the European social </w:t>
      </w:r>
      <w:r w:rsidRPr="00C55689">
        <w:lastRenderedPageBreak/>
        <w:t xml:space="preserve">survey (2014) special module on the social determinants of health </w:t>
      </w:r>
      <w:r w:rsidRPr="00C55689">
        <w:rPr>
          <w:i/>
        </w:rPr>
        <w:t xml:space="preserve">European Journal of Public Health. </w:t>
      </w:r>
      <w:r w:rsidRPr="00C55689">
        <w:t>2017.</w:t>
      </w:r>
    </w:p>
    <w:p w14:paraId="6342874D" w14:textId="77777777" w:rsidR="00C55689" w:rsidRPr="00C55689" w:rsidRDefault="00C55689" w:rsidP="00C55689">
      <w:pPr>
        <w:pStyle w:val="EndNoteBibliography"/>
        <w:ind w:left="720" w:hanging="720"/>
      </w:pPr>
      <w:r w:rsidRPr="00C55689">
        <w:rPr>
          <w:b/>
        </w:rPr>
        <w:t>25.</w:t>
      </w:r>
      <w:r w:rsidRPr="00C55689">
        <w:tab/>
        <w:t xml:space="preserve">Ringdal K, Ringdal GI. Quality of life and living with cancer: findings from the European social survey (2014) special module on the social determinants of health. </w:t>
      </w:r>
      <w:r w:rsidRPr="00C55689">
        <w:rPr>
          <w:i/>
        </w:rPr>
        <w:t xml:space="preserve">European Journal of Public Health. </w:t>
      </w:r>
      <w:r w:rsidRPr="00C55689">
        <w:t>2017.</w:t>
      </w:r>
    </w:p>
    <w:p w14:paraId="074A6AEB" w14:textId="77777777" w:rsidR="00C55689" w:rsidRPr="00C55689" w:rsidRDefault="00C55689" w:rsidP="00C55689">
      <w:pPr>
        <w:pStyle w:val="EndNoteBibliography"/>
        <w:ind w:left="720" w:hanging="720"/>
      </w:pPr>
      <w:r w:rsidRPr="00C55689">
        <w:rPr>
          <w:b/>
        </w:rPr>
        <w:t>26.</w:t>
      </w:r>
      <w:r w:rsidRPr="00C55689">
        <w:tab/>
        <w:t xml:space="preserve">Dahl E, Wel KA. Educational inequalities in health in European welfare states: A social expenditure approach. </w:t>
      </w:r>
      <w:r w:rsidRPr="00C55689">
        <w:rPr>
          <w:i/>
        </w:rPr>
        <w:t xml:space="preserve">Soc Sci Med. </w:t>
      </w:r>
      <w:r w:rsidRPr="00C55689">
        <w:t>2013;81.</w:t>
      </w:r>
    </w:p>
    <w:p w14:paraId="5AD2120B" w14:textId="77777777" w:rsidR="00C55689" w:rsidRPr="00C55689" w:rsidRDefault="00C55689" w:rsidP="00C55689">
      <w:pPr>
        <w:pStyle w:val="EndNoteBibliography"/>
        <w:ind w:left="720" w:hanging="720"/>
      </w:pPr>
      <w:r w:rsidRPr="00C55689">
        <w:rPr>
          <w:b/>
        </w:rPr>
        <w:t>27.</w:t>
      </w:r>
      <w:r w:rsidRPr="00C55689">
        <w:tab/>
        <w:t xml:space="preserve">Ferrarini T, Nelson K, Sjöberg O. Unemployment insurance and deteriorating self-rated health in 23 European countries. </w:t>
      </w:r>
      <w:r w:rsidRPr="00C55689">
        <w:rPr>
          <w:i/>
        </w:rPr>
        <w:t xml:space="preserve">Journal of epidemiology and community health. </w:t>
      </w:r>
      <w:r w:rsidRPr="00C55689">
        <w:t>2014;68(7):657-662.</w:t>
      </w:r>
    </w:p>
    <w:p w14:paraId="2AFFA47A" w14:textId="77777777" w:rsidR="00C55689" w:rsidRPr="00C55689" w:rsidRDefault="00C55689" w:rsidP="00C55689">
      <w:pPr>
        <w:pStyle w:val="EndNoteBibliography"/>
        <w:ind w:left="720" w:hanging="720"/>
      </w:pPr>
      <w:r w:rsidRPr="00C55689">
        <w:rPr>
          <w:b/>
        </w:rPr>
        <w:t>28.</w:t>
      </w:r>
      <w:r w:rsidRPr="00C55689">
        <w:tab/>
        <w:t xml:space="preserve">Huber E, Ragin C, Stephens JD, Brady D, Beckfield J. </w:t>
      </w:r>
      <w:r w:rsidRPr="00C55689">
        <w:rPr>
          <w:i/>
        </w:rPr>
        <w:t>Comparative Welfare States Data Set.</w:t>
      </w:r>
      <w:r w:rsidRPr="00C55689">
        <w:t xml:space="preserve"> Northwestern University: University of North Carolina, Duke University and Indiana University; 2004.</w:t>
      </w:r>
    </w:p>
    <w:p w14:paraId="5D729DE7" w14:textId="77777777" w:rsidR="00C55689" w:rsidRPr="00C55689" w:rsidRDefault="00C55689" w:rsidP="00C55689">
      <w:pPr>
        <w:pStyle w:val="EndNoteBibliography"/>
        <w:ind w:left="720" w:hanging="720"/>
      </w:pPr>
      <w:r w:rsidRPr="00C55689">
        <w:rPr>
          <w:b/>
        </w:rPr>
        <w:t>29.</w:t>
      </w:r>
      <w:r w:rsidRPr="00C55689">
        <w:tab/>
        <w:t xml:space="preserve">Korpi W, Palme J. </w:t>
      </w:r>
      <w:r w:rsidRPr="00C55689">
        <w:rPr>
          <w:i/>
        </w:rPr>
        <w:t>The social citizenship indicator program (SCIP).</w:t>
      </w:r>
      <w:r w:rsidRPr="00C55689">
        <w:t xml:space="preserve"> Swedish Institute for Social Research: Stockholm University 2007.</w:t>
      </w:r>
    </w:p>
    <w:p w14:paraId="2BAFADD5" w14:textId="77777777" w:rsidR="00C55689" w:rsidRPr="00C55689" w:rsidRDefault="00C55689" w:rsidP="00C55689">
      <w:pPr>
        <w:pStyle w:val="EndNoteBibliography"/>
        <w:ind w:left="720" w:hanging="720"/>
      </w:pPr>
      <w:r w:rsidRPr="00C55689">
        <w:rPr>
          <w:b/>
        </w:rPr>
        <w:t>30.</w:t>
      </w:r>
      <w:r w:rsidRPr="00C55689">
        <w:tab/>
        <w:t xml:space="preserve">Ferrarini T, Nelson K, Palme J, Sjöberg O. Sveriges socialförsäkringar i jämförande perspektiv. </w:t>
      </w:r>
      <w:r w:rsidRPr="00C55689">
        <w:rPr>
          <w:i/>
        </w:rPr>
        <w:t xml:space="preserve">En institutionell analys av sjuk-, arbetsskade-och arbetslöshetsförsäkringarna i 18 OECD-länder 1930 till 2010. </w:t>
      </w:r>
      <w:r w:rsidRPr="00C55689">
        <w:t>2012:2010.</w:t>
      </w:r>
    </w:p>
    <w:p w14:paraId="38CCD20F" w14:textId="77777777" w:rsidR="00C55689" w:rsidRPr="00C55689" w:rsidRDefault="00C55689" w:rsidP="00C55689">
      <w:pPr>
        <w:pStyle w:val="EndNoteBibliography"/>
        <w:ind w:left="720" w:hanging="720"/>
      </w:pPr>
      <w:r w:rsidRPr="00C55689">
        <w:rPr>
          <w:b/>
        </w:rPr>
        <w:t>31.</w:t>
      </w:r>
      <w:r w:rsidRPr="00C55689">
        <w:tab/>
        <w:t xml:space="preserve">Rothstein B. </w:t>
      </w:r>
      <w:r w:rsidRPr="00C55689">
        <w:rPr>
          <w:i/>
        </w:rPr>
        <w:t>The quality of government: Corruption, social trust, and inequality in international perspective</w:t>
      </w:r>
      <w:r w:rsidRPr="00C55689">
        <w:t>: University of Chicago Press; 2011.</w:t>
      </w:r>
    </w:p>
    <w:p w14:paraId="620E4F06" w14:textId="77777777" w:rsidR="00C55689" w:rsidRPr="00C55689" w:rsidRDefault="00C55689" w:rsidP="00C55689">
      <w:pPr>
        <w:pStyle w:val="EndNoteBibliography"/>
        <w:ind w:left="720" w:hanging="720"/>
      </w:pPr>
      <w:r w:rsidRPr="00C55689">
        <w:rPr>
          <w:b/>
        </w:rPr>
        <w:t>32.</w:t>
      </w:r>
      <w:r w:rsidRPr="00C55689">
        <w:tab/>
        <w:t xml:space="preserve">Hessel P, Avendano M. Are economic recessions at the time of leaving school associated with worse physical functioning in later life? </w:t>
      </w:r>
      <w:r w:rsidRPr="00C55689">
        <w:rPr>
          <w:i/>
        </w:rPr>
        <w:t xml:space="preserve">Annals of epidemiology. </w:t>
      </w:r>
      <w:r w:rsidRPr="00C55689">
        <w:t>2013;23(11):708-715.</w:t>
      </w:r>
    </w:p>
    <w:p w14:paraId="77E1DB12" w14:textId="77777777" w:rsidR="00C55689" w:rsidRPr="00C55689" w:rsidRDefault="00C55689" w:rsidP="00C55689">
      <w:pPr>
        <w:pStyle w:val="EndNoteBibliography"/>
        <w:ind w:left="720" w:hanging="720"/>
      </w:pPr>
      <w:r w:rsidRPr="00C55689">
        <w:rPr>
          <w:b/>
        </w:rPr>
        <w:t>33.</w:t>
      </w:r>
      <w:r w:rsidRPr="00C55689">
        <w:tab/>
        <w:t xml:space="preserve">Noelke C, Beckfield J. Recessions, job loss, and mortality among older US adults. </w:t>
      </w:r>
      <w:r w:rsidRPr="00C55689">
        <w:rPr>
          <w:i/>
        </w:rPr>
        <w:t xml:space="preserve">American journal of public health. </w:t>
      </w:r>
      <w:r w:rsidRPr="00C55689">
        <w:t>2014;104(11):e126-e134.</w:t>
      </w:r>
    </w:p>
    <w:p w14:paraId="59198127" w14:textId="59FA7185" w:rsidR="00B4454B" w:rsidRPr="004A2D65" w:rsidRDefault="00F42B09">
      <w:r w:rsidRPr="004A2D65">
        <w:fldChar w:fldCharType="end"/>
      </w:r>
    </w:p>
    <w:sectPr w:rsidR="00B4454B" w:rsidRPr="004A2D65" w:rsidSect="005706C7">
      <w:footerReference w:type="default" r:id="rId8"/>
      <w:pgSz w:w="12240" w:h="15840" w:code="1"/>
      <w:pgMar w:top="1987"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13952" w14:textId="77777777" w:rsidR="00D47336" w:rsidRDefault="00D47336" w:rsidP="004A2D65">
      <w:r>
        <w:separator/>
      </w:r>
    </w:p>
  </w:endnote>
  <w:endnote w:type="continuationSeparator" w:id="0">
    <w:p w14:paraId="23B7B084" w14:textId="77777777" w:rsidR="00D47336" w:rsidRDefault="00D47336" w:rsidP="004A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kzidenzGroteskBE-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342918"/>
      <w:docPartObj>
        <w:docPartGallery w:val="Page Numbers (Bottom of Page)"/>
        <w:docPartUnique/>
      </w:docPartObj>
    </w:sdtPr>
    <w:sdtEndPr>
      <w:rPr>
        <w:noProof/>
      </w:rPr>
    </w:sdtEndPr>
    <w:sdtContent>
      <w:p w14:paraId="642A53EE" w14:textId="7A4EB0B2" w:rsidR="004A2D65" w:rsidRDefault="004A2D65">
        <w:pPr>
          <w:pStyle w:val="Footer"/>
          <w:jc w:val="center"/>
        </w:pPr>
        <w:r>
          <w:fldChar w:fldCharType="begin"/>
        </w:r>
        <w:r>
          <w:instrText xml:space="preserve"> PAGE   \* MERGEFORMAT </w:instrText>
        </w:r>
        <w:r>
          <w:fldChar w:fldCharType="separate"/>
        </w:r>
        <w:r w:rsidR="00C55689">
          <w:rPr>
            <w:noProof/>
          </w:rPr>
          <w:t>11</w:t>
        </w:r>
        <w:r>
          <w:rPr>
            <w:noProof/>
          </w:rPr>
          <w:fldChar w:fldCharType="end"/>
        </w:r>
      </w:p>
    </w:sdtContent>
  </w:sdt>
  <w:p w14:paraId="6E7C5E82" w14:textId="77777777" w:rsidR="004A2D65" w:rsidRDefault="004A2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B60B0" w14:textId="77777777" w:rsidR="00D47336" w:rsidRDefault="00D47336" w:rsidP="004A2D65">
      <w:r>
        <w:separator/>
      </w:r>
    </w:p>
  </w:footnote>
  <w:footnote w:type="continuationSeparator" w:id="0">
    <w:p w14:paraId="2AED8A4C" w14:textId="77777777" w:rsidR="00D47336" w:rsidRDefault="00D47336" w:rsidP="004A2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4A5D5C-4D07-40CA-A8C5-F3E825CA1BA2}"/>
    <w:docVar w:name="dgnword-eventsink" w:val="212957984"/>
    <w:docVar w:name="EN.InstantFormat" w:val="&lt;ENInstantFormat&gt;&lt;Enabled&gt;1&lt;/Enabled&gt;&lt;ScanUnformatted&gt;1&lt;/ScanUnformatted&gt;&lt;ScanChanges&gt;1&lt;/ScanChanges&gt;&lt;Suspended&gt;0&lt;/Suspended&gt;&lt;/ENInstantFormat&gt;"/>
    <w:docVar w:name="EN.Layout" w:val="&lt;ENLayout&gt;&lt;Style&gt;Amer J Health Promo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x5pf05fsvt9kedzd5vpts6d5zdatteaww9&quot;&gt;Endnote prova&lt;record-ids&gt;&lt;item&gt;408&lt;/item&gt;&lt;item&gt;531&lt;/item&gt;&lt;item&gt;658&lt;/item&gt;&lt;item&gt;747&lt;/item&gt;&lt;item&gt;783&lt;/item&gt;&lt;item&gt;810&lt;/item&gt;&lt;item&gt;811&lt;/item&gt;&lt;item&gt;813&lt;/item&gt;&lt;item&gt;815&lt;/item&gt;&lt;item&gt;816&lt;/item&gt;&lt;item&gt;817&lt;/item&gt;&lt;item&gt;818&lt;/item&gt;&lt;item&gt;819&lt;/item&gt;&lt;item&gt;820&lt;/item&gt;&lt;item&gt;821&lt;/item&gt;&lt;item&gt;822&lt;/item&gt;&lt;item&gt;823&lt;/item&gt;&lt;item&gt;824&lt;/item&gt;&lt;item&gt;825&lt;/item&gt;&lt;item&gt;826&lt;/item&gt;&lt;item&gt;827&lt;/item&gt;&lt;item&gt;831&lt;/item&gt;&lt;item&gt;832&lt;/item&gt;&lt;item&gt;833&lt;/item&gt;&lt;item&gt;834&lt;/item&gt;&lt;item&gt;835&lt;/item&gt;&lt;item&gt;836&lt;/item&gt;&lt;item&gt;838&lt;/item&gt;&lt;item&gt;839&lt;/item&gt;&lt;item&gt;840&lt;/item&gt;&lt;item&gt;841&lt;/item&gt;&lt;item&gt;842&lt;/item&gt;&lt;item&gt;843&lt;/item&gt;&lt;/record-ids&gt;&lt;/item&gt;&lt;/Libraries&gt;"/>
  </w:docVars>
  <w:rsids>
    <w:rsidRoot w:val="00F9519F"/>
    <w:rsid w:val="00021284"/>
    <w:rsid w:val="00023963"/>
    <w:rsid w:val="000376D1"/>
    <w:rsid w:val="00067850"/>
    <w:rsid w:val="0007550B"/>
    <w:rsid w:val="00081511"/>
    <w:rsid w:val="00087612"/>
    <w:rsid w:val="000C1456"/>
    <w:rsid w:val="00120931"/>
    <w:rsid w:val="00121DED"/>
    <w:rsid w:val="0014508D"/>
    <w:rsid w:val="00164E0D"/>
    <w:rsid w:val="001B1EB0"/>
    <w:rsid w:val="001C319A"/>
    <w:rsid w:val="001E04B4"/>
    <w:rsid w:val="001F755A"/>
    <w:rsid w:val="00211DB0"/>
    <w:rsid w:val="002332C9"/>
    <w:rsid w:val="002372FB"/>
    <w:rsid w:val="0026698C"/>
    <w:rsid w:val="00266C26"/>
    <w:rsid w:val="00273D5B"/>
    <w:rsid w:val="002872A8"/>
    <w:rsid w:val="002A7AB0"/>
    <w:rsid w:val="002C292C"/>
    <w:rsid w:val="002D7C71"/>
    <w:rsid w:val="002E2ABA"/>
    <w:rsid w:val="002F16EA"/>
    <w:rsid w:val="00306801"/>
    <w:rsid w:val="00321D43"/>
    <w:rsid w:val="00331E8D"/>
    <w:rsid w:val="00335FB1"/>
    <w:rsid w:val="0034758D"/>
    <w:rsid w:val="003773F2"/>
    <w:rsid w:val="00387FD8"/>
    <w:rsid w:val="003A42D4"/>
    <w:rsid w:val="003A4612"/>
    <w:rsid w:val="003B50FD"/>
    <w:rsid w:val="003D68D1"/>
    <w:rsid w:val="003E6858"/>
    <w:rsid w:val="003F5493"/>
    <w:rsid w:val="00401F02"/>
    <w:rsid w:val="00404263"/>
    <w:rsid w:val="00413E09"/>
    <w:rsid w:val="00414F0F"/>
    <w:rsid w:val="00461B1F"/>
    <w:rsid w:val="004744CF"/>
    <w:rsid w:val="004A2D65"/>
    <w:rsid w:val="004B01F5"/>
    <w:rsid w:val="004D1A99"/>
    <w:rsid w:val="004E0B6A"/>
    <w:rsid w:val="005007FB"/>
    <w:rsid w:val="00515CB7"/>
    <w:rsid w:val="00524EFC"/>
    <w:rsid w:val="005315DB"/>
    <w:rsid w:val="00543FE5"/>
    <w:rsid w:val="005527E6"/>
    <w:rsid w:val="00554AFE"/>
    <w:rsid w:val="005559E3"/>
    <w:rsid w:val="005611EB"/>
    <w:rsid w:val="00566AD8"/>
    <w:rsid w:val="005706C7"/>
    <w:rsid w:val="00570DF6"/>
    <w:rsid w:val="00577268"/>
    <w:rsid w:val="0058330B"/>
    <w:rsid w:val="00595781"/>
    <w:rsid w:val="005A5A56"/>
    <w:rsid w:val="005C3AE3"/>
    <w:rsid w:val="005D0F8D"/>
    <w:rsid w:val="005E619C"/>
    <w:rsid w:val="006078C6"/>
    <w:rsid w:val="00610DDD"/>
    <w:rsid w:val="006166B0"/>
    <w:rsid w:val="00617BAF"/>
    <w:rsid w:val="006348EA"/>
    <w:rsid w:val="0065491F"/>
    <w:rsid w:val="006A5F69"/>
    <w:rsid w:val="006D04EB"/>
    <w:rsid w:val="006E6536"/>
    <w:rsid w:val="006F4449"/>
    <w:rsid w:val="007137D8"/>
    <w:rsid w:val="007713C6"/>
    <w:rsid w:val="007A35DC"/>
    <w:rsid w:val="007B6068"/>
    <w:rsid w:val="007C4B09"/>
    <w:rsid w:val="007D1F29"/>
    <w:rsid w:val="0080287C"/>
    <w:rsid w:val="008071D9"/>
    <w:rsid w:val="00863D14"/>
    <w:rsid w:val="0087699F"/>
    <w:rsid w:val="00886197"/>
    <w:rsid w:val="008A26D5"/>
    <w:rsid w:val="008C17DF"/>
    <w:rsid w:val="008D7863"/>
    <w:rsid w:val="008E0126"/>
    <w:rsid w:val="008E1D05"/>
    <w:rsid w:val="008E5B3A"/>
    <w:rsid w:val="008F7C98"/>
    <w:rsid w:val="00963845"/>
    <w:rsid w:val="00976341"/>
    <w:rsid w:val="00982A9D"/>
    <w:rsid w:val="009A0FF6"/>
    <w:rsid w:val="009A726F"/>
    <w:rsid w:val="009C4C27"/>
    <w:rsid w:val="009D322A"/>
    <w:rsid w:val="009E5D45"/>
    <w:rsid w:val="009F06E1"/>
    <w:rsid w:val="00A55260"/>
    <w:rsid w:val="00A6799D"/>
    <w:rsid w:val="00AA756E"/>
    <w:rsid w:val="00AC005C"/>
    <w:rsid w:val="00AC5B37"/>
    <w:rsid w:val="00AD31B7"/>
    <w:rsid w:val="00AE1BF6"/>
    <w:rsid w:val="00B00E32"/>
    <w:rsid w:val="00B01970"/>
    <w:rsid w:val="00B038E2"/>
    <w:rsid w:val="00B113D0"/>
    <w:rsid w:val="00B20403"/>
    <w:rsid w:val="00B23A1B"/>
    <w:rsid w:val="00B37CFD"/>
    <w:rsid w:val="00B37F7C"/>
    <w:rsid w:val="00B43B64"/>
    <w:rsid w:val="00B4454B"/>
    <w:rsid w:val="00B54932"/>
    <w:rsid w:val="00B56BCC"/>
    <w:rsid w:val="00B70C6E"/>
    <w:rsid w:val="00BF71D1"/>
    <w:rsid w:val="00C0056D"/>
    <w:rsid w:val="00C109FB"/>
    <w:rsid w:val="00C120E1"/>
    <w:rsid w:val="00C158A8"/>
    <w:rsid w:val="00C2620C"/>
    <w:rsid w:val="00C32A5B"/>
    <w:rsid w:val="00C501A5"/>
    <w:rsid w:val="00C55689"/>
    <w:rsid w:val="00C67F11"/>
    <w:rsid w:val="00C75072"/>
    <w:rsid w:val="00C76A14"/>
    <w:rsid w:val="00C8680C"/>
    <w:rsid w:val="00C86FF1"/>
    <w:rsid w:val="00CD7844"/>
    <w:rsid w:val="00CE247D"/>
    <w:rsid w:val="00CF0442"/>
    <w:rsid w:val="00D47336"/>
    <w:rsid w:val="00D508F8"/>
    <w:rsid w:val="00D5141A"/>
    <w:rsid w:val="00D55E66"/>
    <w:rsid w:val="00D73B48"/>
    <w:rsid w:val="00D75905"/>
    <w:rsid w:val="00D96113"/>
    <w:rsid w:val="00DC0592"/>
    <w:rsid w:val="00DE0BA3"/>
    <w:rsid w:val="00E0513B"/>
    <w:rsid w:val="00E10547"/>
    <w:rsid w:val="00E16B80"/>
    <w:rsid w:val="00E2368C"/>
    <w:rsid w:val="00E535EF"/>
    <w:rsid w:val="00E629F6"/>
    <w:rsid w:val="00E62ECD"/>
    <w:rsid w:val="00E8134C"/>
    <w:rsid w:val="00E91782"/>
    <w:rsid w:val="00EA233B"/>
    <w:rsid w:val="00EB04FB"/>
    <w:rsid w:val="00EB0C1F"/>
    <w:rsid w:val="00EB6457"/>
    <w:rsid w:val="00ED1F85"/>
    <w:rsid w:val="00ED3121"/>
    <w:rsid w:val="00EF56FB"/>
    <w:rsid w:val="00F20E95"/>
    <w:rsid w:val="00F411A5"/>
    <w:rsid w:val="00F42B09"/>
    <w:rsid w:val="00F45F03"/>
    <w:rsid w:val="00F50B5C"/>
    <w:rsid w:val="00F54387"/>
    <w:rsid w:val="00F92C84"/>
    <w:rsid w:val="00F9519F"/>
    <w:rsid w:val="00FB5C2A"/>
    <w:rsid w:val="00FB6D17"/>
    <w:rsid w:val="00FD414A"/>
    <w:rsid w:val="00FE1FD6"/>
    <w:rsid w:val="00FF2ED2"/>
    <w:rsid w:val="00FF4C03"/>
    <w:rsid w:val="00FF7027"/>
    <w:rsid w:val="5DE9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FC6B4"/>
  <w14:defaultImageDpi w14:val="300"/>
  <w15:docId w15:val="{8BC4248E-4AAF-4624-9A85-EFE9231E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3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D4"/>
    <w:rPr>
      <w:color w:val="0000FF" w:themeColor="hyperlink"/>
      <w:u w:val="single"/>
    </w:rPr>
  </w:style>
  <w:style w:type="paragraph" w:styleId="BalloonText">
    <w:name w:val="Balloon Text"/>
    <w:basedOn w:val="Normal"/>
    <w:link w:val="BalloonTextChar"/>
    <w:uiPriority w:val="99"/>
    <w:semiHidden/>
    <w:unhideWhenUsed/>
    <w:rsid w:val="008E5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3A"/>
    <w:rPr>
      <w:rFonts w:ascii="Segoe UI" w:hAnsi="Segoe UI" w:cs="Segoe UI"/>
      <w:sz w:val="18"/>
      <w:szCs w:val="18"/>
    </w:rPr>
  </w:style>
  <w:style w:type="character" w:styleId="CommentReference">
    <w:name w:val="annotation reference"/>
    <w:basedOn w:val="DefaultParagraphFont"/>
    <w:uiPriority w:val="99"/>
    <w:semiHidden/>
    <w:unhideWhenUsed/>
    <w:rsid w:val="008E5B3A"/>
    <w:rPr>
      <w:sz w:val="16"/>
      <w:szCs w:val="16"/>
    </w:rPr>
  </w:style>
  <w:style w:type="paragraph" w:styleId="CommentText">
    <w:name w:val="annotation text"/>
    <w:basedOn w:val="Normal"/>
    <w:link w:val="CommentTextChar"/>
    <w:uiPriority w:val="99"/>
    <w:semiHidden/>
    <w:unhideWhenUsed/>
    <w:rsid w:val="008E5B3A"/>
    <w:rPr>
      <w:sz w:val="20"/>
      <w:szCs w:val="20"/>
    </w:rPr>
  </w:style>
  <w:style w:type="character" w:customStyle="1" w:styleId="CommentTextChar">
    <w:name w:val="Comment Text Char"/>
    <w:basedOn w:val="DefaultParagraphFont"/>
    <w:link w:val="CommentText"/>
    <w:uiPriority w:val="99"/>
    <w:semiHidden/>
    <w:rsid w:val="008E5B3A"/>
    <w:rPr>
      <w:sz w:val="20"/>
      <w:szCs w:val="20"/>
    </w:rPr>
  </w:style>
  <w:style w:type="paragraph" w:styleId="CommentSubject">
    <w:name w:val="annotation subject"/>
    <w:basedOn w:val="CommentText"/>
    <w:next w:val="CommentText"/>
    <w:link w:val="CommentSubjectChar"/>
    <w:uiPriority w:val="99"/>
    <w:semiHidden/>
    <w:unhideWhenUsed/>
    <w:rsid w:val="008E5B3A"/>
    <w:rPr>
      <w:b/>
      <w:bCs/>
    </w:rPr>
  </w:style>
  <w:style w:type="character" w:customStyle="1" w:styleId="CommentSubjectChar">
    <w:name w:val="Comment Subject Char"/>
    <w:basedOn w:val="CommentTextChar"/>
    <w:link w:val="CommentSubject"/>
    <w:uiPriority w:val="99"/>
    <w:semiHidden/>
    <w:rsid w:val="008E5B3A"/>
    <w:rPr>
      <w:b/>
      <w:bCs/>
      <w:sz w:val="20"/>
      <w:szCs w:val="20"/>
    </w:rPr>
  </w:style>
  <w:style w:type="paragraph" w:styleId="NoSpacing">
    <w:name w:val="No Spacing"/>
    <w:uiPriority w:val="1"/>
    <w:qFormat/>
    <w:rsid w:val="00D96113"/>
  </w:style>
  <w:style w:type="character" w:customStyle="1" w:styleId="Heading1Char">
    <w:name w:val="Heading 1 Char"/>
    <w:basedOn w:val="DefaultParagraphFont"/>
    <w:link w:val="Heading1"/>
    <w:uiPriority w:val="9"/>
    <w:rsid w:val="00E8134C"/>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8"/>
    <w:qFormat/>
    <w:rsid w:val="001F755A"/>
    <w:pPr>
      <w:numPr>
        <w:ilvl w:val="1"/>
      </w:numPr>
      <w:spacing w:after="160" w:line="480" w:lineRule="auto"/>
      <w:ind w:firstLine="720"/>
    </w:pPr>
    <w:rPr>
      <w:rFonts w:cs="Times New Roman"/>
      <w:color w:val="5A5A5A" w:themeColor="text1" w:themeTint="A5"/>
      <w:spacing w:val="15"/>
      <w:kern w:val="24"/>
      <w:sz w:val="22"/>
      <w:szCs w:val="22"/>
      <w:lang w:val="nb-NO" w:eastAsia="nb-NO"/>
    </w:rPr>
  </w:style>
  <w:style w:type="character" w:customStyle="1" w:styleId="SubtitleChar">
    <w:name w:val="Subtitle Char"/>
    <w:basedOn w:val="DefaultParagraphFont"/>
    <w:link w:val="Subtitle"/>
    <w:uiPriority w:val="18"/>
    <w:rsid w:val="001F755A"/>
    <w:rPr>
      <w:rFonts w:cs="Times New Roman"/>
      <w:color w:val="5A5A5A" w:themeColor="text1" w:themeTint="A5"/>
      <w:spacing w:val="15"/>
      <w:kern w:val="24"/>
      <w:sz w:val="22"/>
      <w:szCs w:val="22"/>
      <w:lang w:val="nb-NO" w:eastAsia="nb-NO"/>
    </w:rPr>
  </w:style>
  <w:style w:type="paragraph" w:styleId="Revision">
    <w:name w:val="Revision"/>
    <w:hidden/>
    <w:uiPriority w:val="99"/>
    <w:semiHidden/>
    <w:rsid w:val="003E6858"/>
  </w:style>
  <w:style w:type="paragraph" w:customStyle="1" w:styleId="EndNoteBibliographyTitle">
    <w:name w:val="EndNote Bibliography Title"/>
    <w:basedOn w:val="Normal"/>
    <w:link w:val="EndNoteBibliographyTitleChar"/>
    <w:rsid w:val="00F42B0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42B09"/>
    <w:rPr>
      <w:rFonts w:ascii="Cambria" w:hAnsi="Cambria"/>
      <w:noProof/>
    </w:rPr>
  </w:style>
  <w:style w:type="paragraph" w:customStyle="1" w:styleId="EndNoteBibliography">
    <w:name w:val="EndNote Bibliography"/>
    <w:basedOn w:val="Normal"/>
    <w:link w:val="EndNoteBibliographyChar"/>
    <w:rsid w:val="00F42B09"/>
    <w:rPr>
      <w:rFonts w:ascii="Cambria" w:hAnsi="Cambria"/>
      <w:noProof/>
    </w:rPr>
  </w:style>
  <w:style w:type="character" w:customStyle="1" w:styleId="EndNoteBibliographyChar">
    <w:name w:val="EndNote Bibliography Char"/>
    <w:basedOn w:val="DefaultParagraphFont"/>
    <w:link w:val="EndNoteBibliography"/>
    <w:rsid w:val="00F42B09"/>
    <w:rPr>
      <w:rFonts w:ascii="Cambria" w:hAnsi="Cambria"/>
      <w:noProof/>
    </w:rPr>
  </w:style>
  <w:style w:type="paragraph" w:styleId="Header">
    <w:name w:val="header"/>
    <w:basedOn w:val="Normal"/>
    <w:link w:val="HeaderChar"/>
    <w:uiPriority w:val="99"/>
    <w:unhideWhenUsed/>
    <w:rsid w:val="004A2D65"/>
    <w:pPr>
      <w:tabs>
        <w:tab w:val="center" w:pos="4680"/>
        <w:tab w:val="right" w:pos="9360"/>
      </w:tabs>
    </w:pPr>
  </w:style>
  <w:style w:type="character" w:customStyle="1" w:styleId="HeaderChar">
    <w:name w:val="Header Char"/>
    <w:basedOn w:val="DefaultParagraphFont"/>
    <w:link w:val="Header"/>
    <w:uiPriority w:val="99"/>
    <w:rsid w:val="004A2D65"/>
  </w:style>
  <w:style w:type="paragraph" w:styleId="Footer">
    <w:name w:val="footer"/>
    <w:basedOn w:val="Normal"/>
    <w:link w:val="FooterChar"/>
    <w:uiPriority w:val="99"/>
    <w:unhideWhenUsed/>
    <w:rsid w:val="004A2D65"/>
    <w:pPr>
      <w:tabs>
        <w:tab w:val="center" w:pos="4680"/>
        <w:tab w:val="right" w:pos="9360"/>
      </w:tabs>
    </w:pPr>
  </w:style>
  <w:style w:type="character" w:customStyle="1" w:styleId="FooterChar">
    <w:name w:val="Footer Char"/>
    <w:basedOn w:val="DefaultParagraphFont"/>
    <w:link w:val="Footer"/>
    <w:uiPriority w:val="99"/>
    <w:rsid w:val="004A2D65"/>
  </w:style>
  <w:style w:type="paragraph" w:styleId="BodyText">
    <w:name w:val="Body Text"/>
    <w:basedOn w:val="Normal"/>
    <w:link w:val="BodyTextChar"/>
    <w:uiPriority w:val="99"/>
    <w:unhideWhenUsed/>
    <w:rsid w:val="00976341"/>
    <w:pPr>
      <w:spacing w:after="120" w:line="276" w:lineRule="auto"/>
    </w:pPr>
    <w:rPr>
      <w:rFonts w:ascii="Calibri" w:eastAsia="Calibri" w:hAnsi="Calibri" w:cs="Times New Roman"/>
      <w:sz w:val="20"/>
      <w:szCs w:val="20"/>
      <w:lang w:val="nb-NO" w:eastAsia="x-none"/>
    </w:rPr>
  </w:style>
  <w:style w:type="character" w:customStyle="1" w:styleId="BodyTextChar">
    <w:name w:val="Body Text Char"/>
    <w:basedOn w:val="DefaultParagraphFont"/>
    <w:link w:val="BodyText"/>
    <w:uiPriority w:val="99"/>
    <w:rsid w:val="00976341"/>
    <w:rPr>
      <w:rFonts w:ascii="Calibri" w:eastAsia="Calibri" w:hAnsi="Calibri" w:cs="Times New Roman"/>
      <w:sz w:val="20"/>
      <w:szCs w:val="20"/>
      <w:lang w:val="nb-N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12">
      <w:bodyDiv w:val="1"/>
      <w:marLeft w:val="0"/>
      <w:marRight w:val="0"/>
      <w:marTop w:val="0"/>
      <w:marBottom w:val="0"/>
      <w:divBdr>
        <w:top w:val="none" w:sz="0" w:space="0" w:color="auto"/>
        <w:left w:val="none" w:sz="0" w:space="0" w:color="auto"/>
        <w:bottom w:val="none" w:sz="0" w:space="0" w:color="auto"/>
        <w:right w:val="none" w:sz="0" w:space="0" w:color="auto"/>
      </w:divBdr>
    </w:div>
    <w:div w:id="46300324">
      <w:bodyDiv w:val="1"/>
      <w:marLeft w:val="0"/>
      <w:marRight w:val="0"/>
      <w:marTop w:val="0"/>
      <w:marBottom w:val="0"/>
      <w:divBdr>
        <w:top w:val="none" w:sz="0" w:space="0" w:color="auto"/>
        <w:left w:val="none" w:sz="0" w:space="0" w:color="auto"/>
        <w:bottom w:val="none" w:sz="0" w:space="0" w:color="auto"/>
        <w:right w:val="none" w:sz="0" w:space="0" w:color="auto"/>
      </w:divBdr>
    </w:div>
    <w:div w:id="257831381">
      <w:bodyDiv w:val="1"/>
      <w:marLeft w:val="0"/>
      <w:marRight w:val="0"/>
      <w:marTop w:val="0"/>
      <w:marBottom w:val="0"/>
      <w:divBdr>
        <w:top w:val="none" w:sz="0" w:space="0" w:color="auto"/>
        <w:left w:val="none" w:sz="0" w:space="0" w:color="auto"/>
        <w:bottom w:val="none" w:sz="0" w:space="0" w:color="auto"/>
        <w:right w:val="none" w:sz="0" w:space="0" w:color="auto"/>
      </w:divBdr>
    </w:div>
    <w:div w:id="290213210">
      <w:bodyDiv w:val="1"/>
      <w:marLeft w:val="0"/>
      <w:marRight w:val="0"/>
      <w:marTop w:val="0"/>
      <w:marBottom w:val="0"/>
      <w:divBdr>
        <w:top w:val="none" w:sz="0" w:space="0" w:color="auto"/>
        <w:left w:val="none" w:sz="0" w:space="0" w:color="auto"/>
        <w:bottom w:val="none" w:sz="0" w:space="0" w:color="auto"/>
        <w:right w:val="none" w:sz="0" w:space="0" w:color="auto"/>
      </w:divBdr>
    </w:div>
    <w:div w:id="292560106">
      <w:bodyDiv w:val="1"/>
      <w:marLeft w:val="0"/>
      <w:marRight w:val="0"/>
      <w:marTop w:val="0"/>
      <w:marBottom w:val="0"/>
      <w:divBdr>
        <w:top w:val="none" w:sz="0" w:space="0" w:color="auto"/>
        <w:left w:val="none" w:sz="0" w:space="0" w:color="auto"/>
        <w:bottom w:val="none" w:sz="0" w:space="0" w:color="auto"/>
        <w:right w:val="none" w:sz="0" w:space="0" w:color="auto"/>
      </w:divBdr>
    </w:div>
    <w:div w:id="449057200">
      <w:bodyDiv w:val="1"/>
      <w:marLeft w:val="0"/>
      <w:marRight w:val="0"/>
      <w:marTop w:val="0"/>
      <w:marBottom w:val="0"/>
      <w:divBdr>
        <w:top w:val="none" w:sz="0" w:space="0" w:color="auto"/>
        <w:left w:val="none" w:sz="0" w:space="0" w:color="auto"/>
        <w:bottom w:val="none" w:sz="0" w:space="0" w:color="auto"/>
        <w:right w:val="none" w:sz="0" w:space="0" w:color="auto"/>
      </w:divBdr>
    </w:div>
    <w:div w:id="552959675">
      <w:bodyDiv w:val="1"/>
      <w:marLeft w:val="0"/>
      <w:marRight w:val="0"/>
      <w:marTop w:val="0"/>
      <w:marBottom w:val="0"/>
      <w:divBdr>
        <w:top w:val="none" w:sz="0" w:space="0" w:color="auto"/>
        <w:left w:val="none" w:sz="0" w:space="0" w:color="auto"/>
        <w:bottom w:val="none" w:sz="0" w:space="0" w:color="auto"/>
        <w:right w:val="none" w:sz="0" w:space="0" w:color="auto"/>
      </w:divBdr>
    </w:div>
    <w:div w:id="606818416">
      <w:bodyDiv w:val="1"/>
      <w:marLeft w:val="0"/>
      <w:marRight w:val="0"/>
      <w:marTop w:val="0"/>
      <w:marBottom w:val="0"/>
      <w:divBdr>
        <w:top w:val="none" w:sz="0" w:space="0" w:color="auto"/>
        <w:left w:val="none" w:sz="0" w:space="0" w:color="auto"/>
        <w:bottom w:val="none" w:sz="0" w:space="0" w:color="auto"/>
        <w:right w:val="none" w:sz="0" w:space="0" w:color="auto"/>
      </w:divBdr>
    </w:div>
    <w:div w:id="625506327">
      <w:bodyDiv w:val="1"/>
      <w:marLeft w:val="0"/>
      <w:marRight w:val="0"/>
      <w:marTop w:val="0"/>
      <w:marBottom w:val="0"/>
      <w:divBdr>
        <w:top w:val="none" w:sz="0" w:space="0" w:color="auto"/>
        <w:left w:val="none" w:sz="0" w:space="0" w:color="auto"/>
        <w:bottom w:val="none" w:sz="0" w:space="0" w:color="auto"/>
        <w:right w:val="none" w:sz="0" w:space="0" w:color="auto"/>
      </w:divBdr>
    </w:div>
    <w:div w:id="649791088">
      <w:bodyDiv w:val="1"/>
      <w:marLeft w:val="0"/>
      <w:marRight w:val="0"/>
      <w:marTop w:val="0"/>
      <w:marBottom w:val="0"/>
      <w:divBdr>
        <w:top w:val="none" w:sz="0" w:space="0" w:color="auto"/>
        <w:left w:val="none" w:sz="0" w:space="0" w:color="auto"/>
        <w:bottom w:val="none" w:sz="0" w:space="0" w:color="auto"/>
        <w:right w:val="none" w:sz="0" w:space="0" w:color="auto"/>
      </w:divBdr>
    </w:div>
    <w:div w:id="660936133">
      <w:bodyDiv w:val="1"/>
      <w:marLeft w:val="0"/>
      <w:marRight w:val="0"/>
      <w:marTop w:val="0"/>
      <w:marBottom w:val="0"/>
      <w:divBdr>
        <w:top w:val="none" w:sz="0" w:space="0" w:color="auto"/>
        <w:left w:val="none" w:sz="0" w:space="0" w:color="auto"/>
        <w:bottom w:val="none" w:sz="0" w:space="0" w:color="auto"/>
        <w:right w:val="none" w:sz="0" w:space="0" w:color="auto"/>
      </w:divBdr>
    </w:div>
    <w:div w:id="665590714">
      <w:bodyDiv w:val="1"/>
      <w:marLeft w:val="0"/>
      <w:marRight w:val="0"/>
      <w:marTop w:val="0"/>
      <w:marBottom w:val="0"/>
      <w:divBdr>
        <w:top w:val="none" w:sz="0" w:space="0" w:color="auto"/>
        <w:left w:val="none" w:sz="0" w:space="0" w:color="auto"/>
        <w:bottom w:val="none" w:sz="0" w:space="0" w:color="auto"/>
        <w:right w:val="none" w:sz="0" w:space="0" w:color="auto"/>
      </w:divBdr>
    </w:div>
    <w:div w:id="739980121">
      <w:bodyDiv w:val="1"/>
      <w:marLeft w:val="0"/>
      <w:marRight w:val="0"/>
      <w:marTop w:val="0"/>
      <w:marBottom w:val="0"/>
      <w:divBdr>
        <w:top w:val="none" w:sz="0" w:space="0" w:color="auto"/>
        <w:left w:val="none" w:sz="0" w:space="0" w:color="auto"/>
        <w:bottom w:val="none" w:sz="0" w:space="0" w:color="auto"/>
        <w:right w:val="none" w:sz="0" w:space="0" w:color="auto"/>
      </w:divBdr>
    </w:div>
    <w:div w:id="758983732">
      <w:bodyDiv w:val="1"/>
      <w:marLeft w:val="0"/>
      <w:marRight w:val="0"/>
      <w:marTop w:val="0"/>
      <w:marBottom w:val="0"/>
      <w:divBdr>
        <w:top w:val="none" w:sz="0" w:space="0" w:color="auto"/>
        <w:left w:val="none" w:sz="0" w:space="0" w:color="auto"/>
        <w:bottom w:val="none" w:sz="0" w:space="0" w:color="auto"/>
        <w:right w:val="none" w:sz="0" w:space="0" w:color="auto"/>
      </w:divBdr>
    </w:div>
    <w:div w:id="930510111">
      <w:bodyDiv w:val="1"/>
      <w:marLeft w:val="0"/>
      <w:marRight w:val="0"/>
      <w:marTop w:val="0"/>
      <w:marBottom w:val="0"/>
      <w:divBdr>
        <w:top w:val="none" w:sz="0" w:space="0" w:color="auto"/>
        <w:left w:val="none" w:sz="0" w:space="0" w:color="auto"/>
        <w:bottom w:val="none" w:sz="0" w:space="0" w:color="auto"/>
        <w:right w:val="none" w:sz="0" w:space="0" w:color="auto"/>
      </w:divBdr>
    </w:div>
    <w:div w:id="999312818">
      <w:bodyDiv w:val="1"/>
      <w:marLeft w:val="0"/>
      <w:marRight w:val="0"/>
      <w:marTop w:val="0"/>
      <w:marBottom w:val="0"/>
      <w:divBdr>
        <w:top w:val="none" w:sz="0" w:space="0" w:color="auto"/>
        <w:left w:val="none" w:sz="0" w:space="0" w:color="auto"/>
        <w:bottom w:val="none" w:sz="0" w:space="0" w:color="auto"/>
        <w:right w:val="none" w:sz="0" w:space="0" w:color="auto"/>
      </w:divBdr>
    </w:div>
    <w:div w:id="1173715012">
      <w:bodyDiv w:val="1"/>
      <w:marLeft w:val="0"/>
      <w:marRight w:val="0"/>
      <w:marTop w:val="0"/>
      <w:marBottom w:val="0"/>
      <w:divBdr>
        <w:top w:val="none" w:sz="0" w:space="0" w:color="auto"/>
        <w:left w:val="none" w:sz="0" w:space="0" w:color="auto"/>
        <w:bottom w:val="none" w:sz="0" w:space="0" w:color="auto"/>
        <w:right w:val="none" w:sz="0" w:space="0" w:color="auto"/>
      </w:divBdr>
    </w:div>
    <w:div w:id="1343387574">
      <w:bodyDiv w:val="1"/>
      <w:marLeft w:val="0"/>
      <w:marRight w:val="0"/>
      <w:marTop w:val="0"/>
      <w:marBottom w:val="0"/>
      <w:divBdr>
        <w:top w:val="none" w:sz="0" w:space="0" w:color="auto"/>
        <w:left w:val="none" w:sz="0" w:space="0" w:color="auto"/>
        <w:bottom w:val="none" w:sz="0" w:space="0" w:color="auto"/>
        <w:right w:val="none" w:sz="0" w:space="0" w:color="auto"/>
      </w:divBdr>
    </w:div>
    <w:div w:id="1423136848">
      <w:bodyDiv w:val="1"/>
      <w:marLeft w:val="0"/>
      <w:marRight w:val="0"/>
      <w:marTop w:val="0"/>
      <w:marBottom w:val="0"/>
      <w:divBdr>
        <w:top w:val="none" w:sz="0" w:space="0" w:color="auto"/>
        <w:left w:val="none" w:sz="0" w:space="0" w:color="auto"/>
        <w:bottom w:val="none" w:sz="0" w:space="0" w:color="auto"/>
        <w:right w:val="none" w:sz="0" w:space="0" w:color="auto"/>
      </w:divBdr>
    </w:div>
    <w:div w:id="1443377093">
      <w:bodyDiv w:val="1"/>
      <w:marLeft w:val="0"/>
      <w:marRight w:val="0"/>
      <w:marTop w:val="0"/>
      <w:marBottom w:val="0"/>
      <w:divBdr>
        <w:top w:val="none" w:sz="0" w:space="0" w:color="auto"/>
        <w:left w:val="none" w:sz="0" w:space="0" w:color="auto"/>
        <w:bottom w:val="none" w:sz="0" w:space="0" w:color="auto"/>
        <w:right w:val="none" w:sz="0" w:space="0" w:color="auto"/>
      </w:divBdr>
    </w:div>
    <w:div w:id="1451245281">
      <w:bodyDiv w:val="1"/>
      <w:marLeft w:val="0"/>
      <w:marRight w:val="0"/>
      <w:marTop w:val="0"/>
      <w:marBottom w:val="0"/>
      <w:divBdr>
        <w:top w:val="none" w:sz="0" w:space="0" w:color="auto"/>
        <w:left w:val="none" w:sz="0" w:space="0" w:color="auto"/>
        <w:bottom w:val="none" w:sz="0" w:space="0" w:color="auto"/>
        <w:right w:val="none" w:sz="0" w:space="0" w:color="auto"/>
      </w:divBdr>
    </w:div>
    <w:div w:id="1499228199">
      <w:bodyDiv w:val="1"/>
      <w:marLeft w:val="0"/>
      <w:marRight w:val="0"/>
      <w:marTop w:val="0"/>
      <w:marBottom w:val="0"/>
      <w:divBdr>
        <w:top w:val="none" w:sz="0" w:space="0" w:color="auto"/>
        <w:left w:val="none" w:sz="0" w:space="0" w:color="auto"/>
        <w:bottom w:val="none" w:sz="0" w:space="0" w:color="auto"/>
        <w:right w:val="none" w:sz="0" w:space="0" w:color="auto"/>
      </w:divBdr>
    </w:div>
    <w:div w:id="1563759241">
      <w:bodyDiv w:val="1"/>
      <w:marLeft w:val="0"/>
      <w:marRight w:val="0"/>
      <w:marTop w:val="0"/>
      <w:marBottom w:val="0"/>
      <w:divBdr>
        <w:top w:val="none" w:sz="0" w:space="0" w:color="auto"/>
        <w:left w:val="none" w:sz="0" w:space="0" w:color="auto"/>
        <w:bottom w:val="none" w:sz="0" w:space="0" w:color="auto"/>
        <w:right w:val="none" w:sz="0" w:space="0" w:color="auto"/>
      </w:divBdr>
    </w:div>
    <w:div w:id="1565337346">
      <w:bodyDiv w:val="1"/>
      <w:marLeft w:val="0"/>
      <w:marRight w:val="0"/>
      <w:marTop w:val="0"/>
      <w:marBottom w:val="0"/>
      <w:divBdr>
        <w:top w:val="none" w:sz="0" w:space="0" w:color="auto"/>
        <w:left w:val="none" w:sz="0" w:space="0" w:color="auto"/>
        <w:bottom w:val="none" w:sz="0" w:space="0" w:color="auto"/>
        <w:right w:val="none" w:sz="0" w:space="0" w:color="auto"/>
      </w:divBdr>
    </w:div>
    <w:div w:id="1640845471">
      <w:bodyDiv w:val="1"/>
      <w:marLeft w:val="0"/>
      <w:marRight w:val="0"/>
      <w:marTop w:val="0"/>
      <w:marBottom w:val="0"/>
      <w:divBdr>
        <w:top w:val="none" w:sz="0" w:space="0" w:color="auto"/>
        <w:left w:val="none" w:sz="0" w:space="0" w:color="auto"/>
        <w:bottom w:val="none" w:sz="0" w:space="0" w:color="auto"/>
        <w:right w:val="none" w:sz="0" w:space="0" w:color="auto"/>
      </w:divBdr>
    </w:div>
    <w:div w:id="1659842885">
      <w:bodyDiv w:val="1"/>
      <w:marLeft w:val="0"/>
      <w:marRight w:val="0"/>
      <w:marTop w:val="0"/>
      <w:marBottom w:val="0"/>
      <w:divBdr>
        <w:top w:val="none" w:sz="0" w:space="0" w:color="auto"/>
        <w:left w:val="none" w:sz="0" w:space="0" w:color="auto"/>
        <w:bottom w:val="none" w:sz="0" w:space="0" w:color="auto"/>
        <w:right w:val="none" w:sz="0" w:space="0" w:color="auto"/>
      </w:divBdr>
    </w:div>
    <w:div w:id="1985350136">
      <w:bodyDiv w:val="1"/>
      <w:marLeft w:val="0"/>
      <w:marRight w:val="0"/>
      <w:marTop w:val="0"/>
      <w:marBottom w:val="0"/>
      <w:divBdr>
        <w:top w:val="none" w:sz="0" w:space="0" w:color="auto"/>
        <w:left w:val="none" w:sz="0" w:space="0" w:color="auto"/>
        <w:bottom w:val="none" w:sz="0" w:space="0" w:color="auto"/>
        <w:right w:val="none" w:sz="0" w:space="0" w:color="auto"/>
      </w:divBdr>
    </w:div>
    <w:div w:id="2065256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ace.net/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D763-F3EA-4861-90A6-DC4F2A11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10028</Words>
  <Characters>57166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Beckfield</dc:creator>
  <cp:lastModifiedBy>Mirza Balaj</cp:lastModifiedBy>
  <cp:revision>3</cp:revision>
  <cp:lastPrinted>2016-12-09T13:30:00Z</cp:lastPrinted>
  <dcterms:created xsi:type="dcterms:W3CDTF">2016-12-14T11:15:00Z</dcterms:created>
  <dcterms:modified xsi:type="dcterms:W3CDTF">2016-12-14T11:18:00Z</dcterms:modified>
</cp:coreProperties>
</file>