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4A858" w14:textId="067B46DF" w:rsidR="00E25BDB" w:rsidRPr="0026147B" w:rsidRDefault="00E25BDB" w:rsidP="00D73B69">
      <w:pPr>
        <w:pStyle w:val="NoSpacing"/>
        <w:rPr>
          <w:rFonts w:ascii="Times New Roman" w:hAnsi="Times New Roman" w:cs="Times New Roman"/>
          <w:b/>
          <w:sz w:val="28"/>
          <w:szCs w:val="28"/>
          <w:lang w:val="en-GB"/>
        </w:rPr>
      </w:pPr>
      <w:r w:rsidRPr="0026147B">
        <w:rPr>
          <w:rFonts w:ascii="Times New Roman" w:hAnsi="Times New Roman" w:cs="Times New Roman"/>
          <w:b/>
          <w:sz w:val="28"/>
          <w:szCs w:val="28"/>
          <w:lang w:val="en-GB"/>
        </w:rPr>
        <w:t>Exploring the differences in general practitioner and health care specialist utilization according to education, occupation, income and social network</w:t>
      </w:r>
      <w:r>
        <w:rPr>
          <w:rFonts w:ascii="Times New Roman" w:hAnsi="Times New Roman" w:cs="Times New Roman"/>
          <w:b/>
          <w:sz w:val="28"/>
          <w:szCs w:val="28"/>
          <w:lang w:val="en-GB"/>
        </w:rPr>
        <w:t>s</w:t>
      </w:r>
      <w:r w:rsidRPr="0026147B">
        <w:rPr>
          <w:rFonts w:ascii="Times New Roman" w:hAnsi="Times New Roman" w:cs="Times New Roman"/>
          <w:b/>
          <w:sz w:val="28"/>
          <w:szCs w:val="28"/>
          <w:lang w:val="en-GB"/>
        </w:rPr>
        <w:t xml:space="preserve"> across</w:t>
      </w:r>
      <w:r w:rsidR="001132EE">
        <w:rPr>
          <w:rFonts w:ascii="Times New Roman" w:hAnsi="Times New Roman" w:cs="Times New Roman"/>
          <w:b/>
          <w:sz w:val="28"/>
          <w:szCs w:val="28"/>
          <w:lang w:val="en-GB"/>
        </w:rPr>
        <w:t xml:space="preserve"> Europe: Findings from the European </w:t>
      </w:r>
      <w:r w:rsidR="003A6036">
        <w:rPr>
          <w:rFonts w:ascii="Times New Roman" w:hAnsi="Times New Roman" w:cs="Times New Roman"/>
          <w:b/>
          <w:sz w:val="28"/>
          <w:szCs w:val="28"/>
          <w:lang w:val="en-GB"/>
        </w:rPr>
        <w:t>S</w:t>
      </w:r>
      <w:r w:rsidR="001132EE">
        <w:rPr>
          <w:rFonts w:ascii="Times New Roman" w:hAnsi="Times New Roman" w:cs="Times New Roman"/>
          <w:b/>
          <w:sz w:val="28"/>
          <w:szCs w:val="28"/>
          <w:lang w:val="en-GB"/>
        </w:rPr>
        <w:t xml:space="preserve">ocial </w:t>
      </w:r>
      <w:r w:rsidR="003A6036">
        <w:rPr>
          <w:rFonts w:ascii="Times New Roman" w:hAnsi="Times New Roman" w:cs="Times New Roman"/>
          <w:b/>
          <w:sz w:val="28"/>
          <w:szCs w:val="28"/>
          <w:lang w:val="en-GB"/>
        </w:rPr>
        <w:t>S</w:t>
      </w:r>
      <w:r w:rsidR="001132EE">
        <w:rPr>
          <w:rFonts w:ascii="Times New Roman" w:hAnsi="Times New Roman" w:cs="Times New Roman"/>
          <w:b/>
          <w:sz w:val="28"/>
          <w:szCs w:val="28"/>
          <w:lang w:val="en-GB"/>
        </w:rPr>
        <w:t>urvey (2014) special module on the social determinants of health</w:t>
      </w:r>
      <w:r w:rsidRPr="0026147B">
        <w:rPr>
          <w:rFonts w:ascii="Times New Roman" w:hAnsi="Times New Roman" w:cs="Times New Roman"/>
          <w:b/>
          <w:sz w:val="28"/>
          <w:szCs w:val="28"/>
          <w:lang w:val="en-GB"/>
        </w:rPr>
        <w:t xml:space="preserve">  </w:t>
      </w:r>
    </w:p>
    <w:p w14:paraId="592AF423" w14:textId="77777777" w:rsidR="00E25BDB" w:rsidRDefault="00E25BDB" w:rsidP="00D73B69">
      <w:pPr>
        <w:pStyle w:val="NoSpacing"/>
        <w:jc w:val="both"/>
        <w:rPr>
          <w:rFonts w:ascii="Times New Roman" w:hAnsi="Times New Roman" w:cs="Times New Roman"/>
          <w:sz w:val="24"/>
          <w:szCs w:val="24"/>
          <w:lang w:val="en-GB"/>
        </w:rPr>
      </w:pPr>
    </w:p>
    <w:p w14:paraId="5FE4B715" w14:textId="77777777" w:rsidR="00E25BDB" w:rsidRDefault="00E25BDB" w:rsidP="00D73B69">
      <w:pPr>
        <w:pStyle w:val="NoSpacing"/>
        <w:jc w:val="both"/>
        <w:rPr>
          <w:rFonts w:ascii="Times New Roman" w:hAnsi="Times New Roman" w:cs="Times New Roman"/>
          <w:sz w:val="24"/>
          <w:szCs w:val="24"/>
          <w:lang w:val="en-GB"/>
        </w:rPr>
      </w:pPr>
    </w:p>
    <w:p w14:paraId="64508EB2" w14:textId="71E0C851" w:rsidR="001132EE" w:rsidRDefault="001132EE" w:rsidP="001132EE">
      <w:pPr>
        <w:pStyle w:val="NoSpacing"/>
        <w:jc w:val="both"/>
        <w:rPr>
          <w:rFonts w:ascii="Times New Roman" w:hAnsi="Times New Roman" w:cs="Times New Roman"/>
          <w:sz w:val="24"/>
          <w:szCs w:val="24"/>
          <w:vertAlign w:val="superscript"/>
          <w:lang w:val="en-GB"/>
        </w:rPr>
      </w:pPr>
      <w:r>
        <w:rPr>
          <w:rFonts w:ascii="Times New Roman" w:hAnsi="Times New Roman" w:cs="Times New Roman"/>
          <w:sz w:val="24"/>
          <w:szCs w:val="24"/>
          <w:lang w:val="en-GB"/>
        </w:rPr>
        <w:t>Erlend L. Fjær</w:t>
      </w: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w:t>
      </w:r>
      <w:r w:rsidR="00C96A0F">
        <w:rPr>
          <w:rFonts w:ascii="Times New Roman" w:hAnsi="Times New Roman" w:cs="Times New Roman"/>
          <w:sz w:val="24"/>
          <w:szCs w:val="24"/>
          <w:lang w:val="en-GB"/>
        </w:rPr>
        <w:t xml:space="preserve"> Mirza Balaj</w:t>
      </w:r>
      <w:r w:rsidR="00C96A0F">
        <w:rPr>
          <w:rFonts w:ascii="Times New Roman" w:hAnsi="Times New Roman" w:cs="Times New Roman"/>
          <w:sz w:val="24"/>
          <w:szCs w:val="24"/>
          <w:vertAlign w:val="superscript"/>
          <w:lang w:val="en-GB"/>
        </w:rPr>
        <w:t>1</w:t>
      </w:r>
      <w:r w:rsidR="00C96A0F">
        <w:rPr>
          <w:rFonts w:ascii="Times New Roman" w:hAnsi="Times New Roman" w:cs="Times New Roman"/>
          <w:sz w:val="24"/>
          <w:szCs w:val="24"/>
          <w:lang w:val="en-GB"/>
        </w:rPr>
        <w:t xml:space="preserve">, </w:t>
      </w:r>
      <w:r>
        <w:rPr>
          <w:rFonts w:ascii="Times New Roman" w:hAnsi="Times New Roman" w:cs="Times New Roman"/>
          <w:sz w:val="24"/>
          <w:szCs w:val="24"/>
          <w:lang w:val="en-GB"/>
        </w:rPr>
        <w:t>Per Stornes</w:t>
      </w:r>
      <w:r>
        <w:rPr>
          <w:rFonts w:ascii="Times New Roman" w:hAnsi="Times New Roman" w:cs="Times New Roman"/>
          <w:sz w:val="24"/>
          <w:szCs w:val="24"/>
          <w:vertAlign w:val="superscript"/>
          <w:lang w:val="en-GB"/>
        </w:rPr>
        <w:t>1</w:t>
      </w:r>
      <w:r w:rsidR="00C96A0F">
        <w:rPr>
          <w:rFonts w:ascii="Times New Roman" w:hAnsi="Times New Roman" w:cs="Times New Roman"/>
          <w:sz w:val="24"/>
          <w:szCs w:val="24"/>
          <w:lang w:val="en-GB"/>
        </w:rPr>
        <w:t>,</w:t>
      </w:r>
      <w:r>
        <w:rPr>
          <w:rFonts w:ascii="Times New Roman" w:hAnsi="Times New Roman" w:cs="Times New Roman"/>
          <w:sz w:val="24"/>
          <w:szCs w:val="24"/>
          <w:lang w:val="en-GB"/>
        </w:rPr>
        <w:t xml:space="preserve"> Adam Todd</w:t>
      </w:r>
      <w:r>
        <w:rPr>
          <w:rFonts w:ascii="Times New Roman" w:hAnsi="Times New Roman" w:cs="Times New Roman"/>
          <w:sz w:val="24"/>
          <w:szCs w:val="24"/>
          <w:vertAlign w:val="superscript"/>
          <w:lang w:val="en-GB"/>
        </w:rPr>
        <w:t>2</w:t>
      </w:r>
      <w:r w:rsidR="00C96A0F">
        <w:rPr>
          <w:rFonts w:ascii="Times New Roman" w:hAnsi="Times New Roman" w:cs="Times New Roman"/>
          <w:sz w:val="24"/>
          <w:szCs w:val="24"/>
          <w:lang w:val="en-GB"/>
        </w:rPr>
        <w:t>, Courtney L. McNamara</w:t>
      </w:r>
      <w:r w:rsidR="00C96A0F">
        <w:rPr>
          <w:rFonts w:ascii="Times New Roman" w:hAnsi="Times New Roman" w:cs="Times New Roman"/>
          <w:sz w:val="24"/>
          <w:szCs w:val="24"/>
          <w:vertAlign w:val="superscript"/>
          <w:lang w:val="en-GB"/>
        </w:rPr>
        <w:t>1</w:t>
      </w:r>
      <w:r w:rsidR="00C96A0F">
        <w:rPr>
          <w:rFonts w:ascii="Times New Roman" w:hAnsi="Times New Roman" w:cs="Times New Roman"/>
          <w:sz w:val="24"/>
          <w:szCs w:val="24"/>
          <w:lang w:val="en-GB"/>
        </w:rPr>
        <w:t xml:space="preserve">, </w:t>
      </w:r>
      <w:r>
        <w:rPr>
          <w:rFonts w:ascii="Times New Roman" w:hAnsi="Times New Roman" w:cs="Times New Roman"/>
          <w:sz w:val="24"/>
          <w:szCs w:val="24"/>
          <w:lang w:val="en-GB"/>
        </w:rPr>
        <w:t>Terje A. Eikemo</w:t>
      </w:r>
      <w:r>
        <w:rPr>
          <w:rFonts w:ascii="Times New Roman" w:hAnsi="Times New Roman" w:cs="Times New Roman"/>
          <w:sz w:val="24"/>
          <w:szCs w:val="24"/>
          <w:vertAlign w:val="superscript"/>
          <w:lang w:val="en-GB"/>
        </w:rPr>
        <w:t>1</w:t>
      </w:r>
    </w:p>
    <w:p w14:paraId="017F3C5A" w14:textId="77777777" w:rsidR="001132EE" w:rsidRDefault="001132EE" w:rsidP="00D73B69">
      <w:pPr>
        <w:pStyle w:val="NoSpacing"/>
        <w:jc w:val="both"/>
        <w:rPr>
          <w:rFonts w:ascii="Times New Roman" w:hAnsi="Times New Roman" w:cs="Times New Roman"/>
          <w:sz w:val="24"/>
          <w:szCs w:val="24"/>
          <w:lang w:val="en-GB"/>
        </w:rPr>
      </w:pPr>
    </w:p>
    <w:p w14:paraId="36D1F6B1" w14:textId="77777777" w:rsidR="00E25BDB" w:rsidRDefault="00E25BDB" w:rsidP="00D73B69">
      <w:pPr>
        <w:pStyle w:val="NoSpacing"/>
        <w:jc w:val="both"/>
        <w:rPr>
          <w:rFonts w:ascii="Times New Roman" w:hAnsi="Times New Roman" w:cs="Times New Roman"/>
          <w:sz w:val="24"/>
          <w:szCs w:val="24"/>
          <w:vertAlign w:val="superscript"/>
          <w:lang w:val="en-GB"/>
        </w:rPr>
      </w:pPr>
    </w:p>
    <w:p w14:paraId="2FF1C3CC" w14:textId="77777777" w:rsidR="00E25BDB" w:rsidRDefault="00E25BDB" w:rsidP="00D73B69">
      <w:pPr>
        <w:pStyle w:val="NoSpacing"/>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 Department of Sociology and Political Science, Norwegian University of Science and Technology, Trondheim, Norway   </w:t>
      </w:r>
    </w:p>
    <w:p w14:paraId="68F14305" w14:textId="77777777" w:rsidR="001132EE" w:rsidRDefault="001132EE" w:rsidP="00D73B69">
      <w:pPr>
        <w:pStyle w:val="NoSpacing"/>
        <w:jc w:val="both"/>
        <w:rPr>
          <w:rFonts w:ascii="Times New Roman" w:hAnsi="Times New Roman" w:cs="Times New Roman"/>
          <w:sz w:val="24"/>
          <w:szCs w:val="24"/>
          <w:lang w:val="en-GB"/>
        </w:rPr>
      </w:pPr>
    </w:p>
    <w:p w14:paraId="0AA515D3" w14:textId="77777777" w:rsidR="001132EE" w:rsidRDefault="001132EE" w:rsidP="001132EE">
      <w:pPr>
        <w:pStyle w:val="NoSpacing"/>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 xml:space="preserve">2 </w:t>
      </w:r>
      <w:r>
        <w:rPr>
          <w:rFonts w:ascii="Times New Roman" w:hAnsi="Times New Roman" w:cs="Times New Roman"/>
          <w:sz w:val="24"/>
          <w:szCs w:val="24"/>
          <w:lang w:val="en-GB"/>
        </w:rPr>
        <w:t>Division of Pharmacy, School of Medicine, Pharmacy and Health, Durham University, Queen’s C</w:t>
      </w:r>
      <w:r w:rsidR="00310C97">
        <w:rPr>
          <w:rFonts w:ascii="Times New Roman" w:hAnsi="Times New Roman" w:cs="Times New Roman"/>
          <w:sz w:val="24"/>
          <w:szCs w:val="24"/>
          <w:lang w:val="en-GB"/>
        </w:rPr>
        <w:t>ampus, Stockton-on-Tees</w:t>
      </w:r>
      <w:r>
        <w:rPr>
          <w:rFonts w:ascii="Times New Roman" w:hAnsi="Times New Roman" w:cs="Times New Roman"/>
          <w:sz w:val="24"/>
          <w:szCs w:val="24"/>
          <w:lang w:val="en-GB"/>
        </w:rPr>
        <w:t xml:space="preserve">, United Kingdom   </w:t>
      </w:r>
    </w:p>
    <w:p w14:paraId="7A42EE8E" w14:textId="77777777" w:rsidR="00E25BDB" w:rsidRDefault="00E25BDB" w:rsidP="00D73B69">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05BC9388" w14:textId="238BDE48" w:rsidR="00E25BDB" w:rsidRPr="0023345D" w:rsidRDefault="00E25BDB" w:rsidP="00D73B69">
      <w:pPr>
        <w:pStyle w:val="NoSpacing"/>
        <w:jc w:val="both"/>
        <w:rPr>
          <w:b/>
          <w:i/>
          <w:lang w:val="en-GB"/>
        </w:rPr>
      </w:pPr>
      <w:r>
        <w:rPr>
          <w:rFonts w:ascii="Times New Roman" w:hAnsi="Times New Roman" w:cs="Times New Roman"/>
          <w:sz w:val="24"/>
          <w:szCs w:val="24"/>
          <w:lang w:val="en-GB"/>
        </w:rPr>
        <w:t xml:space="preserve">Correspondence: Erlend L. Fjær, Department of Sociology and Political Science, Norwegian University of Science and Technology, P.O. Box 7491 Trondheim, Norway, tel: +47 41616824, e-mail: </w:t>
      </w:r>
      <w:r w:rsidR="0023345D" w:rsidRPr="0023345D">
        <w:rPr>
          <w:rFonts w:ascii="Times New Roman" w:hAnsi="Times New Roman" w:cs="Times New Roman"/>
          <w:sz w:val="24"/>
          <w:szCs w:val="24"/>
          <w:lang w:val="en-GB"/>
        </w:rPr>
        <w:t>erlend.fjar@ntnu.no</w:t>
      </w:r>
    </w:p>
    <w:p w14:paraId="2E7486D3" w14:textId="77777777" w:rsidR="00E25BDB" w:rsidRPr="00D21D5E" w:rsidRDefault="00E25BDB" w:rsidP="00D73B69">
      <w:pPr>
        <w:pStyle w:val="NoSpacing"/>
        <w:jc w:val="both"/>
        <w:rPr>
          <w:b/>
          <w:lang w:val="en-GB"/>
        </w:rPr>
      </w:pPr>
    </w:p>
    <w:p w14:paraId="47650BE4" w14:textId="42072241" w:rsidR="00E25BDB" w:rsidRPr="00D11394" w:rsidRDefault="00E25BDB" w:rsidP="00D73B69">
      <w:pPr>
        <w:jc w:val="both"/>
        <w:rPr>
          <w:rFonts w:ascii="Times New Roman" w:hAnsi="Times New Roman" w:cs="Times New Roman"/>
          <w:b/>
          <w:sz w:val="24"/>
          <w:szCs w:val="24"/>
          <w:lang w:val="en-GB"/>
        </w:rPr>
      </w:pPr>
      <w:r w:rsidRPr="00D11394">
        <w:rPr>
          <w:rFonts w:ascii="Times New Roman" w:hAnsi="Times New Roman" w:cs="Times New Roman"/>
          <w:b/>
          <w:sz w:val="24"/>
          <w:szCs w:val="24"/>
          <w:lang w:val="en-GB"/>
        </w:rPr>
        <w:br w:type="page"/>
      </w:r>
    </w:p>
    <w:p w14:paraId="0A860F5C" w14:textId="77777777" w:rsidR="00E25BDB" w:rsidRPr="0026147B" w:rsidRDefault="00E25BDB" w:rsidP="00D73B69">
      <w:pPr>
        <w:pStyle w:val="NoSpacing"/>
        <w:jc w:val="both"/>
        <w:rPr>
          <w:rFonts w:ascii="Times New Roman" w:hAnsi="Times New Roman" w:cs="Times New Roman"/>
          <w:b/>
          <w:sz w:val="28"/>
          <w:szCs w:val="28"/>
          <w:lang w:val="en-GB"/>
        </w:rPr>
      </w:pPr>
      <w:r w:rsidRPr="0026147B">
        <w:rPr>
          <w:rFonts w:ascii="Times New Roman" w:hAnsi="Times New Roman" w:cs="Times New Roman"/>
          <w:b/>
          <w:sz w:val="28"/>
          <w:szCs w:val="28"/>
          <w:lang w:val="en-GB"/>
        </w:rPr>
        <w:lastRenderedPageBreak/>
        <w:t xml:space="preserve">Abstract </w:t>
      </w:r>
    </w:p>
    <w:p w14:paraId="5407F49E" w14:textId="77777777" w:rsidR="00E25BDB" w:rsidRPr="00D11394" w:rsidRDefault="00E25BDB" w:rsidP="00D73B69">
      <w:pPr>
        <w:pStyle w:val="NoSpacing"/>
        <w:ind w:firstLine="708"/>
        <w:jc w:val="both"/>
        <w:rPr>
          <w:rFonts w:ascii="Times New Roman" w:hAnsi="Times New Roman" w:cs="Times New Roman"/>
          <w:b/>
          <w:sz w:val="24"/>
          <w:szCs w:val="24"/>
          <w:lang w:val="en-GB"/>
        </w:rPr>
      </w:pPr>
    </w:p>
    <w:p w14:paraId="50403414" w14:textId="2EA917F8" w:rsidR="00E25BDB" w:rsidRDefault="00E25BDB" w:rsidP="00D73B69">
      <w:pPr>
        <w:pStyle w:val="NoSpacing"/>
        <w:jc w:val="both"/>
        <w:rPr>
          <w:rFonts w:ascii="Times New Roman" w:hAnsi="Times New Roman" w:cs="Times New Roman"/>
          <w:sz w:val="24"/>
          <w:szCs w:val="24"/>
          <w:lang w:val="en-GB"/>
        </w:rPr>
      </w:pPr>
      <w:r w:rsidRPr="00D11394">
        <w:rPr>
          <w:rFonts w:ascii="Times New Roman" w:hAnsi="Times New Roman" w:cs="Times New Roman"/>
          <w:i/>
          <w:sz w:val="24"/>
          <w:szCs w:val="24"/>
          <w:lang w:val="en-GB"/>
        </w:rPr>
        <w:t>Background</w:t>
      </w:r>
      <w:r w:rsidRPr="00D11394">
        <w:rPr>
          <w:rFonts w:ascii="Times New Roman" w:hAnsi="Times New Roman" w:cs="Times New Roman"/>
          <w:sz w:val="24"/>
          <w:szCs w:val="24"/>
          <w:lang w:val="en-GB"/>
        </w:rPr>
        <w:t>: Low socioeconomic position (SEP) tend</w:t>
      </w:r>
      <w:r w:rsidRPr="00E12733">
        <w:rPr>
          <w:rFonts w:ascii="Times New Roman" w:hAnsi="Times New Roman" w:cs="Times New Roman"/>
          <w:sz w:val="24"/>
          <w:szCs w:val="24"/>
          <w:lang w:val="en-GB"/>
        </w:rPr>
        <w:t>s</w:t>
      </w:r>
      <w:r w:rsidRPr="00D11394">
        <w:rPr>
          <w:rFonts w:ascii="Times New Roman" w:hAnsi="Times New Roman" w:cs="Times New Roman"/>
          <w:sz w:val="24"/>
          <w:szCs w:val="24"/>
          <w:lang w:val="en-GB"/>
        </w:rPr>
        <w:t xml:space="preserve"> to be linked to higher use of general practitioners (GP</w:t>
      </w:r>
      <w:r w:rsidRPr="00E12733">
        <w:rPr>
          <w:rFonts w:ascii="Times New Roman" w:hAnsi="Times New Roman" w:cs="Times New Roman"/>
          <w:sz w:val="24"/>
          <w:szCs w:val="24"/>
          <w:lang w:val="en-GB"/>
        </w:rPr>
        <w:t>s</w:t>
      </w:r>
      <w:r w:rsidRPr="00D11394">
        <w:rPr>
          <w:rFonts w:ascii="Times New Roman" w:hAnsi="Times New Roman" w:cs="Times New Roman"/>
          <w:sz w:val="24"/>
          <w:szCs w:val="24"/>
          <w:lang w:val="en-GB"/>
        </w:rPr>
        <w:t xml:space="preserve">), while </w:t>
      </w:r>
      <w:r>
        <w:rPr>
          <w:rFonts w:ascii="Times New Roman" w:hAnsi="Times New Roman" w:cs="Times New Roman"/>
          <w:sz w:val="24"/>
          <w:szCs w:val="24"/>
          <w:lang w:val="en-GB"/>
        </w:rPr>
        <w:t xml:space="preserve">the </w:t>
      </w:r>
      <w:r w:rsidRPr="00D11394">
        <w:rPr>
          <w:rFonts w:ascii="Times New Roman" w:hAnsi="Times New Roman" w:cs="Times New Roman"/>
          <w:sz w:val="24"/>
          <w:szCs w:val="24"/>
          <w:lang w:val="en-GB"/>
        </w:rPr>
        <w:t>use of health care</w:t>
      </w:r>
      <w:r>
        <w:rPr>
          <w:rFonts w:ascii="Times New Roman" w:hAnsi="Times New Roman" w:cs="Times New Roman"/>
          <w:sz w:val="24"/>
          <w:szCs w:val="24"/>
          <w:lang w:val="en-GB"/>
        </w:rPr>
        <w:t xml:space="preserve"> </w:t>
      </w:r>
      <w:r w:rsidRPr="00D11394">
        <w:rPr>
          <w:rFonts w:ascii="Times New Roman" w:hAnsi="Times New Roman" w:cs="Times New Roman"/>
          <w:sz w:val="24"/>
          <w:szCs w:val="24"/>
          <w:lang w:val="en-GB"/>
        </w:rPr>
        <w:t>speciali</w:t>
      </w:r>
      <w:r>
        <w:rPr>
          <w:rFonts w:ascii="Times New Roman" w:hAnsi="Times New Roman" w:cs="Times New Roman"/>
          <w:sz w:val="24"/>
          <w:szCs w:val="24"/>
          <w:lang w:val="en-GB"/>
        </w:rPr>
        <w:t>sts</w:t>
      </w:r>
      <w:r w:rsidRPr="00D11394">
        <w:rPr>
          <w:rFonts w:ascii="Times New Roman" w:hAnsi="Times New Roman" w:cs="Times New Roman"/>
          <w:sz w:val="24"/>
          <w:szCs w:val="24"/>
          <w:lang w:val="en-GB"/>
        </w:rPr>
        <w:t xml:space="preserve"> is more common </w:t>
      </w:r>
      <w:r w:rsidRPr="00E12733">
        <w:rPr>
          <w:rFonts w:ascii="Times New Roman" w:hAnsi="Times New Roman" w:cs="Times New Roman"/>
          <w:sz w:val="24"/>
          <w:szCs w:val="24"/>
          <w:lang w:val="en-GB"/>
        </w:rPr>
        <w:t>in</w:t>
      </w:r>
      <w:r w:rsidRPr="00D11394">
        <w:rPr>
          <w:rFonts w:ascii="Times New Roman" w:hAnsi="Times New Roman" w:cs="Times New Roman"/>
          <w:sz w:val="24"/>
          <w:szCs w:val="24"/>
          <w:lang w:val="en-GB"/>
        </w:rPr>
        <w:t xml:space="preserve"> higher SEP</w:t>
      </w:r>
      <w:r w:rsidRPr="00E12733">
        <w:rPr>
          <w:rFonts w:ascii="Times New Roman" w:hAnsi="Times New Roman" w:cs="Times New Roman"/>
          <w:sz w:val="24"/>
          <w:szCs w:val="24"/>
          <w:lang w:val="en-GB"/>
        </w:rPr>
        <w:t>s</w:t>
      </w:r>
      <w:r w:rsidRPr="00D11394">
        <w:rPr>
          <w:rFonts w:ascii="Times New Roman" w:hAnsi="Times New Roman" w:cs="Times New Roman"/>
          <w:sz w:val="24"/>
          <w:szCs w:val="24"/>
          <w:lang w:val="en-GB"/>
        </w:rPr>
        <w:t>.</w:t>
      </w:r>
      <w:r>
        <w:rPr>
          <w:rFonts w:ascii="Times New Roman" w:hAnsi="Times New Roman" w:cs="Times New Roman"/>
          <w:sz w:val="24"/>
          <w:szCs w:val="24"/>
          <w:lang w:val="en-GB"/>
        </w:rPr>
        <w:t xml:space="preserve"> Despite extensive literature in this area, p</w:t>
      </w:r>
      <w:r w:rsidRPr="00BE1EA7">
        <w:rPr>
          <w:rFonts w:ascii="Times New Roman" w:hAnsi="Times New Roman" w:cs="Times New Roman"/>
          <w:sz w:val="24"/>
          <w:szCs w:val="24"/>
          <w:lang w:val="en-GB"/>
        </w:rPr>
        <w:t>revious studies have</w:t>
      </w:r>
      <w:r>
        <w:rPr>
          <w:rFonts w:ascii="Times New Roman" w:hAnsi="Times New Roman" w:cs="Times New Roman"/>
          <w:sz w:val="24"/>
          <w:szCs w:val="24"/>
          <w:lang w:val="en-GB"/>
        </w:rPr>
        <w:t>, however,</w:t>
      </w:r>
      <w:r w:rsidRPr="00BE1EA7">
        <w:rPr>
          <w:rFonts w:ascii="Times New Roman" w:hAnsi="Times New Roman" w:cs="Times New Roman"/>
          <w:sz w:val="24"/>
          <w:szCs w:val="24"/>
          <w:lang w:val="en-GB"/>
        </w:rPr>
        <w:t xml:space="preserve"> </w:t>
      </w:r>
      <w:r>
        <w:rPr>
          <w:rFonts w:ascii="Times New Roman" w:hAnsi="Times New Roman" w:cs="Times New Roman"/>
          <w:sz w:val="24"/>
          <w:szCs w:val="24"/>
          <w:lang w:val="en-GB"/>
        </w:rPr>
        <w:t>only studied</w:t>
      </w:r>
      <w:r w:rsidRPr="00BE1EA7">
        <w:rPr>
          <w:rFonts w:ascii="Times New Roman" w:hAnsi="Times New Roman" w:cs="Times New Roman"/>
          <w:sz w:val="24"/>
          <w:szCs w:val="24"/>
          <w:lang w:val="en-GB"/>
        </w:rPr>
        <w:t xml:space="preserve"> health care use </w:t>
      </w:r>
      <w:r>
        <w:rPr>
          <w:rFonts w:ascii="Times New Roman" w:hAnsi="Times New Roman" w:cs="Times New Roman"/>
          <w:sz w:val="24"/>
          <w:szCs w:val="24"/>
          <w:lang w:val="en-GB"/>
        </w:rPr>
        <w:t xml:space="preserve">by </w:t>
      </w:r>
      <w:r w:rsidRPr="00BE1EA7">
        <w:rPr>
          <w:rFonts w:ascii="Times New Roman" w:hAnsi="Times New Roman" w:cs="Times New Roman"/>
          <w:sz w:val="24"/>
          <w:szCs w:val="24"/>
          <w:lang w:val="en-GB"/>
        </w:rPr>
        <w:t xml:space="preserve">income </w:t>
      </w:r>
      <w:r>
        <w:rPr>
          <w:rFonts w:ascii="Times New Roman" w:hAnsi="Times New Roman" w:cs="Times New Roman"/>
          <w:sz w:val="24"/>
          <w:szCs w:val="24"/>
          <w:lang w:val="en-GB"/>
        </w:rPr>
        <w:t xml:space="preserve">or </w:t>
      </w:r>
      <w:r w:rsidRPr="00BE1EA7">
        <w:rPr>
          <w:rFonts w:ascii="Times New Roman" w:hAnsi="Times New Roman" w:cs="Times New Roman"/>
          <w:sz w:val="24"/>
          <w:szCs w:val="24"/>
          <w:lang w:val="en-GB"/>
        </w:rPr>
        <w:t>education.</w:t>
      </w:r>
      <w:r>
        <w:rPr>
          <w:rFonts w:ascii="Times New Roman" w:hAnsi="Times New Roman" w:cs="Times New Roman"/>
          <w:sz w:val="24"/>
          <w:szCs w:val="24"/>
          <w:lang w:val="en-GB"/>
        </w:rPr>
        <w:t xml:space="preserve"> T</w:t>
      </w:r>
      <w:r w:rsidRPr="00D11394">
        <w:rPr>
          <w:rFonts w:ascii="Times New Roman" w:hAnsi="Times New Roman" w:cs="Times New Roman"/>
          <w:sz w:val="24"/>
          <w:szCs w:val="24"/>
          <w:lang w:val="en-GB"/>
        </w:rPr>
        <w:t xml:space="preserve">he aim of this </w:t>
      </w:r>
      <w:r>
        <w:rPr>
          <w:rFonts w:ascii="Times New Roman" w:hAnsi="Times New Roman" w:cs="Times New Roman"/>
          <w:sz w:val="24"/>
          <w:szCs w:val="24"/>
          <w:lang w:val="en-GB"/>
        </w:rPr>
        <w:t>study</w:t>
      </w:r>
      <w:r w:rsidR="00D94423">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therefore</w:t>
      </w:r>
      <w:r w:rsidR="00D9442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D11394">
        <w:rPr>
          <w:rFonts w:ascii="Times New Roman" w:hAnsi="Times New Roman" w:cs="Times New Roman"/>
          <w:sz w:val="24"/>
          <w:szCs w:val="24"/>
          <w:lang w:val="en-GB"/>
        </w:rPr>
        <w:t>to</w:t>
      </w:r>
      <w:r>
        <w:rPr>
          <w:rFonts w:ascii="Times New Roman" w:hAnsi="Times New Roman" w:cs="Times New Roman"/>
          <w:sz w:val="24"/>
          <w:szCs w:val="24"/>
          <w:lang w:val="en-GB"/>
        </w:rPr>
        <w:t xml:space="preserve"> examine inequalities in GP and health care specialist use </w:t>
      </w:r>
      <w:r w:rsidRPr="00D11394">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four social markers that may be linked to health care utilization (educational level, </w:t>
      </w:r>
      <w:r w:rsidRPr="00321DB8">
        <w:rPr>
          <w:rFonts w:ascii="Times New Roman" w:hAnsi="Times New Roman" w:cs="Times New Roman"/>
          <w:sz w:val="24"/>
          <w:szCs w:val="24"/>
          <w:lang w:val="en-GB"/>
        </w:rPr>
        <w:t>occupational status</w:t>
      </w:r>
      <w:r>
        <w:rPr>
          <w:rFonts w:ascii="Times New Roman" w:hAnsi="Times New Roman" w:cs="Times New Roman"/>
          <w:sz w:val="24"/>
          <w:szCs w:val="24"/>
          <w:lang w:val="en-GB"/>
        </w:rPr>
        <w:t>, level of</w:t>
      </w:r>
      <w:r w:rsidRPr="00E12733">
        <w:rPr>
          <w:rFonts w:ascii="Times New Roman" w:hAnsi="Times New Roman" w:cs="Times New Roman"/>
          <w:sz w:val="24"/>
          <w:szCs w:val="24"/>
          <w:lang w:val="en-GB"/>
        </w:rPr>
        <w:t xml:space="preserve"> </w:t>
      </w:r>
      <w:r w:rsidRPr="00D11394">
        <w:rPr>
          <w:rFonts w:ascii="Times New Roman" w:hAnsi="Times New Roman" w:cs="Times New Roman"/>
          <w:sz w:val="24"/>
          <w:szCs w:val="24"/>
          <w:lang w:val="en-GB"/>
        </w:rPr>
        <w:t xml:space="preserve">financial </w:t>
      </w:r>
      <w:r>
        <w:rPr>
          <w:rFonts w:ascii="Times New Roman" w:hAnsi="Times New Roman" w:cs="Times New Roman"/>
          <w:sz w:val="24"/>
          <w:szCs w:val="24"/>
          <w:lang w:val="en-GB"/>
        </w:rPr>
        <w:t>strain</w:t>
      </w:r>
      <w:r w:rsidRPr="00D11394">
        <w:rPr>
          <w:rFonts w:ascii="Times New Roman" w:hAnsi="Times New Roman" w:cs="Times New Roman"/>
          <w:sz w:val="24"/>
          <w:szCs w:val="24"/>
          <w:lang w:val="en-GB"/>
        </w:rPr>
        <w:t xml:space="preserve"> </w:t>
      </w:r>
      <w:r>
        <w:rPr>
          <w:rFonts w:ascii="Times New Roman" w:hAnsi="Times New Roman" w:cs="Times New Roman"/>
          <w:sz w:val="24"/>
          <w:szCs w:val="24"/>
          <w:lang w:val="en-GB"/>
        </w:rPr>
        <w:t>and size</w:t>
      </w:r>
      <w:r w:rsidR="00D73B69">
        <w:rPr>
          <w:rFonts w:ascii="Times New Roman" w:hAnsi="Times New Roman" w:cs="Times New Roman"/>
          <w:sz w:val="24"/>
          <w:szCs w:val="24"/>
          <w:lang w:val="en-GB"/>
        </w:rPr>
        <w:t xml:space="preserve"> and frequency</w:t>
      </w:r>
      <w:r>
        <w:rPr>
          <w:rFonts w:ascii="Times New Roman" w:hAnsi="Times New Roman" w:cs="Times New Roman"/>
          <w:sz w:val="24"/>
          <w:szCs w:val="24"/>
          <w:lang w:val="en-GB"/>
        </w:rPr>
        <w:t xml:space="preserve"> of</w:t>
      </w:r>
      <w:r w:rsidRPr="00D11394">
        <w:rPr>
          <w:rFonts w:ascii="Times New Roman" w:hAnsi="Times New Roman" w:cs="Times New Roman"/>
          <w:sz w:val="24"/>
          <w:szCs w:val="24"/>
          <w:lang w:val="en-GB"/>
        </w:rPr>
        <w:t xml:space="preserve"> social network</w:t>
      </w:r>
      <w:r>
        <w:rPr>
          <w:rFonts w:ascii="Times New Roman" w:hAnsi="Times New Roman" w:cs="Times New Roman"/>
          <w:sz w:val="24"/>
          <w:szCs w:val="24"/>
          <w:lang w:val="en-GB"/>
        </w:rPr>
        <w:t xml:space="preserve">s) </w:t>
      </w:r>
      <w:r w:rsidRPr="00FC345F">
        <w:rPr>
          <w:rFonts w:ascii="Times New Roman" w:hAnsi="Times New Roman" w:cs="Times New Roman"/>
          <w:sz w:val="24"/>
          <w:szCs w:val="24"/>
          <w:lang w:val="en-GB"/>
        </w:rPr>
        <w:t>across</w:t>
      </w:r>
      <w:r w:rsidRPr="00D11394">
        <w:rPr>
          <w:rFonts w:ascii="Times New Roman" w:hAnsi="Times New Roman" w:cs="Times New Roman"/>
          <w:sz w:val="24"/>
          <w:szCs w:val="24"/>
          <w:lang w:val="en-GB"/>
        </w:rPr>
        <w:t xml:space="preserve"> </w:t>
      </w:r>
      <w:r>
        <w:rPr>
          <w:rFonts w:ascii="Times New Roman" w:hAnsi="Times New Roman" w:cs="Times New Roman"/>
          <w:sz w:val="24"/>
          <w:szCs w:val="24"/>
          <w:lang w:val="en-GB"/>
        </w:rPr>
        <w:t>20</w:t>
      </w:r>
      <w:r w:rsidRPr="00D11394">
        <w:rPr>
          <w:rFonts w:ascii="Times New Roman" w:hAnsi="Times New Roman" w:cs="Times New Roman"/>
          <w:sz w:val="24"/>
          <w:szCs w:val="24"/>
          <w:lang w:val="en-GB"/>
        </w:rPr>
        <w:t xml:space="preserve"> European countries and Israel.</w:t>
      </w:r>
      <w:r w:rsidR="00D73B69">
        <w:rPr>
          <w:rFonts w:ascii="Times New Roman" w:hAnsi="Times New Roman" w:cs="Times New Roman"/>
          <w:sz w:val="24"/>
          <w:szCs w:val="24"/>
          <w:lang w:val="en-GB"/>
        </w:rPr>
        <w:t xml:space="preserve"> </w:t>
      </w:r>
    </w:p>
    <w:p w14:paraId="4A1AC592" w14:textId="77777777" w:rsidR="00E25BDB" w:rsidRPr="00D11394" w:rsidRDefault="00E25BDB" w:rsidP="00D73B69">
      <w:pPr>
        <w:pStyle w:val="NoSpacing"/>
        <w:jc w:val="both"/>
        <w:rPr>
          <w:rFonts w:ascii="Times New Roman" w:hAnsi="Times New Roman" w:cs="Times New Roman"/>
          <w:sz w:val="24"/>
          <w:szCs w:val="24"/>
          <w:lang w:val="en-GB"/>
        </w:rPr>
      </w:pPr>
    </w:p>
    <w:p w14:paraId="001A57DF" w14:textId="77777777" w:rsidR="00E25BDB" w:rsidRPr="00D11394" w:rsidRDefault="00E25BDB" w:rsidP="00D73B69">
      <w:pPr>
        <w:pStyle w:val="NoSpacing"/>
        <w:jc w:val="both"/>
        <w:rPr>
          <w:rFonts w:ascii="Times New Roman" w:hAnsi="Times New Roman" w:cs="Times New Roman"/>
          <w:sz w:val="24"/>
          <w:szCs w:val="24"/>
          <w:lang w:val="en-GB"/>
        </w:rPr>
      </w:pPr>
      <w:r w:rsidRPr="00D11394">
        <w:rPr>
          <w:rFonts w:ascii="Times New Roman" w:hAnsi="Times New Roman" w:cs="Times New Roman"/>
          <w:i/>
          <w:sz w:val="24"/>
          <w:szCs w:val="24"/>
          <w:lang w:val="en-GB"/>
        </w:rPr>
        <w:t>Methods</w:t>
      </w:r>
      <w:r w:rsidRPr="00D11394">
        <w:rPr>
          <w:rFonts w:ascii="Times New Roman" w:hAnsi="Times New Roman" w:cs="Times New Roman"/>
          <w:sz w:val="24"/>
          <w:szCs w:val="24"/>
          <w:lang w:val="en-GB"/>
        </w:rPr>
        <w:t>: Logistic regression models were e</w:t>
      </w:r>
      <w:r>
        <w:rPr>
          <w:rFonts w:ascii="Times New Roman" w:hAnsi="Times New Roman" w:cs="Times New Roman"/>
          <w:sz w:val="24"/>
          <w:szCs w:val="24"/>
          <w:lang w:val="en-GB"/>
        </w:rPr>
        <w:t>mployed using data from the 7</w:t>
      </w:r>
      <w:r w:rsidRPr="00AB7A5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round</w:t>
      </w:r>
      <w:r w:rsidRPr="00D11394">
        <w:rPr>
          <w:rFonts w:ascii="Times New Roman" w:hAnsi="Times New Roman" w:cs="Times New Roman"/>
          <w:sz w:val="24"/>
          <w:szCs w:val="24"/>
          <w:lang w:val="en-GB"/>
        </w:rPr>
        <w:t xml:space="preserve"> of the European Social Survey</w:t>
      </w:r>
      <w:r>
        <w:rPr>
          <w:rFonts w:ascii="Times New Roman" w:hAnsi="Times New Roman" w:cs="Times New Roman"/>
          <w:sz w:val="24"/>
          <w:szCs w:val="24"/>
          <w:lang w:val="en-GB"/>
        </w:rPr>
        <w:t>;</w:t>
      </w:r>
      <w:r w:rsidRPr="00D11394">
        <w:rPr>
          <w:rFonts w:ascii="Times New Roman" w:hAnsi="Times New Roman" w:cs="Times New Roman"/>
          <w:sz w:val="24"/>
          <w:szCs w:val="24"/>
          <w:lang w:val="en-GB"/>
        </w:rPr>
        <w:t xml:space="preserve"> </w:t>
      </w:r>
      <w:r>
        <w:rPr>
          <w:rFonts w:ascii="Times New Roman" w:hAnsi="Times New Roman" w:cs="Times New Roman"/>
          <w:sz w:val="24"/>
          <w:szCs w:val="24"/>
          <w:lang w:val="en-GB"/>
        </w:rPr>
        <w:t>the survey focused up</w:t>
      </w:r>
      <w:r w:rsidRPr="00D11394">
        <w:rPr>
          <w:rFonts w:ascii="Times New Roman" w:hAnsi="Times New Roman" w:cs="Times New Roman"/>
          <w:sz w:val="24"/>
          <w:szCs w:val="24"/>
          <w:lang w:val="en-GB"/>
        </w:rPr>
        <w:t>on people aged 25 to 75</w:t>
      </w:r>
      <w:r>
        <w:rPr>
          <w:rFonts w:ascii="Times New Roman" w:hAnsi="Times New Roman" w:cs="Times New Roman"/>
          <w:sz w:val="24"/>
          <w:szCs w:val="24"/>
          <w:lang w:val="en-GB"/>
        </w:rPr>
        <w:t xml:space="preserve"> years, across 21 countries</w:t>
      </w:r>
      <w:r w:rsidRPr="00D11394">
        <w:rPr>
          <w:rFonts w:ascii="Times New Roman" w:hAnsi="Times New Roman" w:cs="Times New Roman"/>
          <w:sz w:val="24"/>
          <w:szCs w:val="24"/>
          <w:lang w:val="en-GB"/>
        </w:rPr>
        <w:t xml:space="preserve">. Health care </w:t>
      </w:r>
      <w:r>
        <w:rPr>
          <w:rFonts w:ascii="Times New Roman" w:hAnsi="Times New Roman" w:cs="Times New Roman"/>
          <w:sz w:val="24"/>
          <w:szCs w:val="24"/>
          <w:lang w:val="en-GB"/>
        </w:rPr>
        <w:t>utilization</w:t>
      </w:r>
      <w:r w:rsidRPr="00D11394">
        <w:rPr>
          <w:rFonts w:ascii="Times New Roman" w:hAnsi="Times New Roman" w:cs="Times New Roman"/>
          <w:sz w:val="24"/>
          <w:szCs w:val="24"/>
          <w:lang w:val="en-GB"/>
        </w:rPr>
        <w:t xml:space="preserve"> was measured </w:t>
      </w:r>
      <w:r>
        <w:rPr>
          <w:rFonts w:ascii="Times New Roman" w:hAnsi="Times New Roman" w:cs="Times New Roman"/>
          <w:sz w:val="24"/>
          <w:szCs w:val="24"/>
          <w:lang w:val="en-GB"/>
        </w:rPr>
        <w:t>according to</w:t>
      </w:r>
      <w:r w:rsidRPr="00D11394">
        <w:rPr>
          <w:rFonts w:ascii="Times New Roman" w:hAnsi="Times New Roman" w:cs="Times New Roman"/>
          <w:sz w:val="24"/>
          <w:szCs w:val="24"/>
          <w:lang w:val="en-GB"/>
        </w:rPr>
        <w:t xml:space="preserve"> self-reported use of GP or specialist</w:t>
      </w:r>
      <w:r>
        <w:rPr>
          <w:rFonts w:ascii="Times New Roman" w:hAnsi="Times New Roman" w:cs="Times New Roman"/>
          <w:sz w:val="24"/>
          <w:szCs w:val="24"/>
          <w:lang w:val="en-GB"/>
        </w:rPr>
        <w:t xml:space="preserve"> care</w:t>
      </w:r>
      <w:r w:rsidRPr="00D11394">
        <w:rPr>
          <w:rFonts w:ascii="Times New Roman" w:hAnsi="Times New Roman" w:cs="Times New Roman"/>
          <w:sz w:val="24"/>
          <w:szCs w:val="24"/>
          <w:lang w:val="en-GB"/>
        </w:rPr>
        <w:t xml:space="preserve"> </w:t>
      </w:r>
      <w:r>
        <w:rPr>
          <w:rFonts w:ascii="Times New Roman" w:hAnsi="Times New Roman" w:cs="Times New Roman"/>
          <w:sz w:val="24"/>
          <w:szCs w:val="24"/>
          <w:lang w:val="en-GB"/>
        </w:rPr>
        <w:t>with</w:t>
      </w:r>
      <w:r w:rsidRPr="00D11394">
        <w:rPr>
          <w:rFonts w:ascii="Times New Roman" w:hAnsi="Times New Roman" w:cs="Times New Roman"/>
          <w:sz w:val="24"/>
          <w:szCs w:val="24"/>
          <w:lang w:val="en-GB"/>
        </w:rPr>
        <w:t xml:space="preserve">in 12 months. Analyses tested four </w:t>
      </w:r>
      <w:r>
        <w:rPr>
          <w:rFonts w:ascii="Times New Roman" w:hAnsi="Times New Roman" w:cs="Times New Roman"/>
          <w:sz w:val="24"/>
          <w:szCs w:val="24"/>
          <w:lang w:val="en-GB"/>
        </w:rPr>
        <w:t>social</w:t>
      </w:r>
      <w:r w:rsidRPr="00D11394">
        <w:rPr>
          <w:rFonts w:ascii="Times New Roman" w:hAnsi="Times New Roman" w:cs="Times New Roman"/>
          <w:sz w:val="24"/>
          <w:szCs w:val="24"/>
          <w:lang w:val="en-GB"/>
        </w:rPr>
        <w:t xml:space="preserve"> markers: </w:t>
      </w:r>
      <w:r>
        <w:rPr>
          <w:rFonts w:ascii="Times New Roman" w:hAnsi="Times New Roman" w:cs="Times New Roman"/>
          <w:sz w:val="24"/>
          <w:szCs w:val="24"/>
          <w:lang w:val="en-GB"/>
        </w:rPr>
        <w:t>income (</w:t>
      </w:r>
      <w:r w:rsidRPr="00D11394">
        <w:rPr>
          <w:rFonts w:ascii="Times New Roman" w:hAnsi="Times New Roman" w:cs="Times New Roman"/>
          <w:sz w:val="24"/>
          <w:szCs w:val="24"/>
          <w:lang w:val="en-GB"/>
        </w:rPr>
        <w:t xml:space="preserve">financial </w:t>
      </w:r>
      <w:r>
        <w:rPr>
          <w:rFonts w:ascii="Times New Roman" w:hAnsi="Times New Roman" w:cs="Times New Roman"/>
          <w:sz w:val="24"/>
          <w:szCs w:val="24"/>
          <w:lang w:val="en-GB"/>
        </w:rPr>
        <w:t>strain)</w:t>
      </w:r>
      <w:r w:rsidRPr="00D11394">
        <w:rPr>
          <w:rFonts w:ascii="Times New Roman" w:hAnsi="Times New Roman" w:cs="Times New Roman"/>
          <w:sz w:val="24"/>
          <w:szCs w:val="24"/>
          <w:lang w:val="en-GB"/>
        </w:rPr>
        <w:t>, occupational status, education and social network</w:t>
      </w:r>
      <w:r w:rsidRPr="00E12733">
        <w:rPr>
          <w:rFonts w:ascii="Times New Roman" w:hAnsi="Times New Roman" w:cs="Times New Roman"/>
          <w:sz w:val="24"/>
          <w:szCs w:val="24"/>
          <w:lang w:val="en-GB"/>
        </w:rPr>
        <w:t>s</w:t>
      </w:r>
      <w:r w:rsidRPr="00D11394">
        <w:rPr>
          <w:rFonts w:ascii="Times New Roman" w:hAnsi="Times New Roman" w:cs="Times New Roman"/>
          <w:sz w:val="24"/>
          <w:szCs w:val="24"/>
          <w:lang w:val="en-GB"/>
        </w:rPr>
        <w:t xml:space="preserve">.  </w:t>
      </w:r>
    </w:p>
    <w:p w14:paraId="0DA9B3B9" w14:textId="77777777" w:rsidR="00E25BDB" w:rsidRPr="00D11394" w:rsidRDefault="00E25BDB" w:rsidP="00D73B69">
      <w:pPr>
        <w:pStyle w:val="NoSpacing"/>
        <w:jc w:val="both"/>
        <w:rPr>
          <w:rFonts w:ascii="Times New Roman" w:hAnsi="Times New Roman" w:cs="Times New Roman"/>
          <w:sz w:val="24"/>
          <w:szCs w:val="24"/>
          <w:lang w:val="en-GB"/>
        </w:rPr>
      </w:pPr>
    </w:p>
    <w:p w14:paraId="42606C0B" w14:textId="3DB2A023" w:rsidR="00E25BDB" w:rsidRPr="00D11394" w:rsidRDefault="00E25BDB" w:rsidP="00D73B69">
      <w:pPr>
        <w:pStyle w:val="NoSpacing"/>
        <w:jc w:val="both"/>
        <w:rPr>
          <w:rFonts w:ascii="Times New Roman" w:hAnsi="Times New Roman" w:cs="Times New Roman"/>
          <w:sz w:val="24"/>
          <w:szCs w:val="24"/>
          <w:lang w:val="en-GB"/>
        </w:rPr>
      </w:pPr>
      <w:r w:rsidRPr="00D11394">
        <w:rPr>
          <w:rFonts w:ascii="Times New Roman" w:hAnsi="Times New Roman" w:cs="Times New Roman"/>
          <w:i/>
          <w:sz w:val="24"/>
          <w:szCs w:val="24"/>
          <w:lang w:val="en-GB"/>
        </w:rPr>
        <w:t>Results</w:t>
      </w:r>
      <w:r w:rsidRPr="00D11394">
        <w:rPr>
          <w:rFonts w:ascii="Times New Roman" w:hAnsi="Times New Roman" w:cs="Times New Roman"/>
          <w:sz w:val="24"/>
          <w:szCs w:val="24"/>
          <w:lang w:val="en-GB"/>
        </w:rPr>
        <w:t>:</w:t>
      </w:r>
      <w:r w:rsidRPr="00D11394">
        <w:rPr>
          <w:rFonts w:ascii="Times New Roman" w:hAnsi="Times New Roman" w:cs="Times New Roman"/>
          <w:b/>
          <w:sz w:val="24"/>
          <w:szCs w:val="24"/>
          <w:lang w:val="en-GB"/>
        </w:rPr>
        <w:t xml:space="preserve"> </w:t>
      </w:r>
      <w:r>
        <w:rPr>
          <w:rFonts w:ascii="Times New Roman" w:hAnsi="Times New Roman" w:cs="Times New Roman"/>
          <w:sz w:val="24"/>
          <w:szCs w:val="24"/>
          <w:lang w:val="en-GB"/>
        </w:rPr>
        <w:t>We observed</w:t>
      </w:r>
      <w:r w:rsidRPr="00D11394">
        <w:rPr>
          <w:rFonts w:ascii="Times New Roman" w:hAnsi="Times New Roman" w:cs="Times New Roman"/>
          <w:sz w:val="24"/>
          <w:szCs w:val="24"/>
          <w:lang w:val="en-GB"/>
        </w:rPr>
        <w:t xml:space="preserve"> a cross-national tendency that countries </w:t>
      </w:r>
      <w:r>
        <w:rPr>
          <w:rFonts w:ascii="Times New Roman" w:hAnsi="Times New Roman" w:cs="Times New Roman"/>
          <w:sz w:val="24"/>
          <w:szCs w:val="24"/>
          <w:lang w:val="en-GB"/>
        </w:rPr>
        <w:t>with</w:t>
      </w:r>
      <w:r w:rsidR="00D73B69">
        <w:rPr>
          <w:rFonts w:ascii="Times New Roman" w:hAnsi="Times New Roman" w:cs="Times New Roman"/>
          <w:sz w:val="24"/>
          <w:szCs w:val="24"/>
          <w:lang w:val="en-GB"/>
        </w:rPr>
        <w:t xml:space="preserve"> higher</w:t>
      </w:r>
      <w:r w:rsidR="00E91DAF">
        <w:rPr>
          <w:rFonts w:ascii="Times New Roman" w:hAnsi="Times New Roman" w:cs="Times New Roman"/>
          <w:sz w:val="24"/>
          <w:szCs w:val="24"/>
          <w:lang w:val="en-GB"/>
        </w:rPr>
        <w:t xml:space="preserve"> or equal</w:t>
      </w:r>
      <w:r w:rsidR="00D73B69">
        <w:rPr>
          <w:rFonts w:ascii="Times New Roman" w:hAnsi="Times New Roman" w:cs="Times New Roman"/>
          <w:sz w:val="24"/>
          <w:szCs w:val="24"/>
          <w:lang w:val="en-GB"/>
        </w:rPr>
        <w:t xml:space="preserve"> probability of GP utilization</w:t>
      </w:r>
      <w:r w:rsidR="00FF7F2F">
        <w:rPr>
          <w:rFonts w:ascii="Times New Roman" w:hAnsi="Times New Roman" w:cs="Times New Roman"/>
          <w:sz w:val="24"/>
          <w:szCs w:val="24"/>
          <w:lang w:val="en-GB"/>
        </w:rPr>
        <w:t xml:space="preserve"> by lower SEP groups</w:t>
      </w:r>
      <w:r w:rsidR="00D73B69">
        <w:rPr>
          <w:rFonts w:ascii="Times New Roman" w:hAnsi="Times New Roman" w:cs="Times New Roman"/>
          <w:sz w:val="24"/>
          <w:szCs w:val="24"/>
          <w:lang w:val="en-GB"/>
        </w:rPr>
        <w:t xml:space="preserve"> had</w:t>
      </w:r>
      <w:r w:rsidR="00FF7F2F">
        <w:rPr>
          <w:rFonts w:ascii="Times New Roman" w:hAnsi="Times New Roman" w:cs="Times New Roman"/>
          <w:sz w:val="24"/>
          <w:szCs w:val="24"/>
          <w:lang w:val="en-GB"/>
        </w:rPr>
        <w:t xml:space="preserve"> a more consistent</w:t>
      </w:r>
      <w:r w:rsidR="00D73B69">
        <w:rPr>
          <w:rFonts w:ascii="Times New Roman" w:hAnsi="Times New Roman" w:cs="Times New Roman"/>
          <w:sz w:val="24"/>
          <w:szCs w:val="24"/>
          <w:lang w:val="en-GB"/>
        </w:rPr>
        <w:t xml:space="preserve"> probability of specialist use among high SEP groups.</w:t>
      </w:r>
      <w:r>
        <w:rPr>
          <w:rFonts w:ascii="Times New Roman" w:hAnsi="Times New Roman" w:cs="Times New Roman"/>
          <w:sz w:val="24"/>
          <w:szCs w:val="24"/>
          <w:lang w:val="en-GB"/>
        </w:rPr>
        <w:t xml:space="preserve"> </w:t>
      </w:r>
      <w:r w:rsidR="00FF7F2F">
        <w:rPr>
          <w:rFonts w:ascii="Times New Roman" w:hAnsi="Times New Roman" w:cs="Times New Roman"/>
          <w:sz w:val="24"/>
          <w:szCs w:val="24"/>
          <w:lang w:val="en-GB"/>
        </w:rPr>
        <w:t xml:space="preserve"> Moreover, countries with inequalities in GP use in favour of high SEP groups </w:t>
      </w:r>
      <w:r w:rsidR="00D94423">
        <w:rPr>
          <w:rFonts w:ascii="Times New Roman" w:hAnsi="Times New Roman" w:cs="Times New Roman"/>
          <w:sz w:val="24"/>
          <w:szCs w:val="24"/>
          <w:lang w:val="en-GB"/>
        </w:rPr>
        <w:t xml:space="preserve">had </w:t>
      </w:r>
      <w:r w:rsidR="00FF7F2F" w:rsidRPr="006874F2">
        <w:rPr>
          <w:rFonts w:ascii="Times New Roman" w:hAnsi="Times New Roman" w:cs="Times New Roman"/>
          <w:sz w:val="24"/>
          <w:szCs w:val="24"/>
          <w:lang w:val="en-US"/>
        </w:rPr>
        <w:t>comparable levels of inequalities in specialist care utilization</w:t>
      </w:r>
      <w:r w:rsidR="00FF7F2F">
        <w:rPr>
          <w:rFonts w:ascii="Times New Roman" w:hAnsi="Times New Roman" w:cs="Times New Roman"/>
          <w:sz w:val="24"/>
          <w:szCs w:val="24"/>
          <w:lang w:val="en-US"/>
        </w:rPr>
        <w:t>.</w:t>
      </w:r>
      <w:r w:rsidRPr="00D11394">
        <w:rPr>
          <w:rFonts w:ascii="Times New Roman" w:hAnsi="Times New Roman" w:cs="Times New Roman"/>
          <w:sz w:val="24"/>
          <w:szCs w:val="24"/>
          <w:lang w:val="en-GB"/>
        </w:rPr>
        <w:t xml:space="preserve"> This was the case for </w:t>
      </w:r>
      <w:r>
        <w:rPr>
          <w:rFonts w:ascii="Times New Roman" w:hAnsi="Times New Roman" w:cs="Times New Roman"/>
          <w:sz w:val="24"/>
          <w:szCs w:val="24"/>
          <w:lang w:val="en-GB"/>
        </w:rPr>
        <w:t>3 social markers (</w:t>
      </w:r>
      <w:r w:rsidRPr="00D11394">
        <w:rPr>
          <w:rFonts w:ascii="Times New Roman" w:hAnsi="Times New Roman" w:cs="Times New Roman"/>
          <w:sz w:val="24"/>
          <w:szCs w:val="24"/>
          <w:lang w:val="en-GB"/>
        </w:rPr>
        <w:t>education, occupational class and social network</w:t>
      </w:r>
      <w:r>
        <w:rPr>
          <w:rFonts w:ascii="Times New Roman" w:hAnsi="Times New Roman" w:cs="Times New Roman"/>
          <w:sz w:val="24"/>
          <w:szCs w:val="24"/>
          <w:lang w:val="en-GB"/>
        </w:rPr>
        <w:t>s), while t</w:t>
      </w:r>
      <w:r w:rsidRPr="00D11394">
        <w:rPr>
          <w:rFonts w:ascii="Times New Roman" w:hAnsi="Times New Roman" w:cs="Times New Roman"/>
          <w:sz w:val="24"/>
          <w:szCs w:val="24"/>
          <w:lang w:val="en-GB"/>
        </w:rPr>
        <w:t>he  pattern</w:t>
      </w:r>
      <w:r w:rsidR="003F0562">
        <w:rPr>
          <w:rFonts w:ascii="Times New Roman" w:hAnsi="Times New Roman" w:cs="Times New Roman"/>
          <w:sz w:val="24"/>
          <w:szCs w:val="24"/>
          <w:lang w:val="en-GB"/>
        </w:rPr>
        <w:t xml:space="preserve"> was less pronounced</w:t>
      </w:r>
      <w:r w:rsidRPr="00D11394">
        <w:rPr>
          <w:rFonts w:ascii="Times New Roman" w:hAnsi="Times New Roman" w:cs="Times New Roman"/>
          <w:sz w:val="24"/>
          <w:szCs w:val="24"/>
          <w:lang w:val="en-GB"/>
        </w:rPr>
        <w:t xml:space="preserve">  for</w:t>
      </w:r>
      <w:r>
        <w:rPr>
          <w:rFonts w:ascii="Times New Roman" w:hAnsi="Times New Roman" w:cs="Times New Roman"/>
          <w:sz w:val="24"/>
          <w:szCs w:val="24"/>
          <w:lang w:val="en-GB"/>
        </w:rPr>
        <w:t xml:space="preserve"> </w:t>
      </w:r>
      <w:r w:rsidRPr="00FC345F">
        <w:rPr>
          <w:rFonts w:ascii="Times New Roman" w:hAnsi="Times New Roman" w:cs="Times New Roman"/>
          <w:sz w:val="24"/>
          <w:szCs w:val="24"/>
          <w:lang w:val="en-GB"/>
        </w:rPr>
        <w:t>income</w:t>
      </w:r>
      <w:r>
        <w:rPr>
          <w:rFonts w:ascii="Times New Roman" w:hAnsi="Times New Roman" w:cs="Times New Roman"/>
          <w:sz w:val="24"/>
          <w:szCs w:val="24"/>
          <w:lang w:val="en-GB"/>
        </w:rPr>
        <w:t xml:space="preserve"> (financial strain).</w:t>
      </w:r>
    </w:p>
    <w:p w14:paraId="081DADCF" w14:textId="77777777" w:rsidR="00E25BDB" w:rsidRPr="00D11394" w:rsidRDefault="00E25BDB" w:rsidP="00D73B69">
      <w:pPr>
        <w:pStyle w:val="NoSpacing"/>
        <w:jc w:val="both"/>
        <w:rPr>
          <w:lang w:val="en-GB"/>
        </w:rPr>
      </w:pPr>
    </w:p>
    <w:p w14:paraId="75A192A5" w14:textId="77777777" w:rsidR="00E25BDB" w:rsidRDefault="00E25BDB" w:rsidP="00D73B69">
      <w:pPr>
        <w:pStyle w:val="NoSpacing"/>
        <w:jc w:val="both"/>
        <w:rPr>
          <w:lang w:val="en-GB"/>
        </w:rPr>
      </w:pPr>
      <w:r w:rsidRPr="00D11394">
        <w:rPr>
          <w:rFonts w:ascii="Times New Roman" w:hAnsi="Times New Roman" w:cs="Times New Roman"/>
          <w:i/>
          <w:sz w:val="24"/>
          <w:szCs w:val="24"/>
          <w:lang w:val="en-GB"/>
        </w:rPr>
        <w:t>Conclusion</w:t>
      </w:r>
      <w:r w:rsidRPr="00D11394">
        <w:rPr>
          <w:rFonts w:ascii="Times New Roman" w:hAnsi="Times New Roman" w:cs="Times New Roman"/>
          <w:sz w:val="24"/>
          <w:szCs w:val="24"/>
          <w:lang w:val="en-GB"/>
        </w:rPr>
        <w:t xml:space="preserve">: </w:t>
      </w:r>
      <w:r>
        <w:rPr>
          <w:lang w:val="en-GB"/>
        </w:rPr>
        <w:t xml:space="preserve"> </w:t>
      </w:r>
      <w:r>
        <w:rPr>
          <w:rFonts w:ascii="Times New Roman" w:hAnsi="Times New Roman" w:cs="Times New Roman"/>
          <w:sz w:val="24"/>
          <w:szCs w:val="24"/>
          <w:lang w:val="en-GB"/>
        </w:rPr>
        <w:t>There are significant inequalities associated with GP and specialist health care use across Europe – with higher SEP groups more likely to use health care</w:t>
      </w:r>
      <w:r w:rsidRPr="00E12733">
        <w:rPr>
          <w:rFonts w:ascii="Times New Roman" w:hAnsi="Times New Roman" w:cs="Times New Roman"/>
          <w:sz w:val="24"/>
          <w:szCs w:val="24"/>
          <w:lang w:val="en-GB"/>
        </w:rPr>
        <w:t xml:space="preserve"> specialists</w:t>
      </w:r>
      <w:r>
        <w:rPr>
          <w:rFonts w:ascii="Times New Roman" w:hAnsi="Times New Roman" w:cs="Times New Roman"/>
          <w:sz w:val="24"/>
          <w:szCs w:val="24"/>
          <w:lang w:val="en-GB"/>
        </w:rPr>
        <w:t>, compared to lower SEP groups</w:t>
      </w:r>
      <w:r w:rsidRPr="00BE1EA7">
        <w:rPr>
          <w:rFonts w:ascii="Times New Roman" w:hAnsi="Times New Roman" w:cs="Times New Roman"/>
          <w:sz w:val="24"/>
          <w:szCs w:val="24"/>
          <w:lang w:val="en-GB"/>
        </w:rPr>
        <w:t>.</w:t>
      </w:r>
      <w:r>
        <w:rPr>
          <w:rFonts w:ascii="Times New Roman" w:hAnsi="Times New Roman" w:cs="Times New Roman"/>
          <w:sz w:val="24"/>
          <w:szCs w:val="24"/>
          <w:lang w:val="en-GB"/>
        </w:rPr>
        <w:t xml:space="preserve"> In the context of health care specialist use, education and occupation appear to be particularly important factors.</w:t>
      </w:r>
    </w:p>
    <w:p w14:paraId="5283C9D6" w14:textId="77777777" w:rsidR="00E25BDB" w:rsidRPr="00D11394" w:rsidRDefault="00E25BDB" w:rsidP="00D73B69">
      <w:pPr>
        <w:pStyle w:val="NoSpacing"/>
        <w:jc w:val="both"/>
        <w:rPr>
          <w:lang w:val="en-GB"/>
        </w:rPr>
      </w:pPr>
    </w:p>
    <w:p w14:paraId="24E3075D" w14:textId="77777777" w:rsidR="00E25BDB" w:rsidRPr="00D11394" w:rsidRDefault="00E25BDB" w:rsidP="00D73B69">
      <w:pPr>
        <w:pStyle w:val="NoSpacing"/>
        <w:jc w:val="both"/>
        <w:rPr>
          <w:lang w:val="en-GB"/>
        </w:rPr>
      </w:pPr>
      <w:r w:rsidRPr="00D11394">
        <w:rPr>
          <w:rFonts w:ascii="Times New Roman" w:hAnsi="Times New Roman" w:cs="Times New Roman"/>
          <w:b/>
          <w:sz w:val="24"/>
          <w:szCs w:val="24"/>
          <w:lang w:val="en-GB"/>
        </w:rPr>
        <w:t>Key words</w:t>
      </w:r>
      <w:r w:rsidRPr="00D11394">
        <w:rPr>
          <w:rFonts w:ascii="Times New Roman" w:hAnsi="Times New Roman" w:cs="Times New Roman"/>
          <w:sz w:val="24"/>
          <w:szCs w:val="24"/>
          <w:lang w:val="en-GB"/>
        </w:rPr>
        <w:t>: health care use; socioeconomic position; resources</w:t>
      </w:r>
      <w:r>
        <w:rPr>
          <w:rFonts w:ascii="Times New Roman" w:hAnsi="Times New Roman" w:cs="Times New Roman"/>
          <w:sz w:val="24"/>
          <w:szCs w:val="24"/>
          <w:lang w:val="en-GB"/>
        </w:rPr>
        <w:t>.</w:t>
      </w:r>
      <w:r w:rsidRPr="00D11394">
        <w:rPr>
          <w:rFonts w:ascii="Times New Roman" w:hAnsi="Times New Roman" w:cs="Times New Roman"/>
          <w:sz w:val="24"/>
          <w:szCs w:val="24"/>
          <w:lang w:val="en-GB"/>
        </w:rPr>
        <w:t xml:space="preserve">  </w:t>
      </w:r>
      <w:r w:rsidRPr="00D11394">
        <w:rPr>
          <w:lang w:val="en-GB"/>
        </w:rPr>
        <w:br w:type="page"/>
      </w:r>
    </w:p>
    <w:p w14:paraId="349E2E7D" w14:textId="77777777" w:rsidR="00E25BDB" w:rsidRPr="00FC345F" w:rsidRDefault="00E25BDB" w:rsidP="00D73B69">
      <w:pPr>
        <w:pStyle w:val="NoSpacing"/>
        <w:jc w:val="both"/>
        <w:rPr>
          <w:sz w:val="28"/>
          <w:szCs w:val="28"/>
          <w:lang w:val="en-GB"/>
        </w:rPr>
      </w:pPr>
      <w:r w:rsidRPr="00FC345F">
        <w:rPr>
          <w:rFonts w:ascii="Times New Roman" w:hAnsi="Times New Roman" w:cs="Times New Roman"/>
          <w:b/>
          <w:sz w:val="28"/>
          <w:szCs w:val="28"/>
          <w:lang w:val="en-GB"/>
        </w:rPr>
        <w:lastRenderedPageBreak/>
        <w:t>Introduction</w:t>
      </w:r>
    </w:p>
    <w:p w14:paraId="336A31A0" w14:textId="77777777" w:rsidR="00E25BDB" w:rsidRPr="00D11394" w:rsidRDefault="00E25BDB" w:rsidP="00D73B69">
      <w:pPr>
        <w:pStyle w:val="NoSpacing"/>
        <w:jc w:val="both"/>
        <w:rPr>
          <w:rFonts w:ascii="Times New Roman" w:hAnsi="Times New Roman" w:cs="Times New Roman"/>
          <w:b/>
          <w:sz w:val="24"/>
          <w:szCs w:val="24"/>
          <w:lang w:val="en-GB"/>
        </w:rPr>
      </w:pPr>
    </w:p>
    <w:p w14:paraId="0BFE9428" w14:textId="77777777" w:rsidR="00E25BDB" w:rsidRPr="00C336BF" w:rsidRDefault="00E25BDB" w:rsidP="00D73B69">
      <w:pPr>
        <w:pStyle w:val="NoSpacing"/>
        <w:jc w:val="both"/>
        <w:rPr>
          <w:rStyle w:val="NoSpacingChar"/>
          <w:rFonts w:ascii="Times New Roman" w:hAnsi="Times New Roman" w:cs="Times New Roman"/>
          <w:sz w:val="24"/>
          <w:szCs w:val="24"/>
          <w:lang w:val="en-GB"/>
        </w:rPr>
      </w:pPr>
      <w:r w:rsidRPr="00C336BF">
        <w:rPr>
          <w:rFonts w:ascii="Times New Roman" w:hAnsi="Times New Roman" w:cs="Times New Roman"/>
          <w:sz w:val="24"/>
          <w:szCs w:val="24"/>
          <w:lang w:val="en-GB"/>
        </w:rPr>
        <w:t>Equitable</w:t>
      </w:r>
      <w:r w:rsidRPr="00C336BF" w:rsidDel="00BC14B1">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 xml:space="preserve">access to health care is an important principle in European welfare states. However, despite this principle, previous studies have shown that health care </w:t>
      </w:r>
      <w:r>
        <w:rPr>
          <w:rFonts w:ascii="Times New Roman" w:hAnsi="Times New Roman" w:cs="Times New Roman"/>
          <w:sz w:val="24"/>
          <w:szCs w:val="24"/>
          <w:lang w:val="en-GB"/>
        </w:rPr>
        <w:t>utilization</w:t>
      </w:r>
      <w:r w:rsidRPr="00C336BF">
        <w:rPr>
          <w:rFonts w:ascii="Times New Roman" w:hAnsi="Times New Roman" w:cs="Times New Roman"/>
          <w:sz w:val="24"/>
          <w:szCs w:val="24"/>
          <w:lang w:val="en-GB"/>
        </w:rPr>
        <w:t xml:space="preserve"> is dependent upon income</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1 2</w:t>
      </w:r>
      <w:r w:rsidRPr="00C336BF">
        <w:rPr>
          <w:rFonts w:ascii="Times New Roman" w:hAnsi="Times New Roman" w:cs="Times New Roman"/>
          <w:sz w:val="24"/>
          <w:szCs w:val="24"/>
          <w:lang w:val="en-GB"/>
        </w:rPr>
        <w:t xml:space="preserve"> and educational attainment</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3</w:t>
      </w:r>
      <w:r w:rsidRPr="00C336BF">
        <w:rPr>
          <w:rFonts w:ascii="Times New Roman" w:hAnsi="Times New Roman" w:cs="Times New Roman"/>
          <w:sz w:val="24"/>
          <w:szCs w:val="24"/>
          <w:lang w:val="en-GB"/>
        </w:rPr>
        <w:t>. Moreover, studies from Europe have shown that low socioeconomic position (SEP) tends to be linked to higher use of general practitioners (GPs)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4</w:t>
      </w:r>
      <w:r w:rsidRPr="00C336BF">
        <w:rPr>
          <w:rFonts w:ascii="Times New Roman" w:hAnsi="Times New Roman" w:cs="Times New Roman"/>
          <w:sz w:val="24"/>
          <w:szCs w:val="24"/>
          <w:lang w:val="en-GB"/>
        </w:rPr>
        <w:t>, while the use of health care specialists appears to be more common among those with higher SEP</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2</w:t>
      </w:r>
      <w:r w:rsidRPr="00C336BF">
        <w:rPr>
          <w:rFonts w:ascii="Times New Roman" w:hAnsi="Times New Roman" w:cs="Times New Roman"/>
          <w:sz w:val="24"/>
          <w:szCs w:val="24"/>
          <w:lang w:val="en-GB"/>
        </w:rPr>
        <w:t xml:space="preserve">. Even when this is adjusted for health need, those with higher SEP are still more likely to use a health care specialist. </w:t>
      </w:r>
    </w:p>
    <w:p w14:paraId="40866B84" w14:textId="77777777" w:rsidR="00E25BDB" w:rsidRPr="00C336BF" w:rsidRDefault="00E25BDB" w:rsidP="00D73B69">
      <w:pPr>
        <w:pStyle w:val="NoSpacing"/>
        <w:jc w:val="both"/>
        <w:rPr>
          <w:rFonts w:ascii="Times New Roman" w:hAnsi="Times New Roman" w:cs="Times New Roman"/>
          <w:sz w:val="24"/>
          <w:szCs w:val="24"/>
          <w:lang w:val="en-GB"/>
        </w:rPr>
      </w:pPr>
    </w:p>
    <w:p w14:paraId="7FD78E80" w14:textId="77777777"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 xml:space="preserve">The more frequent use of specialists among higher SEP groups may be seen as a public health paradox, since there is generally more need for health care among lower SEP groups. It has been suggested that higher SEP groups have more </w:t>
      </w:r>
      <w:r w:rsidRPr="00C336BF">
        <w:rPr>
          <w:rFonts w:ascii="Times New Roman" w:hAnsi="Times New Roman" w:cs="Times New Roman"/>
          <w:i/>
          <w:sz w:val="24"/>
          <w:szCs w:val="24"/>
          <w:lang w:val="en-GB"/>
        </w:rPr>
        <w:t>flexible resources</w:t>
      </w:r>
      <w:r w:rsidRPr="00C336BF">
        <w:rPr>
          <w:rFonts w:ascii="Times New Roman" w:hAnsi="Times New Roman" w:cs="Times New Roman"/>
          <w:sz w:val="24"/>
          <w:szCs w:val="24"/>
          <w:lang w:val="en-GB"/>
        </w:rPr>
        <w:t>, such as communication skills or social networks, which enable them to manoeuvre their way from primary to secondary care</w:t>
      </w:r>
      <w:r w:rsidRPr="005C11F1">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5 6</w:t>
      </w:r>
      <w:r w:rsidRPr="00C336BF">
        <w:rPr>
          <w:rFonts w:ascii="Times New Roman" w:hAnsi="Times New Roman" w:cs="Times New Roman"/>
          <w:sz w:val="24"/>
          <w:szCs w:val="24"/>
          <w:lang w:val="en-GB"/>
        </w:rPr>
        <w:t>. This, in turn, may translate into increasing socioeconomic inequalities in health. Identifying the underlying mechanisms behind this inverse care law</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7</w:t>
      </w:r>
      <w:r w:rsidRPr="00C336BF">
        <w:rPr>
          <w:rFonts w:ascii="Times New Roman" w:hAnsi="Times New Roman" w:cs="Times New Roman"/>
          <w:sz w:val="24"/>
          <w:szCs w:val="24"/>
          <w:lang w:val="en-GB"/>
        </w:rPr>
        <w:t xml:space="preserve"> could, therefore, provide European welfare states with new tools to reduce the dependency between resources and care. </w:t>
      </w:r>
    </w:p>
    <w:p w14:paraId="0B82C5C1" w14:textId="77777777" w:rsidR="00E25BDB" w:rsidRPr="00C336BF" w:rsidRDefault="00E25BDB" w:rsidP="00D73B69">
      <w:pPr>
        <w:pStyle w:val="NoSpacing"/>
        <w:jc w:val="both"/>
        <w:rPr>
          <w:rFonts w:ascii="Times New Roman" w:hAnsi="Times New Roman" w:cs="Times New Roman"/>
          <w:sz w:val="24"/>
          <w:szCs w:val="24"/>
          <w:lang w:val="en-GB"/>
        </w:rPr>
      </w:pPr>
    </w:p>
    <w:p w14:paraId="32E93D54" w14:textId="1A218739" w:rsidR="003A6036"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While others have studied inequalities in health care use</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2 9 10</w:t>
      </w:r>
      <w:r w:rsidRPr="00C336BF">
        <w:rPr>
          <w:rFonts w:ascii="Times New Roman" w:hAnsi="Times New Roman" w:cs="Times New Roman"/>
          <w:sz w:val="24"/>
          <w:szCs w:val="24"/>
          <w:lang w:val="en-GB"/>
        </w:rPr>
        <w:t xml:space="preserve">, </w:t>
      </w:r>
      <w:r w:rsidR="003A6036" w:rsidRPr="00C336BF">
        <w:rPr>
          <w:rFonts w:ascii="Times New Roman" w:hAnsi="Times New Roman" w:cs="Times New Roman"/>
          <w:sz w:val="24"/>
          <w:szCs w:val="24"/>
          <w:lang w:val="en-GB"/>
        </w:rPr>
        <w:t>th</w:t>
      </w:r>
      <w:r w:rsidR="003A6036">
        <w:rPr>
          <w:rFonts w:ascii="Times New Roman" w:hAnsi="Times New Roman" w:cs="Times New Roman"/>
          <w:sz w:val="24"/>
          <w:szCs w:val="24"/>
          <w:lang w:val="en-GB"/>
        </w:rPr>
        <w:t>is body of</w:t>
      </w:r>
      <w:r w:rsidR="003A6036" w:rsidRPr="00C336BF">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work has not been able to explain the inverse relationship between health care specialist use and SEP. We, therefore, use the theory of fundamental causes as a guiding principle to identify social markers that are likely to be linked to health care use</w:t>
      </w:r>
      <w:r w:rsidR="003A6036">
        <w:rPr>
          <w:rFonts w:ascii="Times New Roman" w:hAnsi="Times New Roman" w:cs="Times New Roman"/>
          <w:sz w:val="24"/>
          <w:szCs w:val="24"/>
          <w:lang w:val="en-GB"/>
        </w:rPr>
        <w:t xml:space="preserve">. </w:t>
      </w:r>
      <w:r w:rsidR="003A6036" w:rsidRPr="00C336BF">
        <w:rPr>
          <w:rFonts w:ascii="Times New Roman" w:hAnsi="Times New Roman" w:cs="Times New Roman"/>
          <w:sz w:val="24"/>
          <w:szCs w:val="24"/>
          <w:lang w:val="en-GB"/>
        </w:rPr>
        <w:t>Fundamental cause theory stresses that higher SEP “</w:t>
      </w:r>
      <w:r w:rsidR="003A6036" w:rsidRPr="00C336BF">
        <w:rPr>
          <w:rFonts w:ascii="Times New Roman" w:hAnsi="Times New Roman" w:cs="Times New Roman"/>
          <w:i/>
          <w:sz w:val="24"/>
          <w:szCs w:val="24"/>
          <w:lang w:val="en-GB"/>
        </w:rPr>
        <w:t>embodies an array of resources, such as money, knowledge, prestige, power, and beneficial social connections, that protect health no matter what mechanisms are relevant at any given time</w:t>
      </w:r>
      <w:r w:rsidR="003A6036" w:rsidRPr="00C336BF">
        <w:rPr>
          <w:rFonts w:ascii="Times New Roman" w:hAnsi="Times New Roman" w:cs="Times New Roman"/>
          <w:sz w:val="24"/>
          <w:szCs w:val="24"/>
          <w:lang w:val="en-GB"/>
        </w:rPr>
        <w:t>”</w:t>
      </w:r>
      <w:r w:rsidR="003A6036">
        <w:rPr>
          <w:rFonts w:ascii="Times New Roman" w:hAnsi="Times New Roman" w:cs="Times New Roman"/>
          <w:sz w:val="24"/>
          <w:szCs w:val="24"/>
          <w:lang w:val="en-GB"/>
        </w:rPr>
        <w:t xml:space="preserve"> </w:t>
      </w:r>
      <w:r w:rsidR="003A6036" w:rsidRPr="00E958FF">
        <w:rPr>
          <w:rFonts w:ascii="Times New Roman" w:hAnsi="Times New Roman" w:cs="Times New Roman"/>
          <w:noProof/>
          <w:sz w:val="24"/>
          <w:szCs w:val="24"/>
          <w:vertAlign w:val="superscript"/>
          <w:lang w:val="en-GB"/>
        </w:rPr>
        <w:t>8</w:t>
      </w:r>
      <w:r w:rsidR="003A6036" w:rsidRPr="00C336BF">
        <w:rPr>
          <w:rFonts w:ascii="Times New Roman" w:hAnsi="Times New Roman" w:cs="Times New Roman"/>
          <w:sz w:val="24"/>
          <w:szCs w:val="24"/>
          <w:lang w:val="en-GB"/>
        </w:rPr>
        <w:t>. Indeed, the use of health care is an important mechanism by which people can protect and promote their health.</w:t>
      </w:r>
      <w:r w:rsidR="0036552C">
        <w:rPr>
          <w:rFonts w:ascii="Times New Roman" w:hAnsi="Times New Roman" w:cs="Times New Roman"/>
          <w:sz w:val="24"/>
          <w:szCs w:val="24"/>
          <w:lang w:val="en-GB"/>
        </w:rPr>
        <w:t xml:space="preserve"> </w:t>
      </w:r>
    </w:p>
    <w:p w14:paraId="66367FD8" w14:textId="2A6B7A0A"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 xml:space="preserve"> </w:t>
      </w:r>
    </w:p>
    <w:p w14:paraId="53D36905" w14:textId="410261AD"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 xml:space="preserve">These </w:t>
      </w:r>
      <w:r w:rsidR="0036552C">
        <w:rPr>
          <w:rFonts w:ascii="Times New Roman" w:hAnsi="Times New Roman" w:cs="Times New Roman"/>
          <w:sz w:val="24"/>
          <w:szCs w:val="24"/>
          <w:lang w:val="en-GB"/>
        </w:rPr>
        <w:t xml:space="preserve">resources </w:t>
      </w:r>
      <w:r>
        <w:rPr>
          <w:rFonts w:ascii="Times New Roman" w:hAnsi="Times New Roman" w:cs="Times New Roman"/>
          <w:sz w:val="24"/>
          <w:szCs w:val="24"/>
          <w:lang w:val="en-GB"/>
        </w:rPr>
        <w:t>may</w:t>
      </w:r>
      <w:r w:rsidRPr="00C336BF">
        <w:rPr>
          <w:rFonts w:ascii="Times New Roman" w:hAnsi="Times New Roman" w:cs="Times New Roman"/>
          <w:sz w:val="24"/>
          <w:szCs w:val="24"/>
          <w:lang w:val="en-GB"/>
        </w:rPr>
        <w:t xml:space="preserve"> come into play with respect to the utilization of health care in different ways. First, </w:t>
      </w:r>
      <w:r w:rsidR="0036552C" w:rsidRPr="00C336BF">
        <w:rPr>
          <w:rFonts w:ascii="Times New Roman" w:hAnsi="Times New Roman" w:cs="Times New Roman"/>
          <w:i/>
          <w:sz w:val="24"/>
          <w:szCs w:val="24"/>
          <w:lang w:val="en-GB"/>
        </w:rPr>
        <w:t>money</w:t>
      </w:r>
      <w:r w:rsidR="0036552C" w:rsidRPr="00C336BF">
        <w:rPr>
          <w:rFonts w:ascii="Times New Roman" w:hAnsi="Times New Roman" w:cs="Times New Roman"/>
          <w:sz w:val="24"/>
          <w:szCs w:val="24"/>
          <w:lang w:val="en-GB"/>
        </w:rPr>
        <w:t xml:space="preserve"> could be used to purchase privatized care from specialists. </w:t>
      </w:r>
      <w:r w:rsidR="00D90535">
        <w:rPr>
          <w:rFonts w:ascii="Times New Roman" w:hAnsi="Times New Roman" w:cs="Times New Roman"/>
          <w:sz w:val="24"/>
          <w:szCs w:val="24"/>
          <w:lang w:val="en-GB"/>
        </w:rPr>
        <w:t>Second</w:t>
      </w:r>
      <w:r w:rsidR="0036552C" w:rsidRPr="00C336BF">
        <w:rPr>
          <w:rFonts w:ascii="Times New Roman" w:hAnsi="Times New Roman" w:cs="Times New Roman"/>
          <w:sz w:val="24"/>
          <w:szCs w:val="24"/>
          <w:lang w:val="en-GB"/>
        </w:rPr>
        <w:t xml:space="preserve">, </w:t>
      </w:r>
      <w:r w:rsidR="0036552C" w:rsidRPr="00C336BF">
        <w:rPr>
          <w:rFonts w:ascii="Times New Roman" w:hAnsi="Times New Roman" w:cs="Times New Roman"/>
          <w:i/>
          <w:sz w:val="24"/>
          <w:szCs w:val="24"/>
          <w:lang w:val="en-GB"/>
        </w:rPr>
        <w:t>power</w:t>
      </w:r>
      <w:r w:rsidR="0036552C" w:rsidRPr="00C336BF">
        <w:rPr>
          <w:rFonts w:ascii="Times New Roman" w:hAnsi="Times New Roman" w:cs="Times New Roman"/>
          <w:sz w:val="24"/>
          <w:szCs w:val="24"/>
          <w:lang w:val="en-GB"/>
        </w:rPr>
        <w:t xml:space="preserve"> could be used in order to secure one’s life circumstances</w:t>
      </w:r>
      <w:r w:rsidR="0036552C">
        <w:rPr>
          <w:rFonts w:ascii="Times New Roman" w:hAnsi="Times New Roman" w:cs="Times New Roman"/>
          <w:sz w:val="24"/>
          <w:szCs w:val="24"/>
          <w:lang w:val="en-GB"/>
        </w:rPr>
        <w:t xml:space="preserve"> </w:t>
      </w:r>
      <w:r w:rsidR="0036552C" w:rsidRPr="00E958FF">
        <w:rPr>
          <w:rFonts w:ascii="Times New Roman" w:hAnsi="Times New Roman" w:cs="Times New Roman"/>
          <w:noProof/>
          <w:sz w:val="24"/>
          <w:szCs w:val="24"/>
          <w:vertAlign w:val="superscript"/>
          <w:lang w:val="en-GB"/>
        </w:rPr>
        <w:t>11</w:t>
      </w:r>
      <w:r w:rsidR="0036552C" w:rsidRPr="00C336BF">
        <w:rPr>
          <w:rFonts w:ascii="Times New Roman" w:hAnsi="Times New Roman" w:cs="Times New Roman"/>
          <w:sz w:val="24"/>
          <w:szCs w:val="24"/>
          <w:lang w:val="en-GB"/>
        </w:rPr>
        <w:t>. For example, it is possible that people holding high job positions could access a health care specialist through employer agreements with specialist health care providers.</w:t>
      </w:r>
      <w:r w:rsidR="0036552C">
        <w:rPr>
          <w:rFonts w:ascii="Times New Roman" w:hAnsi="Times New Roman" w:cs="Times New Roman"/>
          <w:sz w:val="24"/>
          <w:szCs w:val="24"/>
          <w:lang w:val="en-GB"/>
        </w:rPr>
        <w:t xml:space="preserve"> </w:t>
      </w:r>
      <w:r w:rsidR="00D90535">
        <w:rPr>
          <w:rFonts w:ascii="Times New Roman" w:hAnsi="Times New Roman" w:cs="Times New Roman"/>
          <w:sz w:val="24"/>
          <w:szCs w:val="24"/>
          <w:lang w:val="en-GB"/>
        </w:rPr>
        <w:t>Third</w:t>
      </w:r>
      <w:r w:rsidRPr="00C336BF">
        <w:rPr>
          <w:rFonts w:ascii="Times New Roman" w:hAnsi="Times New Roman" w:cs="Times New Roman"/>
          <w:sz w:val="24"/>
          <w:szCs w:val="24"/>
          <w:lang w:val="en-GB"/>
        </w:rPr>
        <w:t xml:space="preserve">, </w:t>
      </w:r>
      <w:r w:rsidR="0036552C" w:rsidRPr="00C336BF">
        <w:rPr>
          <w:rFonts w:ascii="Times New Roman" w:hAnsi="Times New Roman" w:cs="Times New Roman"/>
          <w:i/>
          <w:sz w:val="24"/>
          <w:szCs w:val="24"/>
          <w:lang w:val="en-GB"/>
        </w:rPr>
        <w:t>knowledge</w:t>
      </w:r>
      <w:r w:rsidR="0036552C" w:rsidRPr="00C336BF">
        <w:rPr>
          <w:rFonts w:ascii="Times New Roman" w:hAnsi="Times New Roman" w:cs="Times New Roman"/>
          <w:sz w:val="24"/>
          <w:szCs w:val="24"/>
          <w:lang w:val="en-GB"/>
        </w:rPr>
        <w:t xml:space="preserve"> about symptoms, diseases, patient rights, and of the health care system itself may vary by level of education. This assumption implies that those with more health system-relevant knowledge may be more capable of manoeuvring their way through the system to access a specialist. For example, in a free access system, this knowledge could be applied to identify and contact a specialist directly, thereby avoiding the primary care provider</w:t>
      </w:r>
      <w:r w:rsidR="0036552C">
        <w:rPr>
          <w:rFonts w:ascii="Times New Roman" w:hAnsi="Times New Roman" w:cs="Times New Roman"/>
          <w:sz w:val="24"/>
          <w:szCs w:val="24"/>
          <w:lang w:val="en-GB"/>
        </w:rPr>
        <w:t xml:space="preserve"> </w:t>
      </w:r>
      <w:r w:rsidR="0036552C" w:rsidRPr="00E958FF">
        <w:rPr>
          <w:rFonts w:ascii="Times New Roman" w:hAnsi="Times New Roman" w:cs="Times New Roman"/>
          <w:noProof/>
          <w:sz w:val="24"/>
          <w:szCs w:val="24"/>
          <w:vertAlign w:val="superscript"/>
          <w:lang w:val="en-GB"/>
        </w:rPr>
        <w:t>3</w:t>
      </w:r>
      <w:r w:rsidR="0036552C" w:rsidRPr="00C336BF">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 xml:space="preserve">Next, </w:t>
      </w:r>
      <w:r w:rsidRPr="00C336BF">
        <w:rPr>
          <w:rFonts w:ascii="Times New Roman" w:hAnsi="Times New Roman" w:cs="Times New Roman"/>
          <w:i/>
          <w:sz w:val="24"/>
          <w:szCs w:val="24"/>
          <w:lang w:val="en-GB"/>
        </w:rPr>
        <w:t>prestige</w:t>
      </w:r>
      <w:r w:rsidRPr="00C336BF">
        <w:rPr>
          <w:rFonts w:ascii="Times New Roman" w:hAnsi="Times New Roman" w:cs="Times New Roman"/>
          <w:sz w:val="24"/>
          <w:szCs w:val="24"/>
          <w:lang w:val="en-GB"/>
        </w:rPr>
        <w:t xml:space="preserve"> could be defined as the general standing that an individual holds in the eyes of others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12</w:t>
      </w:r>
      <w:r w:rsidRPr="00C336BF">
        <w:rPr>
          <w:rFonts w:ascii="Times New Roman" w:hAnsi="Times New Roman" w:cs="Times New Roman"/>
          <w:sz w:val="24"/>
          <w:szCs w:val="24"/>
          <w:lang w:val="en-GB"/>
        </w:rPr>
        <w:t>. Prestige is likely to have consequences for health care access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11</w:t>
      </w:r>
      <w:r w:rsidRPr="00C336BF">
        <w:rPr>
          <w:rFonts w:ascii="Times New Roman" w:hAnsi="Times New Roman" w:cs="Times New Roman"/>
          <w:sz w:val="24"/>
          <w:szCs w:val="24"/>
          <w:lang w:val="en-GB"/>
        </w:rPr>
        <w:t xml:space="preserve">, either indirectly in the form of other resources like money, power, beneficial social connections or more </w:t>
      </w:r>
      <w:r w:rsidRPr="00A32941">
        <w:rPr>
          <w:rFonts w:ascii="Times New Roman" w:hAnsi="Times New Roman" w:cs="Times New Roman"/>
          <w:sz w:val="24"/>
          <w:szCs w:val="24"/>
          <w:lang w:val="en-GB"/>
        </w:rPr>
        <w:t>directly, through what a person and/or the social environment believe an individual deserves from them. Finally</w:t>
      </w:r>
      <w:r w:rsidRPr="00C336BF">
        <w:rPr>
          <w:rFonts w:ascii="Times New Roman" w:hAnsi="Times New Roman" w:cs="Times New Roman"/>
          <w:sz w:val="24"/>
          <w:szCs w:val="24"/>
          <w:lang w:val="en-GB"/>
        </w:rPr>
        <w:t xml:space="preserve">, while we know that </w:t>
      </w:r>
      <w:r w:rsidRPr="00EE0123">
        <w:rPr>
          <w:rFonts w:ascii="Times New Roman" w:hAnsi="Times New Roman" w:cs="Times New Roman"/>
          <w:i/>
          <w:sz w:val="24"/>
          <w:szCs w:val="24"/>
          <w:lang w:val="en-GB"/>
        </w:rPr>
        <w:t>social networks</w:t>
      </w:r>
      <w:r w:rsidRPr="00C336BF">
        <w:rPr>
          <w:rFonts w:ascii="Times New Roman" w:hAnsi="Times New Roman" w:cs="Times New Roman"/>
          <w:sz w:val="24"/>
          <w:szCs w:val="24"/>
          <w:lang w:val="en-GB"/>
        </w:rPr>
        <w:t xml:space="preserve"> are beneficial for health through the social support they provide individuals, particularly through the strength of their ties, they can also be important through the breadth of their ties. For example, the accessibility of knowledge about symptoms, patient rights, the availability of specialists and even the </w:t>
      </w:r>
      <w:r>
        <w:rPr>
          <w:rFonts w:ascii="Times New Roman" w:hAnsi="Times New Roman" w:cs="Times New Roman"/>
          <w:sz w:val="24"/>
          <w:szCs w:val="24"/>
          <w:lang w:val="en-GB"/>
        </w:rPr>
        <w:t>identities</w:t>
      </w:r>
      <w:r w:rsidRPr="00C336BF">
        <w:rPr>
          <w:rFonts w:ascii="Times New Roman" w:hAnsi="Times New Roman" w:cs="Times New Roman"/>
          <w:sz w:val="24"/>
          <w:szCs w:val="24"/>
          <w:lang w:val="en-GB"/>
        </w:rPr>
        <w:t xml:space="preserve"> of relevant specialists, can increase the likelihood of using a specialist. Thus, having family, friends, co-workers or even health personnel to seek help and advice from could help in coping and navigating through the health care system. </w:t>
      </w:r>
      <w:r>
        <w:rPr>
          <w:rFonts w:ascii="Times New Roman" w:hAnsi="Times New Roman" w:cs="Times New Roman"/>
          <w:sz w:val="24"/>
          <w:szCs w:val="24"/>
          <w:lang w:val="en-GB"/>
        </w:rPr>
        <w:t xml:space="preserve">Moreover, the personal social network may act as an informal gate keeper to the health care system by providing insight into personal experience and management of specific symptoms without the need for medical consultation. </w:t>
      </w:r>
    </w:p>
    <w:p w14:paraId="7070BFB4" w14:textId="77777777" w:rsidR="00E25BDB" w:rsidRPr="00C336BF" w:rsidRDefault="00E25BDB" w:rsidP="00D73B69">
      <w:pPr>
        <w:pStyle w:val="NoSpacing"/>
        <w:jc w:val="both"/>
        <w:rPr>
          <w:rFonts w:ascii="Times New Roman" w:hAnsi="Times New Roman" w:cs="Times New Roman"/>
          <w:sz w:val="24"/>
          <w:szCs w:val="24"/>
          <w:lang w:val="en-GB"/>
        </w:rPr>
      </w:pPr>
    </w:p>
    <w:p w14:paraId="0EE15506" w14:textId="6CD67A5E" w:rsidR="00E25BDB" w:rsidRDefault="00E25BDB" w:rsidP="00337DCA">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 xml:space="preserve">Using </w:t>
      </w:r>
      <w:r w:rsidRPr="00C336BF">
        <w:rPr>
          <w:rFonts w:ascii="Times New Roman" w:hAnsi="Times New Roman" w:cs="Times New Roman"/>
          <w:iCs/>
          <w:sz w:val="24"/>
          <w:szCs w:val="24"/>
          <w:lang w:val="en-US"/>
        </w:rPr>
        <w:t>data from the</w:t>
      </w:r>
      <w:r w:rsidR="004E3F23">
        <w:rPr>
          <w:rFonts w:ascii="Times New Roman" w:hAnsi="Times New Roman" w:cs="Times New Roman"/>
          <w:iCs/>
          <w:sz w:val="24"/>
          <w:szCs w:val="24"/>
          <w:lang w:val="en-US"/>
        </w:rPr>
        <w:t xml:space="preserve"> </w:t>
      </w:r>
      <w:r w:rsidR="004E3F23" w:rsidRPr="00EE0123">
        <w:rPr>
          <w:rFonts w:ascii="Times New Roman" w:hAnsi="Times New Roman" w:cs="Times New Roman"/>
          <w:iCs/>
          <w:sz w:val="24"/>
          <w:szCs w:val="24"/>
          <w:lang w:val="en-US"/>
        </w:rPr>
        <w:t>7</w:t>
      </w:r>
      <w:r w:rsidR="004E3F23" w:rsidRPr="00EE0123">
        <w:rPr>
          <w:rFonts w:ascii="Times New Roman" w:hAnsi="Times New Roman" w:cs="Times New Roman"/>
          <w:iCs/>
          <w:sz w:val="24"/>
          <w:szCs w:val="24"/>
          <w:vertAlign w:val="superscript"/>
          <w:lang w:val="en-US"/>
        </w:rPr>
        <w:t>th</w:t>
      </w:r>
      <w:r w:rsidR="004E3F23" w:rsidRPr="00EE0123">
        <w:rPr>
          <w:rFonts w:ascii="Times New Roman" w:hAnsi="Times New Roman" w:cs="Times New Roman"/>
          <w:iCs/>
          <w:sz w:val="24"/>
          <w:szCs w:val="24"/>
          <w:lang w:val="en-US"/>
        </w:rPr>
        <w:t xml:space="preserve"> round of the</w:t>
      </w:r>
      <w:r w:rsidRPr="00C336BF">
        <w:rPr>
          <w:rFonts w:ascii="Times New Roman" w:hAnsi="Times New Roman" w:cs="Times New Roman"/>
          <w:iCs/>
          <w:sz w:val="24"/>
          <w:szCs w:val="24"/>
          <w:lang w:val="en-US"/>
        </w:rPr>
        <w:t xml:space="preserve"> European Social Survey (ESS),</w:t>
      </w:r>
      <w:r w:rsidR="004E3F23">
        <w:rPr>
          <w:rFonts w:ascii="Times New Roman" w:hAnsi="Times New Roman" w:cs="Times New Roman"/>
          <w:iCs/>
          <w:sz w:val="24"/>
          <w:szCs w:val="24"/>
          <w:lang w:val="en-US"/>
        </w:rPr>
        <w:t xml:space="preserve"> </w:t>
      </w:r>
      <w:r w:rsidR="004E3F23" w:rsidRPr="006874F2">
        <w:rPr>
          <w:rFonts w:ascii="Times New Roman" w:hAnsi="Times New Roman" w:cs="Times New Roman"/>
          <w:sz w:val="24"/>
          <w:szCs w:val="24"/>
          <w:lang w:val="en-GB"/>
        </w:rPr>
        <w:t xml:space="preserve">we </w:t>
      </w:r>
      <w:r w:rsidR="00D90535">
        <w:rPr>
          <w:rFonts w:ascii="Times New Roman" w:hAnsi="Times New Roman" w:cs="Times New Roman"/>
          <w:sz w:val="24"/>
          <w:szCs w:val="24"/>
          <w:lang w:val="en-GB"/>
        </w:rPr>
        <w:t xml:space="preserve">propose </w:t>
      </w:r>
      <w:r w:rsidR="004E3F23" w:rsidRPr="006874F2">
        <w:rPr>
          <w:rFonts w:ascii="Times New Roman" w:hAnsi="Times New Roman" w:cs="Times New Roman"/>
          <w:sz w:val="24"/>
          <w:szCs w:val="24"/>
          <w:lang w:val="en-GB"/>
        </w:rPr>
        <w:t>that SEP is a fundamental cause of inequality in health care utilization.</w:t>
      </w:r>
      <w:r w:rsidR="004E3F23" w:rsidRPr="00C336BF">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 xml:space="preserve"> Following from this, the overall aim of this study was to examine inequalities in GP and health care specialist use by educational level, occupational status, level of financial strai</w:t>
      </w:r>
      <w:r>
        <w:rPr>
          <w:rFonts w:ascii="Times New Roman" w:hAnsi="Times New Roman" w:cs="Times New Roman"/>
          <w:sz w:val="24"/>
          <w:szCs w:val="24"/>
          <w:lang w:val="en-GB"/>
        </w:rPr>
        <w:t>n</w:t>
      </w:r>
      <w:r w:rsidR="0036552C">
        <w:rPr>
          <w:rFonts w:ascii="Times New Roman" w:hAnsi="Times New Roman" w:cs="Times New Roman"/>
          <w:sz w:val="24"/>
          <w:szCs w:val="24"/>
          <w:lang w:val="en-GB"/>
        </w:rPr>
        <w:t xml:space="preserve"> </w:t>
      </w:r>
      <w:r>
        <w:rPr>
          <w:rFonts w:ascii="Times New Roman" w:hAnsi="Times New Roman" w:cs="Times New Roman"/>
          <w:sz w:val="24"/>
          <w:szCs w:val="24"/>
          <w:lang w:val="en-GB"/>
        </w:rPr>
        <w:t>and size</w:t>
      </w:r>
      <w:r w:rsidR="008650B8">
        <w:rPr>
          <w:rFonts w:ascii="Times New Roman" w:hAnsi="Times New Roman" w:cs="Times New Roman"/>
          <w:sz w:val="24"/>
          <w:szCs w:val="24"/>
          <w:lang w:val="en-GB"/>
        </w:rPr>
        <w:t xml:space="preserve"> and frequency</w:t>
      </w:r>
      <w:r>
        <w:rPr>
          <w:rFonts w:ascii="Times New Roman" w:hAnsi="Times New Roman" w:cs="Times New Roman"/>
          <w:sz w:val="24"/>
          <w:szCs w:val="24"/>
          <w:lang w:val="en-GB"/>
        </w:rPr>
        <w:t xml:space="preserve"> of social networks </w:t>
      </w:r>
      <w:r w:rsidRPr="00FC345F">
        <w:rPr>
          <w:rFonts w:ascii="Times New Roman" w:hAnsi="Times New Roman" w:cs="Times New Roman"/>
          <w:sz w:val="24"/>
          <w:szCs w:val="24"/>
          <w:lang w:val="en-GB"/>
        </w:rPr>
        <w:t>across</w:t>
      </w:r>
      <w:r w:rsidRPr="00C336BF">
        <w:rPr>
          <w:rFonts w:ascii="Times New Roman" w:hAnsi="Times New Roman" w:cs="Times New Roman"/>
          <w:sz w:val="24"/>
          <w:szCs w:val="24"/>
          <w:lang w:val="en-GB"/>
        </w:rPr>
        <w:t xml:space="preserve"> 20 European countries and Israel.</w:t>
      </w:r>
      <w:r w:rsidR="0036552C">
        <w:rPr>
          <w:rFonts w:ascii="Times New Roman" w:hAnsi="Times New Roman" w:cs="Times New Roman"/>
          <w:sz w:val="24"/>
          <w:szCs w:val="24"/>
          <w:lang w:val="en-GB"/>
        </w:rPr>
        <w:t xml:space="preserve"> As indicated above, each of </w:t>
      </w:r>
      <w:r w:rsidR="00337DCA">
        <w:rPr>
          <w:rFonts w:ascii="Times New Roman" w:hAnsi="Times New Roman" w:cs="Times New Roman"/>
          <w:sz w:val="24"/>
          <w:szCs w:val="24"/>
          <w:lang w:val="en-GB"/>
        </w:rPr>
        <w:t>these</w:t>
      </w:r>
      <w:r w:rsidR="0036552C">
        <w:rPr>
          <w:rFonts w:ascii="Times New Roman" w:hAnsi="Times New Roman" w:cs="Times New Roman"/>
          <w:sz w:val="24"/>
          <w:szCs w:val="24"/>
          <w:lang w:val="en-GB"/>
        </w:rPr>
        <w:t xml:space="preserve"> </w:t>
      </w:r>
      <w:r w:rsidR="00337DCA">
        <w:rPr>
          <w:rFonts w:ascii="Times New Roman" w:hAnsi="Times New Roman" w:cs="Times New Roman"/>
          <w:sz w:val="24"/>
          <w:szCs w:val="24"/>
          <w:lang w:val="en-GB"/>
        </w:rPr>
        <w:t>indicators</w:t>
      </w:r>
      <w:r w:rsidR="0036552C">
        <w:rPr>
          <w:rFonts w:ascii="Times New Roman" w:hAnsi="Times New Roman" w:cs="Times New Roman"/>
          <w:sz w:val="24"/>
          <w:szCs w:val="24"/>
          <w:lang w:val="en-GB"/>
        </w:rPr>
        <w:t xml:space="preserve"> are associated with</w:t>
      </w:r>
      <w:r w:rsidR="0036552C" w:rsidRPr="00C336BF">
        <w:rPr>
          <w:rFonts w:ascii="Times New Roman" w:hAnsi="Times New Roman" w:cs="Times New Roman"/>
          <w:sz w:val="24"/>
          <w:szCs w:val="24"/>
          <w:lang w:val="en-GB"/>
        </w:rPr>
        <w:t xml:space="preserve"> resources that can protect and promote health</w:t>
      </w:r>
      <w:r w:rsidR="0036552C">
        <w:rPr>
          <w:rFonts w:ascii="Times New Roman" w:hAnsi="Times New Roman" w:cs="Times New Roman"/>
          <w:sz w:val="24"/>
          <w:szCs w:val="24"/>
          <w:lang w:val="en-GB"/>
        </w:rPr>
        <w:t xml:space="preserve">. </w:t>
      </w:r>
    </w:p>
    <w:p w14:paraId="75877F39" w14:textId="77777777" w:rsidR="00337DCA" w:rsidRPr="00D11394" w:rsidRDefault="00337DCA" w:rsidP="00337DCA">
      <w:pPr>
        <w:pStyle w:val="NoSpacing"/>
        <w:jc w:val="both"/>
        <w:rPr>
          <w:rFonts w:ascii="Times New Roman" w:hAnsi="Times New Roman" w:cs="Times New Roman"/>
          <w:sz w:val="24"/>
          <w:szCs w:val="24"/>
          <w:lang w:val="en-GB"/>
        </w:rPr>
      </w:pPr>
    </w:p>
    <w:p w14:paraId="3B4FDD1F" w14:textId="32A9E71C" w:rsidR="00C92B17" w:rsidRDefault="00E25BDB" w:rsidP="00D73B69">
      <w:pPr>
        <w:pStyle w:val="NoSpacing"/>
        <w:jc w:val="both"/>
        <w:rPr>
          <w:rFonts w:ascii="Times New Roman" w:hAnsi="Times New Roman" w:cs="Times New Roman"/>
          <w:sz w:val="24"/>
          <w:szCs w:val="24"/>
          <w:lang w:val="en-GB"/>
        </w:rPr>
      </w:pPr>
      <w:r w:rsidRPr="00FC345F">
        <w:rPr>
          <w:rFonts w:ascii="Times New Roman" w:hAnsi="Times New Roman" w:cs="Times New Roman"/>
          <w:b/>
          <w:sz w:val="28"/>
          <w:szCs w:val="28"/>
          <w:lang w:val="en-GB"/>
        </w:rPr>
        <w:t xml:space="preserve">Data and methods </w:t>
      </w:r>
    </w:p>
    <w:p w14:paraId="01E2C542" w14:textId="77777777" w:rsidR="009B2E33" w:rsidRDefault="009B2E33" w:rsidP="00D73B69">
      <w:pPr>
        <w:pStyle w:val="NoSpacing"/>
        <w:jc w:val="both"/>
        <w:rPr>
          <w:rFonts w:ascii="Times New Roman" w:hAnsi="Times New Roman" w:cs="Times New Roman"/>
          <w:sz w:val="24"/>
          <w:szCs w:val="24"/>
          <w:lang w:val="en-GB"/>
        </w:rPr>
      </w:pPr>
    </w:p>
    <w:p w14:paraId="73B62407" w14:textId="6C9B0348" w:rsidR="00E25BDB" w:rsidRPr="00A04854" w:rsidRDefault="00E25BDB" w:rsidP="00D73B69">
      <w:pPr>
        <w:pStyle w:val="NoSpacing"/>
        <w:jc w:val="both"/>
        <w:rPr>
          <w:rFonts w:ascii="Times New Roman" w:hAnsi="Times New Roman" w:cs="Times New Roman"/>
          <w:sz w:val="24"/>
          <w:szCs w:val="24"/>
          <w:lang w:val="en-GB"/>
        </w:rPr>
      </w:pPr>
      <w:r w:rsidRPr="00A04854">
        <w:rPr>
          <w:rFonts w:ascii="Times New Roman" w:hAnsi="Times New Roman" w:cs="Times New Roman"/>
          <w:sz w:val="24"/>
          <w:szCs w:val="24"/>
          <w:lang w:val="en-GB"/>
        </w:rPr>
        <w:t>This study was based on data from the 7</w:t>
      </w:r>
      <w:r w:rsidRPr="00A04854">
        <w:rPr>
          <w:rFonts w:ascii="Times New Roman" w:hAnsi="Times New Roman" w:cs="Times New Roman"/>
          <w:sz w:val="24"/>
          <w:szCs w:val="24"/>
          <w:vertAlign w:val="superscript"/>
          <w:lang w:val="en-GB"/>
        </w:rPr>
        <w:t>th</w:t>
      </w:r>
      <w:r w:rsidRPr="00A04854">
        <w:rPr>
          <w:rFonts w:ascii="Times New Roman" w:hAnsi="Times New Roman" w:cs="Times New Roman"/>
          <w:sz w:val="24"/>
          <w:szCs w:val="24"/>
          <w:lang w:val="en-GB"/>
        </w:rPr>
        <w:t xml:space="preserve"> round of the European Social Survey (ESS)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13</w:t>
      </w:r>
      <w:r w:rsidRPr="00A04854">
        <w:rPr>
          <w:rFonts w:ascii="Times New Roman" w:hAnsi="Times New Roman" w:cs="Times New Roman"/>
          <w:sz w:val="24"/>
          <w:szCs w:val="24"/>
          <w:lang w:val="en-GB"/>
        </w:rPr>
        <w:t>.</w:t>
      </w:r>
      <w:r w:rsidR="006D1D79">
        <w:rPr>
          <w:rFonts w:ascii="Times New Roman" w:hAnsi="Times New Roman" w:cs="Times New Roman"/>
          <w:sz w:val="24"/>
          <w:szCs w:val="24"/>
          <w:lang w:val="en-GB"/>
        </w:rPr>
        <w:t xml:space="preserve"> We</w:t>
      </w:r>
      <w:r w:rsidR="00D90535">
        <w:rPr>
          <w:rFonts w:ascii="Times New Roman" w:hAnsi="Times New Roman" w:cs="Times New Roman"/>
          <w:sz w:val="24"/>
          <w:szCs w:val="24"/>
          <w:lang w:val="en-GB"/>
        </w:rPr>
        <w:t xml:space="preserve"> used data from participants aged 25 to 75 years,</w:t>
      </w:r>
      <w:r w:rsidR="006D1D79">
        <w:rPr>
          <w:rFonts w:ascii="Times New Roman" w:hAnsi="Times New Roman" w:cs="Times New Roman"/>
          <w:sz w:val="24"/>
          <w:szCs w:val="24"/>
          <w:lang w:val="en-GB"/>
        </w:rPr>
        <w:t xml:space="preserve"> restrict</w:t>
      </w:r>
      <w:r w:rsidR="00D90535">
        <w:rPr>
          <w:rFonts w:ascii="Times New Roman" w:hAnsi="Times New Roman" w:cs="Times New Roman"/>
          <w:sz w:val="24"/>
          <w:szCs w:val="24"/>
          <w:lang w:val="en-GB"/>
        </w:rPr>
        <w:t>ing</w:t>
      </w:r>
      <w:r w:rsidR="006D1D79">
        <w:rPr>
          <w:rFonts w:ascii="Times New Roman" w:hAnsi="Times New Roman" w:cs="Times New Roman"/>
          <w:sz w:val="24"/>
          <w:szCs w:val="24"/>
          <w:lang w:val="en-GB"/>
        </w:rPr>
        <w:t xml:space="preserve"> our sample</w:t>
      </w:r>
      <w:r w:rsidR="00D90535">
        <w:rPr>
          <w:rFonts w:ascii="Times New Roman" w:hAnsi="Times New Roman" w:cs="Times New Roman"/>
          <w:sz w:val="24"/>
          <w:szCs w:val="24"/>
          <w:lang w:val="en-GB"/>
        </w:rPr>
        <w:t xml:space="preserve"> size </w:t>
      </w:r>
      <w:r w:rsidR="006D1D79">
        <w:rPr>
          <w:rFonts w:ascii="Times New Roman" w:hAnsi="Times New Roman" w:cs="Times New Roman"/>
          <w:sz w:val="24"/>
          <w:szCs w:val="24"/>
          <w:lang w:val="en-GB"/>
        </w:rPr>
        <w:t>to 31,971</w:t>
      </w:r>
      <w:r w:rsidR="00D90535">
        <w:rPr>
          <w:rFonts w:ascii="Times New Roman" w:hAnsi="Times New Roman" w:cs="Times New Roman"/>
          <w:sz w:val="24"/>
          <w:szCs w:val="24"/>
          <w:lang w:val="en-GB"/>
        </w:rPr>
        <w:t xml:space="preserve"> participants</w:t>
      </w:r>
      <w:r w:rsidR="006D1D79">
        <w:rPr>
          <w:rFonts w:ascii="Times New Roman" w:hAnsi="Times New Roman" w:cs="Times New Roman"/>
          <w:sz w:val="24"/>
          <w:szCs w:val="24"/>
          <w:lang w:val="en-GB"/>
        </w:rPr>
        <w:t>. After deleting cases list</w:t>
      </w:r>
      <w:r w:rsidR="00D90535">
        <w:rPr>
          <w:rFonts w:ascii="Times New Roman" w:hAnsi="Times New Roman" w:cs="Times New Roman"/>
          <w:sz w:val="24"/>
          <w:szCs w:val="24"/>
          <w:lang w:val="en-GB"/>
        </w:rPr>
        <w:t>-</w:t>
      </w:r>
      <w:r w:rsidR="006D1D79">
        <w:rPr>
          <w:rFonts w:ascii="Times New Roman" w:hAnsi="Times New Roman" w:cs="Times New Roman"/>
          <w:sz w:val="24"/>
          <w:szCs w:val="24"/>
          <w:lang w:val="en-GB"/>
        </w:rPr>
        <w:t>wise,</w:t>
      </w:r>
      <w:r>
        <w:rPr>
          <w:rFonts w:ascii="Times New Roman" w:hAnsi="Times New Roman" w:cs="Times New Roman"/>
          <w:sz w:val="24"/>
          <w:szCs w:val="24"/>
          <w:lang w:val="en-GB"/>
        </w:rPr>
        <w:t xml:space="preserve"> </w:t>
      </w:r>
      <w:r w:rsidR="006D1D79">
        <w:rPr>
          <w:rFonts w:ascii="Times New Roman" w:hAnsi="Times New Roman" w:cs="Times New Roman"/>
          <w:sz w:val="24"/>
          <w:szCs w:val="24"/>
          <w:lang w:val="en-GB"/>
        </w:rPr>
        <w:t>o</w:t>
      </w:r>
      <w:r w:rsidRPr="00A04854">
        <w:rPr>
          <w:rFonts w:ascii="Times New Roman" w:hAnsi="Times New Roman" w:cs="Times New Roman"/>
          <w:sz w:val="24"/>
          <w:szCs w:val="24"/>
          <w:lang w:val="en-GB"/>
        </w:rPr>
        <w:t>ur study included 29,637 respondents in 21 countries: Austria, Belgium, Czech Republic, Denmark, Estonia, Finland, France Germany, Hungary, Ireland, Israel, Lithuania, Netherlands, Norway, Poland, Portugal, Slovenia, Spain, Sweden, Switzerland and United Kingdom. The response rates were overall similar to previous rounds of the ESS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14</w:t>
      </w:r>
      <w:r w:rsidRPr="002D55B5">
        <w:rPr>
          <w:rFonts w:ascii="Times New Roman" w:hAnsi="Times New Roman" w:cs="Times New Roman"/>
          <w:sz w:val="24"/>
          <w:szCs w:val="24"/>
          <w:lang w:val="en-GB"/>
        </w:rPr>
        <w:t xml:space="preserve"> </w:t>
      </w:r>
      <w:r w:rsidRPr="00A04854">
        <w:rPr>
          <w:rFonts w:ascii="Times New Roman" w:hAnsi="Times New Roman" w:cs="Times New Roman"/>
          <w:sz w:val="24"/>
          <w:szCs w:val="24"/>
          <w:lang w:val="en-GB"/>
        </w:rPr>
        <w:t xml:space="preserve">and ranged from 31 per cent in Germany to 68 per cent in the Czech Republic. Individuals with missing data on study variables were excluded. </w:t>
      </w:r>
    </w:p>
    <w:p w14:paraId="2D912372" w14:textId="77777777" w:rsidR="00E25BDB" w:rsidRDefault="00E25BDB" w:rsidP="00D73B69">
      <w:pPr>
        <w:pStyle w:val="NoSpacing"/>
        <w:jc w:val="both"/>
        <w:rPr>
          <w:rFonts w:ascii="Times New Roman" w:hAnsi="Times New Roman" w:cs="Times New Roman"/>
          <w:b/>
          <w:sz w:val="24"/>
          <w:szCs w:val="24"/>
          <w:lang w:val="en-GB"/>
        </w:rPr>
      </w:pPr>
    </w:p>
    <w:p w14:paraId="3409A368" w14:textId="77777777" w:rsidR="00E25BDB" w:rsidRPr="00FC345F" w:rsidRDefault="00E25BDB" w:rsidP="00D73B69">
      <w:pPr>
        <w:pStyle w:val="NoSpacing"/>
        <w:jc w:val="both"/>
        <w:rPr>
          <w:rFonts w:ascii="Times New Roman" w:hAnsi="Times New Roman" w:cs="Times New Roman"/>
          <w:b/>
          <w:i/>
          <w:sz w:val="24"/>
          <w:szCs w:val="24"/>
          <w:lang w:val="en-GB"/>
        </w:rPr>
      </w:pPr>
      <w:r w:rsidRPr="00FC345F">
        <w:rPr>
          <w:rFonts w:ascii="Times New Roman" w:hAnsi="Times New Roman" w:cs="Times New Roman"/>
          <w:b/>
          <w:i/>
          <w:sz w:val="24"/>
          <w:szCs w:val="24"/>
          <w:lang w:val="en-GB"/>
        </w:rPr>
        <w:t xml:space="preserve">Study variables </w:t>
      </w:r>
    </w:p>
    <w:p w14:paraId="70CEA232" w14:textId="77777777" w:rsidR="00E25BDB" w:rsidRDefault="00E25BDB" w:rsidP="00D73B69">
      <w:pPr>
        <w:pStyle w:val="NoSpacing"/>
        <w:jc w:val="both"/>
        <w:rPr>
          <w:rFonts w:ascii="Times New Roman" w:hAnsi="Times New Roman" w:cs="Times New Roman"/>
          <w:b/>
          <w:sz w:val="24"/>
          <w:szCs w:val="24"/>
          <w:lang w:val="en-GB"/>
        </w:rPr>
      </w:pPr>
    </w:p>
    <w:p w14:paraId="42315B10" w14:textId="77777777" w:rsidR="00E25BDB" w:rsidRDefault="00E25BDB" w:rsidP="00D73B69">
      <w:pPr>
        <w:pStyle w:val="NoSpacing"/>
        <w:jc w:val="both"/>
        <w:rPr>
          <w:rFonts w:ascii="Times New Roman" w:hAnsi="Times New Roman" w:cs="Times New Roman"/>
          <w:b/>
          <w:sz w:val="24"/>
          <w:szCs w:val="24"/>
          <w:lang w:val="en-GB"/>
        </w:rPr>
      </w:pPr>
      <w:r w:rsidRPr="00C336BF">
        <w:rPr>
          <w:rFonts w:ascii="Times New Roman" w:hAnsi="Times New Roman" w:cs="Times New Roman"/>
          <w:sz w:val="24"/>
          <w:szCs w:val="24"/>
          <w:lang w:val="en-GB"/>
        </w:rPr>
        <w:t>The outcome variables were based on the question: “In the last 12 months, with which of the health professionals on this card have you discussed your health?” GP or medical specialist use was dummy coded as binary variables in separate analyses.</w:t>
      </w:r>
    </w:p>
    <w:p w14:paraId="7A7F5B3C" w14:textId="77777777" w:rsidR="00E25BDB" w:rsidRDefault="00E25BDB" w:rsidP="00D73B69">
      <w:pPr>
        <w:pStyle w:val="NoSpacing"/>
        <w:jc w:val="both"/>
        <w:rPr>
          <w:rFonts w:ascii="Times New Roman" w:hAnsi="Times New Roman" w:cs="Times New Roman"/>
          <w:sz w:val="24"/>
          <w:szCs w:val="24"/>
          <w:lang w:val="en-GB"/>
        </w:rPr>
      </w:pPr>
    </w:p>
    <w:p w14:paraId="02DC189E" w14:textId="3AF1055A"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Financial strain was measured by asking respondents how they felt about their household income. Those who reported that they found it ‘difficult’ or ‘very difficult’ livi</w:t>
      </w:r>
      <w:r w:rsidR="009F6895">
        <w:rPr>
          <w:rFonts w:ascii="Times New Roman" w:hAnsi="Times New Roman" w:cs="Times New Roman"/>
          <w:sz w:val="24"/>
          <w:szCs w:val="24"/>
          <w:lang w:val="en-GB"/>
        </w:rPr>
        <w:t xml:space="preserve">ng on their present income were </w:t>
      </w:r>
      <w:bookmarkStart w:id="0" w:name="_GoBack"/>
      <w:bookmarkEnd w:id="0"/>
      <w:r w:rsidRPr="00C336BF">
        <w:rPr>
          <w:rFonts w:ascii="Times New Roman" w:hAnsi="Times New Roman" w:cs="Times New Roman"/>
          <w:sz w:val="24"/>
          <w:szCs w:val="24"/>
          <w:lang w:val="en-GB"/>
        </w:rPr>
        <w:t>coded as experiencing financial strain. These were contrasted with r</w:t>
      </w:r>
      <w:r>
        <w:rPr>
          <w:rFonts w:ascii="Times New Roman" w:hAnsi="Times New Roman" w:cs="Times New Roman"/>
          <w:sz w:val="24"/>
          <w:szCs w:val="24"/>
          <w:lang w:val="en-GB"/>
        </w:rPr>
        <w:t xml:space="preserve">espondents stating that they </w:t>
      </w:r>
      <w:r w:rsidRPr="00FC345F">
        <w:rPr>
          <w:rFonts w:ascii="Times New Roman" w:hAnsi="Times New Roman" w:cs="Times New Roman"/>
          <w:sz w:val="24"/>
          <w:szCs w:val="24"/>
          <w:lang w:val="en-GB"/>
        </w:rPr>
        <w:t>were</w:t>
      </w:r>
      <w:r w:rsidRPr="00C336BF">
        <w:rPr>
          <w:rFonts w:ascii="Times New Roman" w:hAnsi="Times New Roman" w:cs="Times New Roman"/>
          <w:sz w:val="24"/>
          <w:szCs w:val="24"/>
          <w:lang w:val="en-GB"/>
        </w:rPr>
        <w:t xml:space="preserve"> coping or living comfortably on their present income. Overall, more than 20 per cent of respondents reported financial strain (</w:t>
      </w:r>
      <w:r w:rsidR="00D92BE8">
        <w:rPr>
          <w:rFonts w:ascii="Times New Roman" w:hAnsi="Times New Roman" w:cs="Times New Roman"/>
          <w:sz w:val="24"/>
          <w:szCs w:val="24"/>
          <w:lang w:val="en-GB"/>
        </w:rPr>
        <w:t>table</w:t>
      </w:r>
      <w:r w:rsidRPr="00C336BF">
        <w:rPr>
          <w:rFonts w:ascii="Times New Roman" w:hAnsi="Times New Roman" w:cs="Times New Roman"/>
          <w:sz w:val="24"/>
          <w:szCs w:val="24"/>
          <w:lang w:val="en-GB"/>
        </w:rPr>
        <w:t xml:space="preserve"> 1).</w:t>
      </w:r>
    </w:p>
    <w:p w14:paraId="50A916C7" w14:textId="77777777" w:rsidR="00E25BDB" w:rsidRPr="00C336BF" w:rsidRDefault="00E25BDB" w:rsidP="00D73B69">
      <w:pPr>
        <w:pStyle w:val="NoSpacing"/>
        <w:jc w:val="both"/>
        <w:rPr>
          <w:rFonts w:ascii="Times New Roman" w:hAnsi="Times New Roman" w:cs="Times New Roman"/>
          <w:sz w:val="24"/>
          <w:szCs w:val="24"/>
          <w:lang w:val="en-GB"/>
        </w:rPr>
      </w:pPr>
    </w:p>
    <w:p w14:paraId="01DB9EAD" w14:textId="4F249140"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The European Socio-Economic Classification of occupation</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15</w:t>
      </w:r>
      <w:r w:rsidRPr="00C336BF">
        <w:rPr>
          <w:rFonts w:ascii="Times New Roman" w:hAnsi="Times New Roman" w:cs="Times New Roman"/>
          <w:sz w:val="24"/>
          <w:szCs w:val="24"/>
          <w:lang w:val="en-GB"/>
        </w:rPr>
        <w:t xml:space="preserve"> was used to classify the occupational status of respondents. For this study, three categories were constructed: higher occupational class (professionals, managers), intermediate class (clerical, skilled workers, self-employed with no or a small number of employees) and working class (service, sales workers and unskilled workers combined). These groups were of fairly similar sizes (</w:t>
      </w:r>
      <w:r w:rsidR="00D92BE8">
        <w:rPr>
          <w:rFonts w:ascii="Times New Roman" w:hAnsi="Times New Roman" w:cs="Times New Roman"/>
          <w:sz w:val="24"/>
          <w:szCs w:val="24"/>
          <w:lang w:val="en-GB"/>
        </w:rPr>
        <w:t>table</w:t>
      </w:r>
      <w:r w:rsidRPr="00C336BF">
        <w:rPr>
          <w:rFonts w:ascii="Times New Roman" w:hAnsi="Times New Roman" w:cs="Times New Roman"/>
          <w:sz w:val="24"/>
          <w:szCs w:val="24"/>
          <w:lang w:val="en-GB"/>
        </w:rPr>
        <w:t xml:space="preserve"> 1).</w:t>
      </w:r>
    </w:p>
    <w:p w14:paraId="6162F6D0" w14:textId="77777777" w:rsidR="00E25BDB" w:rsidRDefault="00E25BDB" w:rsidP="00D73B69">
      <w:pPr>
        <w:pStyle w:val="NoSpacing"/>
        <w:jc w:val="both"/>
        <w:rPr>
          <w:rFonts w:ascii="Times New Roman" w:hAnsi="Times New Roman" w:cs="Times New Roman"/>
          <w:sz w:val="24"/>
          <w:szCs w:val="24"/>
          <w:lang w:val="en-GB"/>
        </w:rPr>
      </w:pPr>
    </w:p>
    <w:p w14:paraId="2CA36A99" w14:textId="489E57AA"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Education was classified in three categories according to the International Standard Classification of Education (ISCED). The lower educated category included respondents with less than upper secondary education, the middle group with upper secondary education, and the higher educated with tertiary education. Half of the respondents were classified in the middle group, while the other half we</w:t>
      </w:r>
      <w:r w:rsidR="00D92BE8">
        <w:rPr>
          <w:rFonts w:ascii="Times New Roman" w:hAnsi="Times New Roman" w:cs="Times New Roman"/>
          <w:sz w:val="24"/>
          <w:szCs w:val="24"/>
          <w:lang w:val="en-GB"/>
        </w:rPr>
        <w:t>re split between high and low (t</w:t>
      </w:r>
      <w:r w:rsidRPr="00C336BF">
        <w:rPr>
          <w:rFonts w:ascii="Times New Roman" w:hAnsi="Times New Roman" w:cs="Times New Roman"/>
          <w:sz w:val="24"/>
          <w:szCs w:val="24"/>
          <w:lang w:val="en-GB"/>
        </w:rPr>
        <w:t>able 1).</w:t>
      </w:r>
    </w:p>
    <w:p w14:paraId="143D42AE" w14:textId="77777777" w:rsidR="00E25BDB" w:rsidRPr="00C336BF" w:rsidRDefault="00E25BDB" w:rsidP="00D73B69">
      <w:pPr>
        <w:pStyle w:val="NoSpacing"/>
        <w:jc w:val="both"/>
        <w:rPr>
          <w:rFonts w:ascii="Times New Roman" w:hAnsi="Times New Roman" w:cs="Times New Roman"/>
          <w:sz w:val="24"/>
          <w:szCs w:val="24"/>
          <w:lang w:val="en-GB"/>
        </w:rPr>
      </w:pPr>
    </w:p>
    <w:p w14:paraId="0D33D18D" w14:textId="77777777"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Social networks were measured by combining two separate questions: firstly, on how often the respondent</w:t>
      </w:r>
      <w:r w:rsidRPr="00FC345F">
        <w:rPr>
          <w:rFonts w:ascii="Times New Roman" w:hAnsi="Times New Roman" w:cs="Times New Roman"/>
          <w:sz w:val="24"/>
          <w:szCs w:val="24"/>
          <w:lang w:val="en-GB"/>
        </w:rPr>
        <w:t>s</w:t>
      </w:r>
      <w:r>
        <w:rPr>
          <w:rFonts w:ascii="Times New Roman" w:hAnsi="Times New Roman" w:cs="Times New Roman"/>
          <w:sz w:val="24"/>
          <w:szCs w:val="24"/>
          <w:lang w:val="en-GB"/>
        </w:rPr>
        <w:t xml:space="preserve"> socially meet</w:t>
      </w:r>
      <w:r w:rsidRPr="00C336BF">
        <w:rPr>
          <w:rFonts w:ascii="Times New Roman" w:hAnsi="Times New Roman" w:cs="Times New Roman"/>
          <w:sz w:val="24"/>
          <w:szCs w:val="24"/>
          <w:lang w:val="en-GB"/>
        </w:rPr>
        <w:t xml:space="preserve"> with friends, relatives or work colleagues; and, s</w:t>
      </w:r>
      <w:r>
        <w:rPr>
          <w:rFonts w:ascii="Times New Roman" w:hAnsi="Times New Roman" w:cs="Times New Roman"/>
          <w:sz w:val="24"/>
          <w:szCs w:val="24"/>
          <w:lang w:val="en-GB"/>
        </w:rPr>
        <w:t xml:space="preserve">econdly, on how many people </w:t>
      </w:r>
      <w:r w:rsidRPr="00FC345F">
        <w:rPr>
          <w:rFonts w:ascii="Times New Roman" w:hAnsi="Times New Roman" w:cs="Times New Roman"/>
          <w:sz w:val="24"/>
          <w:szCs w:val="24"/>
          <w:lang w:val="en-GB"/>
        </w:rPr>
        <w:t>respondents</w:t>
      </w:r>
      <w:r w:rsidRPr="00C336BF">
        <w:rPr>
          <w:rFonts w:ascii="Times New Roman" w:hAnsi="Times New Roman" w:cs="Times New Roman"/>
          <w:sz w:val="24"/>
          <w:szCs w:val="24"/>
          <w:lang w:val="en-GB"/>
        </w:rPr>
        <w:t xml:space="preserve"> perceive they can discuss intimate and personal matters with. This approach was done to capture both the depth and breadth of social networks. Respondents who attended social meetings between daily and once a week were classified as having a high frequency of social contact, while respondents who met several times a month or less were included under the low social contact group. Additionally, we distinguished respondents who </w:t>
      </w:r>
      <w:r w:rsidRPr="00C336BF">
        <w:rPr>
          <w:rFonts w:ascii="Times New Roman" w:hAnsi="Times New Roman" w:cs="Times New Roman"/>
          <w:sz w:val="24"/>
          <w:szCs w:val="24"/>
          <w:lang w:val="en-GB"/>
        </w:rPr>
        <w:lastRenderedPageBreak/>
        <w:t>reported more than three people with whom they could discuss intimate matters with from respondents who had less. Respondents reporting low frequency of social contact and few confidants were contrasted with respondents who had either few confidants but high frequency of social contact, or many confidants but low frequency of social contact, and with respondents with high frequency of social contact and many confidants. Around 25 per cent were placed in the high level group, around 40 per cent in the mid-level group, and around 30 per cent in the low level group.</w:t>
      </w:r>
    </w:p>
    <w:p w14:paraId="17FAB484" w14:textId="77777777" w:rsidR="00E25BDB" w:rsidRDefault="00E25BDB" w:rsidP="00D73B69">
      <w:pPr>
        <w:pStyle w:val="NoSpacing"/>
        <w:jc w:val="both"/>
        <w:rPr>
          <w:rFonts w:ascii="Times New Roman" w:hAnsi="Times New Roman" w:cs="Times New Roman"/>
          <w:sz w:val="24"/>
          <w:szCs w:val="24"/>
          <w:lang w:val="en-GB"/>
        </w:rPr>
      </w:pPr>
    </w:p>
    <w:p w14:paraId="07EBD877" w14:textId="77777777" w:rsidR="00E25BDB" w:rsidRPr="00A04854" w:rsidRDefault="00E25BDB" w:rsidP="00D73B69">
      <w:pPr>
        <w:pStyle w:val="NoSpacing"/>
        <w:jc w:val="both"/>
        <w:rPr>
          <w:rFonts w:ascii="Times New Roman" w:hAnsi="Times New Roman" w:cs="Times New Roman"/>
          <w:sz w:val="24"/>
          <w:szCs w:val="24"/>
          <w:lang w:val="en-GB"/>
        </w:rPr>
      </w:pPr>
      <w:r w:rsidRPr="00A04854">
        <w:rPr>
          <w:rFonts w:ascii="Times New Roman" w:hAnsi="Times New Roman" w:cs="Times New Roman"/>
          <w:sz w:val="24"/>
          <w:szCs w:val="24"/>
          <w:lang w:val="en-GB"/>
        </w:rPr>
        <w:t xml:space="preserve">As control variables, we adjusted for gender, age and self-reported health. Gender was dummy coded, with females assigned the value one. Age was measured in age dummy groups, including respondents from 25 to 75. Self-reported health was dichotomized, based on the question: “How good is your health in general?” The responses ‘very good’ and ‘good’ were coded as good health and used as reference, while ‘fair’, ‘poor’ or ‘very poor’ health were coded as poor health. </w:t>
      </w:r>
    </w:p>
    <w:p w14:paraId="7DDBFCA8" w14:textId="77777777" w:rsidR="00E25BDB" w:rsidRDefault="00E25BDB" w:rsidP="00D73B69">
      <w:pPr>
        <w:pStyle w:val="NoSpacing"/>
        <w:jc w:val="both"/>
        <w:rPr>
          <w:rFonts w:ascii="Times New Roman" w:hAnsi="Times New Roman" w:cs="Times New Roman"/>
          <w:sz w:val="24"/>
          <w:szCs w:val="24"/>
          <w:lang w:val="en-GB"/>
        </w:rPr>
      </w:pPr>
    </w:p>
    <w:p w14:paraId="7B78B868" w14:textId="77777777" w:rsidR="00E25BDB" w:rsidRPr="00FC345F" w:rsidRDefault="00E25BDB" w:rsidP="00D73B69">
      <w:pPr>
        <w:pStyle w:val="NoSpacing"/>
        <w:jc w:val="both"/>
        <w:rPr>
          <w:rFonts w:ascii="Times New Roman" w:hAnsi="Times New Roman" w:cs="Times New Roman"/>
          <w:b/>
          <w:i/>
          <w:sz w:val="24"/>
          <w:szCs w:val="24"/>
          <w:lang w:val="en-GB"/>
        </w:rPr>
      </w:pPr>
      <w:r>
        <w:rPr>
          <w:rFonts w:ascii="Times New Roman" w:hAnsi="Times New Roman" w:cs="Times New Roman"/>
          <w:b/>
          <w:i/>
          <w:sz w:val="24"/>
          <w:szCs w:val="24"/>
          <w:lang w:val="en-GB"/>
        </w:rPr>
        <w:t xml:space="preserve">Statistical analysis </w:t>
      </w:r>
    </w:p>
    <w:p w14:paraId="614765E4" w14:textId="77777777" w:rsidR="00E25BDB" w:rsidRDefault="00E25BDB" w:rsidP="00D73B69">
      <w:pPr>
        <w:pStyle w:val="NoSpacing"/>
        <w:jc w:val="both"/>
        <w:rPr>
          <w:rFonts w:ascii="Times New Roman" w:hAnsi="Times New Roman" w:cs="Times New Roman"/>
          <w:sz w:val="24"/>
          <w:szCs w:val="24"/>
          <w:lang w:val="en-GB"/>
        </w:rPr>
      </w:pPr>
    </w:p>
    <w:p w14:paraId="0B1CBC44" w14:textId="77777777" w:rsidR="00E25BDB" w:rsidRPr="004D2AE0" w:rsidRDefault="00E25BDB" w:rsidP="00D73B69">
      <w:pPr>
        <w:pStyle w:val="NoSpacing"/>
        <w:jc w:val="both"/>
        <w:rPr>
          <w:rFonts w:ascii="Times New Roman" w:hAnsi="Times New Roman" w:cs="Times New Roman"/>
          <w:b/>
          <w:sz w:val="24"/>
          <w:szCs w:val="24"/>
          <w:lang w:val="en-US"/>
        </w:rPr>
      </w:pPr>
      <w:r w:rsidRPr="00C336BF">
        <w:rPr>
          <w:rFonts w:ascii="Times New Roman" w:hAnsi="Times New Roman" w:cs="Times New Roman"/>
          <w:sz w:val="24"/>
          <w:szCs w:val="24"/>
          <w:lang w:val="en-GB"/>
        </w:rPr>
        <w:t>Logistic regression analyses were applied to estimate the predicted probabilities per country of visiting a GP or a specialist. Analyses were performed using Stata 14.1. We examined the independent effect of each of the four indicators after mutual adjustment.</w:t>
      </w:r>
      <w:r w:rsidRPr="002A04DD">
        <w:rPr>
          <w:rFonts w:ascii="Times New Roman" w:hAnsi="Times New Roman" w:cs="Times New Roman"/>
          <w:b/>
          <w:sz w:val="24"/>
          <w:szCs w:val="24"/>
          <w:lang w:val="en-GB"/>
        </w:rPr>
        <w:t xml:space="preserve"> </w:t>
      </w:r>
      <w:r w:rsidRPr="00A04854">
        <w:rPr>
          <w:rFonts w:ascii="Times New Roman" w:hAnsi="Times New Roman" w:cs="Times New Roman"/>
          <w:sz w:val="24"/>
          <w:szCs w:val="24"/>
          <w:lang w:val="en-GB"/>
        </w:rPr>
        <w:t xml:space="preserve">Through this approach it was possible to disentangle to what extent each SEP marker constituted a pathway on its own right to inequalities in health care utilization without being dependent on unfavourable socioeconomic conditions driven by other social status indicators. </w:t>
      </w:r>
      <w:r w:rsidRPr="00C336BF">
        <w:rPr>
          <w:rFonts w:ascii="Times New Roman" w:hAnsi="Times New Roman" w:cs="Times New Roman"/>
          <w:sz w:val="24"/>
          <w:szCs w:val="24"/>
          <w:lang w:val="en-GB"/>
        </w:rPr>
        <w:t xml:space="preserve">Results are reported by adjusted risk ratios (ARRs), which were calculated from predicted probabilities, adjusted for need (self-reported health), age and gender. </w:t>
      </w:r>
      <w:r w:rsidRPr="00AA5D17">
        <w:rPr>
          <w:rFonts w:ascii="Times New Roman" w:hAnsi="Times New Roman" w:cs="Times New Roman"/>
          <w:sz w:val="24"/>
          <w:szCs w:val="24"/>
          <w:lang w:val="en-US"/>
        </w:rPr>
        <w:t>We report 0.1 significance for the included variables.</w:t>
      </w:r>
      <w:r>
        <w:rPr>
          <w:rFonts w:ascii="Times New Roman" w:hAnsi="Times New Roman" w:cs="Times New Roman"/>
          <w:b/>
          <w:sz w:val="24"/>
          <w:szCs w:val="24"/>
          <w:lang w:val="en-US"/>
        </w:rPr>
        <w:t xml:space="preserve"> </w:t>
      </w:r>
    </w:p>
    <w:p w14:paraId="686F2769" w14:textId="77777777" w:rsidR="00E25BDB" w:rsidRPr="00CF3BAA" w:rsidRDefault="00E25BDB" w:rsidP="00D73B69">
      <w:pPr>
        <w:pStyle w:val="NoSpacing"/>
        <w:rPr>
          <w:rFonts w:ascii="Times New Roman" w:hAnsi="Times New Roman" w:cs="Times New Roman"/>
          <w:sz w:val="24"/>
          <w:szCs w:val="24"/>
          <w:lang w:val="en-GB"/>
        </w:rPr>
      </w:pPr>
    </w:p>
    <w:p w14:paraId="0B47D584" w14:textId="7E69699E" w:rsidR="00E25BDB" w:rsidRDefault="00E25BDB" w:rsidP="00D73B69">
      <w:pPr>
        <w:pStyle w:val="NoSpacing"/>
        <w:jc w:val="both"/>
        <w:rPr>
          <w:b/>
          <w:sz w:val="28"/>
          <w:szCs w:val="28"/>
          <w:lang w:val="en-GB"/>
        </w:rPr>
      </w:pPr>
      <w:r w:rsidRPr="00CF3BAA">
        <w:rPr>
          <w:rFonts w:ascii="Times New Roman" w:hAnsi="Times New Roman" w:cs="Times New Roman"/>
          <w:sz w:val="24"/>
          <w:szCs w:val="24"/>
          <w:lang w:val="en-GB"/>
        </w:rPr>
        <w:t xml:space="preserve">The results show the adjusted risk ratios of GP and specialist use for the following contrast groups: </w:t>
      </w:r>
      <w:r w:rsidR="009B6270">
        <w:rPr>
          <w:rFonts w:ascii="Times New Roman" w:hAnsi="Times New Roman" w:cs="Times New Roman"/>
          <w:sz w:val="24"/>
          <w:szCs w:val="24"/>
          <w:lang w:val="en-GB"/>
        </w:rPr>
        <w:t>a</w:t>
      </w:r>
      <w:r w:rsidR="009B6270" w:rsidRPr="00CF3BAA">
        <w:rPr>
          <w:rFonts w:ascii="Times New Roman" w:hAnsi="Times New Roman" w:cs="Times New Roman"/>
          <w:sz w:val="24"/>
          <w:szCs w:val="24"/>
          <w:lang w:val="en-GB"/>
        </w:rPr>
        <w:t xml:space="preserve"> </w:t>
      </w:r>
      <w:r w:rsidRPr="00CF3BAA">
        <w:rPr>
          <w:rFonts w:ascii="Times New Roman" w:hAnsi="Times New Roman" w:cs="Times New Roman"/>
          <w:sz w:val="24"/>
          <w:szCs w:val="24"/>
          <w:lang w:val="en-GB"/>
        </w:rPr>
        <w:t>high versus low educated</w:t>
      </w:r>
      <w:r w:rsidR="009B6270">
        <w:rPr>
          <w:rFonts w:ascii="Times New Roman" w:hAnsi="Times New Roman" w:cs="Times New Roman"/>
          <w:sz w:val="24"/>
          <w:szCs w:val="24"/>
          <w:lang w:val="en-GB"/>
        </w:rPr>
        <w:t xml:space="preserve"> group</w:t>
      </w:r>
      <w:r w:rsidRPr="00CF3BAA">
        <w:rPr>
          <w:rFonts w:ascii="Times New Roman" w:hAnsi="Times New Roman" w:cs="Times New Roman"/>
          <w:sz w:val="24"/>
          <w:szCs w:val="24"/>
          <w:lang w:val="en-GB"/>
        </w:rPr>
        <w:t>,</w:t>
      </w:r>
      <w:r w:rsidR="009B6270">
        <w:rPr>
          <w:rFonts w:ascii="Times New Roman" w:hAnsi="Times New Roman" w:cs="Times New Roman"/>
          <w:sz w:val="24"/>
          <w:szCs w:val="24"/>
          <w:lang w:val="en-GB"/>
        </w:rPr>
        <w:t xml:space="preserve"> a </w:t>
      </w:r>
      <w:r w:rsidRPr="00CF3BAA">
        <w:rPr>
          <w:rFonts w:ascii="Times New Roman" w:hAnsi="Times New Roman" w:cs="Times New Roman"/>
          <w:sz w:val="24"/>
          <w:szCs w:val="24"/>
          <w:lang w:val="en-GB"/>
        </w:rPr>
        <w:t xml:space="preserve">high versus </w:t>
      </w:r>
      <w:r w:rsidR="009B6270">
        <w:rPr>
          <w:rFonts w:ascii="Times New Roman" w:hAnsi="Times New Roman" w:cs="Times New Roman"/>
          <w:sz w:val="24"/>
          <w:szCs w:val="24"/>
          <w:lang w:val="en-GB"/>
        </w:rPr>
        <w:t xml:space="preserve">a </w:t>
      </w:r>
      <w:r w:rsidRPr="00CF3BAA">
        <w:rPr>
          <w:rFonts w:ascii="Times New Roman" w:hAnsi="Times New Roman" w:cs="Times New Roman"/>
          <w:sz w:val="24"/>
          <w:szCs w:val="24"/>
          <w:lang w:val="en-GB"/>
        </w:rPr>
        <w:t>working class</w:t>
      </w:r>
      <w:r w:rsidR="009B6270">
        <w:rPr>
          <w:rFonts w:ascii="Times New Roman" w:hAnsi="Times New Roman" w:cs="Times New Roman"/>
          <w:sz w:val="24"/>
          <w:szCs w:val="24"/>
          <w:lang w:val="en-GB"/>
        </w:rPr>
        <w:t xml:space="preserve"> occupational group</w:t>
      </w:r>
      <w:r w:rsidRPr="00CF3BAA">
        <w:rPr>
          <w:rFonts w:ascii="Times New Roman" w:hAnsi="Times New Roman" w:cs="Times New Roman"/>
          <w:sz w:val="24"/>
          <w:szCs w:val="24"/>
          <w:lang w:val="en-GB"/>
        </w:rPr>
        <w:t>,</w:t>
      </w:r>
      <w:r w:rsidR="007B499F">
        <w:rPr>
          <w:rFonts w:ascii="Times New Roman" w:hAnsi="Times New Roman" w:cs="Times New Roman"/>
          <w:sz w:val="24"/>
          <w:szCs w:val="24"/>
          <w:lang w:val="en-GB"/>
        </w:rPr>
        <w:t xml:space="preserve"> </w:t>
      </w:r>
      <w:r w:rsidR="009B6270">
        <w:rPr>
          <w:rFonts w:ascii="Times New Roman" w:hAnsi="Times New Roman" w:cs="Times New Roman"/>
          <w:sz w:val="24"/>
          <w:szCs w:val="24"/>
          <w:lang w:val="en-GB"/>
        </w:rPr>
        <w:t xml:space="preserve">a </w:t>
      </w:r>
      <w:r w:rsidR="007B499F">
        <w:rPr>
          <w:rFonts w:ascii="Times New Roman" w:hAnsi="Times New Roman" w:cs="Times New Roman"/>
          <w:sz w:val="24"/>
          <w:szCs w:val="24"/>
          <w:lang w:val="en-GB"/>
        </w:rPr>
        <w:t>high</w:t>
      </w:r>
      <w:r w:rsidR="009B6270">
        <w:rPr>
          <w:rFonts w:ascii="Times New Roman" w:hAnsi="Times New Roman" w:cs="Times New Roman"/>
          <w:sz w:val="24"/>
          <w:szCs w:val="24"/>
          <w:lang w:val="en-GB"/>
        </w:rPr>
        <w:t xml:space="preserve"> scoring </w:t>
      </w:r>
      <w:r w:rsidR="007B499F">
        <w:rPr>
          <w:rFonts w:ascii="Times New Roman" w:hAnsi="Times New Roman" w:cs="Times New Roman"/>
          <w:sz w:val="24"/>
          <w:szCs w:val="24"/>
          <w:lang w:val="en-GB"/>
        </w:rPr>
        <w:t xml:space="preserve">versus </w:t>
      </w:r>
      <w:r w:rsidR="009B6270">
        <w:rPr>
          <w:rFonts w:ascii="Times New Roman" w:hAnsi="Times New Roman" w:cs="Times New Roman"/>
          <w:sz w:val="24"/>
          <w:szCs w:val="24"/>
          <w:lang w:val="en-GB"/>
        </w:rPr>
        <w:t xml:space="preserve">a </w:t>
      </w:r>
      <w:r w:rsidR="007B499F">
        <w:rPr>
          <w:rFonts w:ascii="Times New Roman" w:hAnsi="Times New Roman" w:cs="Times New Roman"/>
          <w:sz w:val="24"/>
          <w:szCs w:val="24"/>
          <w:lang w:val="en-GB"/>
        </w:rPr>
        <w:t xml:space="preserve">low </w:t>
      </w:r>
      <w:r w:rsidR="009B6270">
        <w:rPr>
          <w:rFonts w:ascii="Times New Roman" w:hAnsi="Times New Roman" w:cs="Times New Roman"/>
          <w:sz w:val="24"/>
          <w:szCs w:val="24"/>
          <w:lang w:val="en-GB"/>
        </w:rPr>
        <w:t xml:space="preserve">scoring </w:t>
      </w:r>
      <w:r w:rsidR="007B499F">
        <w:rPr>
          <w:rFonts w:ascii="Times New Roman" w:hAnsi="Times New Roman" w:cs="Times New Roman"/>
          <w:sz w:val="24"/>
          <w:szCs w:val="24"/>
          <w:lang w:val="en-GB"/>
        </w:rPr>
        <w:t>social network</w:t>
      </w:r>
      <w:r w:rsidR="009B6270">
        <w:rPr>
          <w:rFonts w:ascii="Times New Roman" w:hAnsi="Times New Roman" w:cs="Times New Roman"/>
          <w:sz w:val="24"/>
          <w:szCs w:val="24"/>
          <w:lang w:val="en-GB"/>
        </w:rPr>
        <w:t>s</w:t>
      </w:r>
      <w:r w:rsidR="007B499F">
        <w:rPr>
          <w:rFonts w:ascii="Times New Roman" w:hAnsi="Times New Roman" w:cs="Times New Roman"/>
          <w:sz w:val="24"/>
          <w:szCs w:val="24"/>
          <w:lang w:val="en-GB"/>
        </w:rPr>
        <w:t xml:space="preserve"> </w:t>
      </w:r>
      <w:r w:rsidR="009B6270">
        <w:rPr>
          <w:rFonts w:ascii="Times New Roman" w:hAnsi="Times New Roman" w:cs="Times New Roman"/>
          <w:sz w:val="24"/>
          <w:szCs w:val="24"/>
          <w:lang w:val="en-GB"/>
        </w:rPr>
        <w:t>group</w:t>
      </w:r>
      <w:r w:rsidRPr="00CF3BAA">
        <w:rPr>
          <w:rFonts w:ascii="Times New Roman" w:hAnsi="Times New Roman" w:cs="Times New Roman"/>
          <w:sz w:val="24"/>
          <w:szCs w:val="24"/>
          <w:lang w:val="en-GB"/>
        </w:rPr>
        <w:t xml:space="preserve"> and, finally, the financially strained versus the financially comfortable (note reverse coding on this last item, in which the strained are given the value 1). In order to test the robustness of the results, we performed additional analyses for three contrast groups: </w:t>
      </w:r>
      <w:r w:rsidR="009B6270">
        <w:rPr>
          <w:rFonts w:ascii="Times New Roman" w:hAnsi="Times New Roman" w:cs="Times New Roman"/>
          <w:sz w:val="24"/>
          <w:szCs w:val="24"/>
          <w:lang w:val="en-GB"/>
        </w:rPr>
        <w:t>a</w:t>
      </w:r>
      <w:r w:rsidR="009B6270" w:rsidRPr="00CF3BAA">
        <w:rPr>
          <w:rFonts w:ascii="Times New Roman" w:hAnsi="Times New Roman" w:cs="Times New Roman"/>
          <w:sz w:val="24"/>
          <w:szCs w:val="24"/>
          <w:lang w:val="en-GB"/>
        </w:rPr>
        <w:t xml:space="preserve"> </w:t>
      </w:r>
      <w:r w:rsidRPr="00CF3BAA">
        <w:rPr>
          <w:rFonts w:ascii="Times New Roman" w:hAnsi="Times New Roman" w:cs="Times New Roman"/>
          <w:sz w:val="24"/>
          <w:szCs w:val="24"/>
          <w:lang w:val="en-GB"/>
        </w:rPr>
        <w:t>high versus middle educated</w:t>
      </w:r>
      <w:r w:rsidR="009B6270">
        <w:rPr>
          <w:rFonts w:ascii="Times New Roman" w:hAnsi="Times New Roman" w:cs="Times New Roman"/>
          <w:sz w:val="24"/>
          <w:szCs w:val="24"/>
          <w:lang w:val="en-GB"/>
        </w:rPr>
        <w:t xml:space="preserve"> group</w:t>
      </w:r>
      <w:r w:rsidRPr="00CF3BAA">
        <w:rPr>
          <w:rFonts w:ascii="Times New Roman" w:hAnsi="Times New Roman" w:cs="Times New Roman"/>
          <w:sz w:val="24"/>
          <w:szCs w:val="24"/>
          <w:lang w:val="en-GB"/>
        </w:rPr>
        <w:t xml:space="preserve">, </w:t>
      </w:r>
      <w:r w:rsidR="009B6270">
        <w:rPr>
          <w:rFonts w:ascii="Times New Roman" w:hAnsi="Times New Roman" w:cs="Times New Roman"/>
          <w:sz w:val="24"/>
          <w:szCs w:val="24"/>
          <w:lang w:val="en-GB"/>
        </w:rPr>
        <w:t xml:space="preserve">a </w:t>
      </w:r>
      <w:r w:rsidRPr="00CF3BAA">
        <w:rPr>
          <w:rFonts w:ascii="Times New Roman" w:hAnsi="Times New Roman" w:cs="Times New Roman"/>
          <w:sz w:val="24"/>
          <w:szCs w:val="24"/>
          <w:lang w:val="en-GB"/>
        </w:rPr>
        <w:t>high versus middle class</w:t>
      </w:r>
      <w:r w:rsidR="009B6270">
        <w:rPr>
          <w:rFonts w:ascii="Times New Roman" w:hAnsi="Times New Roman" w:cs="Times New Roman"/>
          <w:sz w:val="24"/>
          <w:szCs w:val="24"/>
          <w:lang w:val="en-GB"/>
        </w:rPr>
        <w:t xml:space="preserve"> </w:t>
      </w:r>
      <w:r w:rsidR="009B6270" w:rsidRPr="00CF3BAA">
        <w:rPr>
          <w:rFonts w:ascii="Times New Roman" w:hAnsi="Times New Roman" w:cs="Times New Roman"/>
          <w:sz w:val="24"/>
          <w:szCs w:val="24"/>
          <w:lang w:val="en-GB"/>
        </w:rPr>
        <w:t>occupational group</w:t>
      </w:r>
      <w:r w:rsidRPr="00CF3BAA">
        <w:rPr>
          <w:rFonts w:ascii="Times New Roman" w:hAnsi="Times New Roman" w:cs="Times New Roman"/>
          <w:sz w:val="24"/>
          <w:szCs w:val="24"/>
          <w:lang w:val="en-GB"/>
        </w:rPr>
        <w:t>, and</w:t>
      </w:r>
      <w:r w:rsidR="007B499F">
        <w:rPr>
          <w:rFonts w:ascii="Times New Roman" w:hAnsi="Times New Roman" w:cs="Times New Roman"/>
          <w:sz w:val="24"/>
          <w:szCs w:val="24"/>
          <w:lang w:val="en-GB"/>
        </w:rPr>
        <w:t xml:space="preserve"> </w:t>
      </w:r>
      <w:r w:rsidR="009B6270">
        <w:rPr>
          <w:rFonts w:ascii="Times New Roman" w:hAnsi="Times New Roman" w:cs="Times New Roman"/>
          <w:sz w:val="24"/>
          <w:szCs w:val="24"/>
          <w:lang w:val="en-GB"/>
        </w:rPr>
        <w:t xml:space="preserve">a </w:t>
      </w:r>
      <w:r w:rsidR="007B499F">
        <w:rPr>
          <w:rFonts w:ascii="Times New Roman" w:hAnsi="Times New Roman" w:cs="Times New Roman"/>
          <w:sz w:val="24"/>
          <w:szCs w:val="24"/>
          <w:lang w:val="en-GB"/>
        </w:rPr>
        <w:t xml:space="preserve">high </w:t>
      </w:r>
      <w:r w:rsidR="009B6270">
        <w:rPr>
          <w:rFonts w:ascii="Times New Roman" w:hAnsi="Times New Roman" w:cs="Times New Roman"/>
          <w:sz w:val="24"/>
          <w:szCs w:val="24"/>
          <w:lang w:val="en-GB"/>
        </w:rPr>
        <w:t xml:space="preserve">scoring </w:t>
      </w:r>
      <w:r w:rsidR="007B499F">
        <w:rPr>
          <w:rFonts w:ascii="Times New Roman" w:hAnsi="Times New Roman" w:cs="Times New Roman"/>
          <w:sz w:val="24"/>
          <w:szCs w:val="24"/>
          <w:lang w:val="en-GB"/>
        </w:rPr>
        <w:t xml:space="preserve">versus </w:t>
      </w:r>
      <w:r w:rsidR="009B6270">
        <w:rPr>
          <w:rFonts w:ascii="Times New Roman" w:hAnsi="Times New Roman" w:cs="Times New Roman"/>
          <w:sz w:val="24"/>
          <w:szCs w:val="24"/>
          <w:lang w:val="en-GB"/>
        </w:rPr>
        <w:t xml:space="preserve">a </w:t>
      </w:r>
      <w:r w:rsidR="007B499F">
        <w:rPr>
          <w:rFonts w:ascii="Times New Roman" w:hAnsi="Times New Roman" w:cs="Times New Roman"/>
          <w:sz w:val="24"/>
          <w:szCs w:val="24"/>
          <w:lang w:val="en-GB"/>
        </w:rPr>
        <w:t>middle</w:t>
      </w:r>
      <w:r w:rsidR="009B6270">
        <w:rPr>
          <w:rFonts w:ascii="Times New Roman" w:hAnsi="Times New Roman" w:cs="Times New Roman"/>
          <w:sz w:val="24"/>
          <w:szCs w:val="24"/>
          <w:lang w:val="en-GB"/>
        </w:rPr>
        <w:t xml:space="preserve"> scoring</w:t>
      </w:r>
      <w:r w:rsidR="007B499F">
        <w:rPr>
          <w:rFonts w:ascii="Times New Roman" w:hAnsi="Times New Roman" w:cs="Times New Roman"/>
          <w:sz w:val="24"/>
          <w:szCs w:val="24"/>
          <w:lang w:val="en-GB"/>
        </w:rPr>
        <w:t xml:space="preserve"> social networks </w:t>
      </w:r>
      <w:r w:rsidR="00E34685">
        <w:rPr>
          <w:rFonts w:ascii="Times New Roman" w:hAnsi="Times New Roman" w:cs="Times New Roman"/>
          <w:sz w:val="24"/>
          <w:szCs w:val="24"/>
          <w:lang w:val="en-GB"/>
        </w:rPr>
        <w:t>group</w:t>
      </w:r>
      <w:r w:rsidR="00E34685" w:rsidRPr="00CF3BAA">
        <w:rPr>
          <w:rFonts w:ascii="Times New Roman" w:hAnsi="Times New Roman" w:cs="Times New Roman"/>
          <w:sz w:val="24"/>
          <w:szCs w:val="24"/>
          <w:lang w:val="en-GB"/>
        </w:rPr>
        <w:t xml:space="preserve"> (</w:t>
      </w:r>
      <w:r w:rsidR="00D92BE8">
        <w:rPr>
          <w:rFonts w:ascii="Times New Roman" w:hAnsi="Times New Roman" w:cs="Times New Roman"/>
          <w:sz w:val="24"/>
          <w:szCs w:val="24"/>
          <w:lang w:val="en-GB"/>
        </w:rPr>
        <w:t>see f</w:t>
      </w:r>
      <w:r w:rsidRPr="00CF3BAA">
        <w:rPr>
          <w:rFonts w:ascii="Times New Roman" w:hAnsi="Times New Roman" w:cs="Times New Roman"/>
          <w:sz w:val="24"/>
          <w:szCs w:val="24"/>
          <w:lang w:val="en-GB"/>
        </w:rPr>
        <w:t>igure 2</w:t>
      </w:r>
      <w:r w:rsidR="00D92BE8">
        <w:rPr>
          <w:rFonts w:ascii="Times New Roman" w:hAnsi="Times New Roman" w:cs="Times New Roman"/>
          <w:sz w:val="24"/>
          <w:szCs w:val="24"/>
          <w:lang w:val="en-GB"/>
        </w:rPr>
        <w:t xml:space="preserve"> in A</w:t>
      </w:r>
      <w:r w:rsidR="009B2E33">
        <w:rPr>
          <w:rFonts w:ascii="Times New Roman" w:hAnsi="Times New Roman" w:cs="Times New Roman"/>
          <w:sz w:val="24"/>
          <w:szCs w:val="24"/>
          <w:lang w:val="en-GB"/>
        </w:rPr>
        <w:t>ppendix 3</w:t>
      </w:r>
      <w:r w:rsidR="00D92BE8">
        <w:rPr>
          <w:rFonts w:ascii="Times New Roman" w:hAnsi="Times New Roman" w:cs="Times New Roman"/>
          <w:sz w:val="24"/>
          <w:szCs w:val="24"/>
          <w:lang w:val="en-GB"/>
        </w:rPr>
        <w:t>, table 5 and t</w:t>
      </w:r>
      <w:r w:rsidRPr="00CF3BAA">
        <w:rPr>
          <w:rFonts w:ascii="Times New Roman" w:hAnsi="Times New Roman" w:cs="Times New Roman"/>
          <w:sz w:val="24"/>
          <w:szCs w:val="24"/>
          <w:lang w:val="en-GB"/>
        </w:rPr>
        <w:t>able 6 in Appendix</w:t>
      </w:r>
      <w:r w:rsidR="009B2E33">
        <w:rPr>
          <w:rFonts w:ascii="Times New Roman" w:hAnsi="Times New Roman" w:cs="Times New Roman"/>
          <w:sz w:val="24"/>
          <w:szCs w:val="24"/>
          <w:lang w:val="en-GB"/>
        </w:rPr>
        <w:t xml:space="preserve"> 4 and 5</w:t>
      </w:r>
      <w:r w:rsidRPr="00CF3BAA">
        <w:rPr>
          <w:rFonts w:ascii="Times New Roman" w:hAnsi="Times New Roman" w:cs="Times New Roman"/>
          <w:sz w:val="24"/>
          <w:szCs w:val="24"/>
          <w:lang w:val="en-GB"/>
        </w:rPr>
        <w:t>). The ARRs of the</w:t>
      </w:r>
      <w:r w:rsidR="009B6270">
        <w:rPr>
          <w:rFonts w:ascii="Times New Roman" w:hAnsi="Times New Roman" w:cs="Times New Roman"/>
          <w:sz w:val="24"/>
          <w:szCs w:val="24"/>
          <w:lang w:val="en-GB"/>
        </w:rPr>
        <w:t xml:space="preserve">se latter contrast groups </w:t>
      </w:r>
      <w:r w:rsidRPr="00CF3BAA">
        <w:rPr>
          <w:rFonts w:ascii="Times New Roman" w:hAnsi="Times New Roman" w:cs="Times New Roman"/>
          <w:sz w:val="24"/>
          <w:szCs w:val="24"/>
          <w:lang w:val="en-GB"/>
        </w:rPr>
        <w:t xml:space="preserve">were found to be comparatively similar to the ARRs of the high-low </w:t>
      </w:r>
      <w:r w:rsidR="009B6270">
        <w:rPr>
          <w:rFonts w:ascii="Times New Roman" w:hAnsi="Times New Roman" w:cs="Times New Roman"/>
          <w:sz w:val="24"/>
          <w:szCs w:val="24"/>
          <w:lang w:val="en-GB"/>
        </w:rPr>
        <w:t xml:space="preserve">contrast </w:t>
      </w:r>
      <w:r w:rsidRPr="00CF3BAA">
        <w:rPr>
          <w:rFonts w:ascii="Times New Roman" w:hAnsi="Times New Roman" w:cs="Times New Roman"/>
          <w:sz w:val="24"/>
          <w:szCs w:val="24"/>
          <w:lang w:val="en-GB"/>
        </w:rPr>
        <w:t>group</w:t>
      </w:r>
      <w:r w:rsidR="009B6270">
        <w:rPr>
          <w:rFonts w:ascii="Times New Roman" w:hAnsi="Times New Roman" w:cs="Times New Roman"/>
          <w:sz w:val="24"/>
          <w:szCs w:val="24"/>
          <w:lang w:val="en-GB"/>
        </w:rPr>
        <w:t>s</w:t>
      </w:r>
      <w:r w:rsidRPr="00CF3BAA">
        <w:rPr>
          <w:rFonts w:ascii="Times New Roman" w:hAnsi="Times New Roman" w:cs="Times New Roman"/>
          <w:sz w:val="24"/>
          <w:szCs w:val="24"/>
          <w:lang w:val="en-GB"/>
        </w:rPr>
        <w:t>.</w:t>
      </w:r>
      <w:r w:rsidRPr="00CF3BAA">
        <w:rPr>
          <w:rFonts w:ascii="Times New Roman" w:hAnsi="Times New Roman" w:cs="Times New Roman"/>
          <w:b/>
          <w:sz w:val="24"/>
          <w:szCs w:val="24"/>
          <w:lang w:val="en-GB"/>
        </w:rPr>
        <w:t xml:space="preserve"> </w:t>
      </w:r>
      <w:r w:rsidR="00E4178B">
        <w:rPr>
          <w:rFonts w:ascii="Times New Roman" w:hAnsi="Times New Roman" w:cs="Times New Roman"/>
          <w:sz w:val="24"/>
          <w:szCs w:val="24"/>
          <w:lang w:val="en-GB"/>
        </w:rPr>
        <w:t>I</w:t>
      </w:r>
      <w:r w:rsidRPr="00CF3BAA">
        <w:rPr>
          <w:rFonts w:ascii="Times New Roman" w:hAnsi="Times New Roman" w:cs="Times New Roman"/>
          <w:sz w:val="24"/>
          <w:szCs w:val="24"/>
          <w:lang w:val="en-GB"/>
        </w:rPr>
        <w:t>n order to illustrate the relationship between relative and ab</w:t>
      </w:r>
      <w:r w:rsidR="00D92BE8">
        <w:rPr>
          <w:rFonts w:ascii="Times New Roman" w:hAnsi="Times New Roman" w:cs="Times New Roman"/>
          <w:sz w:val="24"/>
          <w:szCs w:val="24"/>
          <w:lang w:val="en-GB"/>
        </w:rPr>
        <w:t>solute measures of inequality, t</w:t>
      </w:r>
      <w:r w:rsidRPr="00CF3BAA">
        <w:rPr>
          <w:rFonts w:ascii="Times New Roman" w:hAnsi="Times New Roman" w:cs="Times New Roman"/>
          <w:sz w:val="24"/>
          <w:szCs w:val="24"/>
          <w:lang w:val="en-GB"/>
        </w:rPr>
        <w:t>able 7 displays</w:t>
      </w:r>
      <w:r w:rsidR="00E4178B">
        <w:rPr>
          <w:rFonts w:ascii="Times New Roman" w:hAnsi="Times New Roman" w:cs="Times New Roman"/>
          <w:sz w:val="24"/>
          <w:szCs w:val="24"/>
          <w:lang w:val="en-GB"/>
        </w:rPr>
        <w:t xml:space="preserve"> both measures</w:t>
      </w:r>
      <w:r w:rsidRPr="00CF3BAA">
        <w:rPr>
          <w:rFonts w:ascii="Times New Roman" w:hAnsi="Times New Roman" w:cs="Times New Roman"/>
          <w:sz w:val="24"/>
          <w:szCs w:val="24"/>
          <w:lang w:val="en-GB"/>
        </w:rPr>
        <w:t xml:space="preserve"> in specialist use by education (see Appendix</w:t>
      </w:r>
      <w:r w:rsidR="009B2E33">
        <w:rPr>
          <w:rFonts w:ascii="Times New Roman" w:hAnsi="Times New Roman" w:cs="Times New Roman"/>
          <w:sz w:val="24"/>
          <w:szCs w:val="24"/>
          <w:lang w:val="en-GB"/>
        </w:rPr>
        <w:t xml:space="preserve"> 6</w:t>
      </w:r>
      <w:r w:rsidRPr="00CF3BAA">
        <w:rPr>
          <w:rFonts w:ascii="Times New Roman" w:hAnsi="Times New Roman" w:cs="Times New Roman"/>
          <w:sz w:val="24"/>
          <w:szCs w:val="24"/>
          <w:lang w:val="en-GB"/>
        </w:rPr>
        <w:t>). These results indicate a clear association.</w:t>
      </w:r>
      <w:r>
        <w:rPr>
          <w:b/>
          <w:lang w:val="en-GB"/>
        </w:rPr>
        <w:t xml:space="preserve"> </w:t>
      </w:r>
    </w:p>
    <w:p w14:paraId="10A69A76" w14:textId="77777777" w:rsidR="00197A7B" w:rsidRDefault="00197A7B" w:rsidP="00D73B69">
      <w:pPr>
        <w:pStyle w:val="NoSpacing"/>
        <w:jc w:val="both"/>
        <w:rPr>
          <w:rFonts w:ascii="Times New Roman" w:hAnsi="Times New Roman" w:cs="Times New Roman"/>
          <w:b/>
          <w:sz w:val="28"/>
          <w:szCs w:val="28"/>
          <w:lang w:val="en-GB"/>
        </w:rPr>
      </w:pPr>
    </w:p>
    <w:p w14:paraId="5DD6F1C8" w14:textId="77777777" w:rsidR="00E25BDB" w:rsidRPr="00A861AD" w:rsidRDefault="00E25BDB" w:rsidP="00D73B69">
      <w:pPr>
        <w:pStyle w:val="NoSpacing"/>
        <w:jc w:val="both"/>
        <w:rPr>
          <w:b/>
          <w:sz w:val="28"/>
          <w:szCs w:val="28"/>
          <w:lang w:val="en-GB"/>
        </w:rPr>
      </w:pPr>
      <w:r w:rsidRPr="00FC345F">
        <w:rPr>
          <w:rFonts w:ascii="Times New Roman" w:hAnsi="Times New Roman" w:cs="Times New Roman"/>
          <w:b/>
          <w:sz w:val="28"/>
          <w:szCs w:val="28"/>
          <w:lang w:val="en-GB"/>
        </w:rPr>
        <w:t>Results</w:t>
      </w:r>
    </w:p>
    <w:p w14:paraId="1A0674C7" w14:textId="77777777" w:rsidR="00E25BDB" w:rsidRDefault="00E25BDB" w:rsidP="00D73B69">
      <w:pPr>
        <w:pStyle w:val="NoSpacing"/>
        <w:rPr>
          <w:rFonts w:ascii="Times New Roman" w:hAnsi="Times New Roman" w:cs="Times New Roman"/>
          <w:b/>
          <w:sz w:val="24"/>
          <w:szCs w:val="24"/>
          <w:lang w:val="en-GB"/>
        </w:rPr>
      </w:pPr>
    </w:p>
    <w:p w14:paraId="04BAB815" w14:textId="77777777" w:rsidR="00E25BDB" w:rsidRPr="003E5F85" w:rsidRDefault="00E25BDB" w:rsidP="00D73B69">
      <w:pPr>
        <w:pStyle w:val="NoSpacing"/>
        <w:rPr>
          <w:rFonts w:ascii="Times New Roman" w:hAnsi="Times New Roman" w:cs="Times New Roman"/>
          <w:b/>
          <w:i/>
          <w:sz w:val="24"/>
          <w:szCs w:val="24"/>
          <w:lang w:val="en-GB"/>
        </w:rPr>
      </w:pPr>
      <w:r w:rsidRPr="003E5F85">
        <w:rPr>
          <w:rFonts w:ascii="Times New Roman" w:hAnsi="Times New Roman" w:cs="Times New Roman"/>
          <w:b/>
          <w:i/>
          <w:sz w:val="24"/>
          <w:szCs w:val="24"/>
          <w:lang w:val="en-GB"/>
        </w:rPr>
        <w:t xml:space="preserve">Descriptive results </w:t>
      </w:r>
    </w:p>
    <w:p w14:paraId="0A34C38A" w14:textId="77777777" w:rsidR="00E25BDB" w:rsidRPr="003E5F85" w:rsidRDefault="00E25BDB" w:rsidP="00D73B69">
      <w:pPr>
        <w:pStyle w:val="NoSpacing"/>
        <w:rPr>
          <w:rFonts w:ascii="Times New Roman" w:hAnsi="Times New Roman" w:cs="Times New Roman"/>
          <w:b/>
          <w:sz w:val="24"/>
          <w:szCs w:val="24"/>
          <w:lang w:val="en-GB"/>
        </w:rPr>
      </w:pPr>
    </w:p>
    <w:p w14:paraId="253E4AAB" w14:textId="70870C57" w:rsidR="00E25BDB" w:rsidRPr="00C336BF" w:rsidRDefault="00D92BE8" w:rsidP="00D73B69">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As illustrated by t</w:t>
      </w:r>
      <w:r w:rsidR="00E25BDB" w:rsidRPr="00C336BF">
        <w:rPr>
          <w:rFonts w:ascii="Times New Roman" w:hAnsi="Times New Roman" w:cs="Times New Roman"/>
          <w:sz w:val="24"/>
          <w:szCs w:val="24"/>
          <w:lang w:val="en-GB"/>
        </w:rPr>
        <w:t>able 2, GP use was common among all respondents: overall, 75 per cent of respondents stated they had visited a GP in the last 12 months. The use of health care specialist was less than GPs – with 40 per cent of respondents reporting use within the last 12 months. There was a wide degree of variation between countries – both in terms of GP and specialist use. For example, in Sweden</w:t>
      </w:r>
      <w:r w:rsidR="00E25BDB">
        <w:rPr>
          <w:rFonts w:ascii="Times New Roman" w:hAnsi="Times New Roman" w:cs="Times New Roman"/>
          <w:sz w:val="24"/>
          <w:szCs w:val="24"/>
          <w:lang w:val="en-GB"/>
        </w:rPr>
        <w:t>,</w:t>
      </w:r>
      <w:r w:rsidR="00E25BDB" w:rsidRPr="00C336BF">
        <w:rPr>
          <w:rFonts w:ascii="Times New Roman" w:hAnsi="Times New Roman" w:cs="Times New Roman"/>
          <w:sz w:val="24"/>
          <w:szCs w:val="24"/>
          <w:lang w:val="en-GB"/>
        </w:rPr>
        <w:t xml:space="preserve"> GP use was less than 60 per cent, whilst in France, it was over 80 per cent. Greater variation was observed for the use of a specialist: in Ireland, Lithuania and </w:t>
      </w:r>
      <w:r w:rsidR="00E25BDB" w:rsidRPr="00C336BF">
        <w:rPr>
          <w:rFonts w:ascii="Times New Roman" w:hAnsi="Times New Roman" w:cs="Times New Roman"/>
          <w:sz w:val="24"/>
          <w:szCs w:val="24"/>
          <w:lang w:val="en-GB"/>
        </w:rPr>
        <w:lastRenderedPageBreak/>
        <w:t xml:space="preserve">Norway, </w:t>
      </w:r>
      <w:r w:rsidR="009B6270">
        <w:rPr>
          <w:rFonts w:ascii="Times New Roman" w:hAnsi="Times New Roman" w:cs="Times New Roman"/>
          <w:sz w:val="24"/>
          <w:szCs w:val="24"/>
          <w:lang w:val="en-GB"/>
        </w:rPr>
        <w:t xml:space="preserve">specialist use </w:t>
      </w:r>
      <w:r w:rsidR="00E25BDB" w:rsidRPr="00C336BF">
        <w:rPr>
          <w:rFonts w:ascii="Times New Roman" w:hAnsi="Times New Roman" w:cs="Times New Roman"/>
          <w:sz w:val="24"/>
          <w:szCs w:val="24"/>
          <w:lang w:val="en-GB"/>
        </w:rPr>
        <w:t>was under 30 per cent, whilst in Israel and Germany, it was over 60 per cent. There are also notable differences in use by gender: overall, the use of specialists was more than 10 per cent higher among females.</w:t>
      </w:r>
    </w:p>
    <w:p w14:paraId="61C34B2D" w14:textId="77777777" w:rsidR="00E25BDB" w:rsidRPr="00C336BF" w:rsidRDefault="00E25BDB" w:rsidP="00D73B69">
      <w:pPr>
        <w:pStyle w:val="NoSpacing"/>
        <w:jc w:val="both"/>
        <w:rPr>
          <w:rFonts w:ascii="Times New Roman" w:hAnsi="Times New Roman" w:cs="Times New Roman"/>
          <w:sz w:val="24"/>
          <w:szCs w:val="24"/>
          <w:lang w:val="en-GB"/>
        </w:rPr>
      </w:pPr>
    </w:p>
    <w:p w14:paraId="1C27DB03" w14:textId="77777777" w:rsidR="00E25BDB" w:rsidRPr="00C336BF" w:rsidRDefault="00E25BDB" w:rsidP="00D73B69">
      <w:pPr>
        <w:pStyle w:val="NoSpacing"/>
        <w:jc w:val="center"/>
        <w:rPr>
          <w:rFonts w:ascii="Times New Roman" w:hAnsi="Times New Roman" w:cs="Times New Roman"/>
          <w:sz w:val="24"/>
          <w:szCs w:val="24"/>
          <w:lang w:val="en-GB"/>
        </w:rPr>
      </w:pPr>
      <w:r w:rsidRPr="00C336BF">
        <w:rPr>
          <w:rFonts w:ascii="Times New Roman" w:hAnsi="Times New Roman" w:cs="Times New Roman"/>
          <w:sz w:val="24"/>
          <w:szCs w:val="24"/>
          <w:lang w:val="en-GB"/>
        </w:rPr>
        <w:t>---- Table 1 here ----</w:t>
      </w:r>
    </w:p>
    <w:p w14:paraId="4009B784" w14:textId="77777777" w:rsidR="00E25BDB" w:rsidRPr="00C336BF" w:rsidRDefault="00E25BDB" w:rsidP="00D73B69">
      <w:pPr>
        <w:pStyle w:val="NoSpacing"/>
        <w:jc w:val="center"/>
        <w:rPr>
          <w:rFonts w:ascii="Times New Roman" w:hAnsi="Times New Roman" w:cs="Times New Roman"/>
          <w:sz w:val="24"/>
          <w:szCs w:val="24"/>
          <w:lang w:val="en-GB"/>
        </w:rPr>
      </w:pPr>
      <w:r w:rsidRPr="00C336BF">
        <w:rPr>
          <w:rFonts w:ascii="Times New Roman" w:hAnsi="Times New Roman" w:cs="Times New Roman"/>
          <w:sz w:val="24"/>
          <w:szCs w:val="24"/>
          <w:lang w:val="en-GB"/>
        </w:rPr>
        <w:t>---- Table 2 here ----</w:t>
      </w:r>
    </w:p>
    <w:p w14:paraId="4FD209FC" w14:textId="77777777" w:rsidR="00E25BDB" w:rsidRPr="003E5F85" w:rsidRDefault="00E25BDB" w:rsidP="00D73B69">
      <w:pPr>
        <w:pStyle w:val="NoSpacing"/>
        <w:jc w:val="both"/>
        <w:rPr>
          <w:rFonts w:ascii="Times New Roman" w:hAnsi="Times New Roman" w:cs="Times New Roman"/>
          <w:b/>
          <w:i/>
          <w:sz w:val="24"/>
          <w:szCs w:val="24"/>
          <w:lang w:val="en-GB"/>
        </w:rPr>
      </w:pPr>
      <w:r w:rsidRPr="003E5F85">
        <w:rPr>
          <w:rFonts w:ascii="Times New Roman" w:hAnsi="Times New Roman" w:cs="Times New Roman"/>
          <w:b/>
          <w:i/>
          <w:sz w:val="24"/>
          <w:szCs w:val="24"/>
          <w:lang w:val="en-GB"/>
        </w:rPr>
        <w:t xml:space="preserve">Regression results </w:t>
      </w:r>
    </w:p>
    <w:p w14:paraId="47D5E9E1" w14:textId="77777777" w:rsidR="00E25BDB" w:rsidRPr="00C336BF" w:rsidRDefault="00E25BDB" w:rsidP="00D73B69">
      <w:pPr>
        <w:pStyle w:val="NoSpacing"/>
        <w:jc w:val="both"/>
        <w:rPr>
          <w:rFonts w:ascii="Times New Roman" w:hAnsi="Times New Roman" w:cs="Times New Roman"/>
          <w:sz w:val="24"/>
          <w:szCs w:val="24"/>
          <w:lang w:val="en-GB"/>
        </w:rPr>
      </w:pPr>
    </w:p>
    <w:p w14:paraId="747A34B4" w14:textId="67E1C97C" w:rsidR="00E25BDB" w:rsidRPr="00C336BF" w:rsidRDefault="00E25BDB" w:rsidP="00D73B69">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Figure 1 presents</w:t>
      </w:r>
      <w:r w:rsidRPr="00C336BF">
        <w:rPr>
          <w:rFonts w:ascii="Times New Roman" w:hAnsi="Times New Roman" w:cs="Times New Roman"/>
          <w:sz w:val="24"/>
          <w:szCs w:val="24"/>
          <w:lang w:val="en-GB"/>
        </w:rPr>
        <w:t xml:space="preserve"> the ARRs of reporting GP and specialist use in 21 countries according to our four social markers</w:t>
      </w:r>
      <w:r>
        <w:rPr>
          <w:rFonts w:ascii="Times New Roman" w:hAnsi="Times New Roman" w:cs="Times New Roman"/>
          <w:sz w:val="24"/>
          <w:szCs w:val="24"/>
          <w:lang w:val="en-GB"/>
        </w:rPr>
        <w:t xml:space="preserve"> (see </w:t>
      </w:r>
      <w:r w:rsidR="00D92BE8">
        <w:rPr>
          <w:rFonts w:ascii="Times New Roman" w:hAnsi="Times New Roman" w:cs="Times New Roman"/>
          <w:sz w:val="24"/>
          <w:szCs w:val="24"/>
          <w:lang w:val="en-GB"/>
        </w:rPr>
        <w:t>table 3 and t</w:t>
      </w:r>
      <w:r w:rsidRPr="00A04854">
        <w:rPr>
          <w:rFonts w:ascii="Times New Roman" w:hAnsi="Times New Roman" w:cs="Times New Roman"/>
          <w:sz w:val="24"/>
          <w:szCs w:val="24"/>
          <w:lang w:val="en-GB"/>
        </w:rPr>
        <w:t>able 4</w:t>
      </w:r>
      <w:r>
        <w:rPr>
          <w:rFonts w:ascii="Times New Roman" w:hAnsi="Times New Roman" w:cs="Times New Roman"/>
          <w:sz w:val="24"/>
          <w:szCs w:val="24"/>
          <w:lang w:val="en-GB"/>
        </w:rPr>
        <w:t xml:space="preserve"> in Appendix</w:t>
      </w:r>
      <w:r w:rsidR="009B2E33">
        <w:rPr>
          <w:rFonts w:ascii="Times New Roman" w:hAnsi="Times New Roman" w:cs="Times New Roman"/>
          <w:sz w:val="24"/>
          <w:szCs w:val="24"/>
          <w:lang w:val="en-GB"/>
        </w:rPr>
        <w:t xml:space="preserve"> 1 and 2</w:t>
      </w:r>
      <w:r>
        <w:rPr>
          <w:rFonts w:ascii="Times New Roman" w:hAnsi="Times New Roman" w:cs="Times New Roman"/>
          <w:sz w:val="24"/>
          <w:szCs w:val="24"/>
          <w:lang w:val="en-GB"/>
        </w:rPr>
        <w:t xml:space="preserve"> for exact point estimates and significance testing)</w:t>
      </w:r>
      <w:r w:rsidRPr="00C336BF">
        <w:rPr>
          <w:rFonts w:ascii="Times New Roman" w:hAnsi="Times New Roman" w:cs="Times New Roman"/>
          <w:sz w:val="24"/>
          <w:szCs w:val="24"/>
          <w:lang w:val="en-GB"/>
        </w:rPr>
        <w:t>. The countries are listed according to increasing ARRs (from left to right) of reporting GP visits. We report</w:t>
      </w:r>
      <w:r w:rsidR="003D31B6">
        <w:rPr>
          <w:rFonts w:ascii="Times New Roman" w:hAnsi="Times New Roman" w:cs="Times New Roman"/>
          <w:sz w:val="24"/>
          <w:szCs w:val="24"/>
          <w:lang w:val="en-GB"/>
        </w:rPr>
        <w:t xml:space="preserve"> ARRs of GP and specialist use</w:t>
      </w:r>
      <w:r w:rsidRPr="00C336BF">
        <w:rPr>
          <w:rFonts w:ascii="Times New Roman" w:hAnsi="Times New Roman" w:cs="Times New Roman"/>
          <w:sz w:val="24"/>
          <w:szCs w:val="24"/>
          <w:lang w:val="en-GB"/>
        </w:rPr>
        <w:t xml:space="preserve"> in parentheses.</w:t>
      </w:r>
    </w:p>
    <w:p w14:paraId="0F44C0AD" w14:textId="77777777" w:rsidR="00E25BDB" w:rsidRPr="003E5F85" w:rsidRDefault="00E25BDB" w:rsidP="00D73B69">
      <w:pPr>
        <w:pStyle w:val="NoSpacing"/>
        <w:jc w:val="both"/>
        <w:rPr>
          <w:rFonts w:ascii="Times New Roman" w:hAnsi="Times New Roman" w:cs="Times New Roman"/>
          <w:b/>
          <w:sz w:val="24"/>
          <w:szCs w:val="24"/>
          <w:lang w:val="en-GB"/>
        </w:rPr>
      </w:pPr>
    </w:p>
    <w:p w14:paraId="5BA053E2" w14:textId="77777777" w:rsidR="00E25BDB" w:rsidRPr="006F7B1B" w:rsidRDefault="00E25BDB" w:rsidP="00D73B69">
      <w:pPr>
        <w:pStyle w:val="NoSpacing"/>
        <w:jc w:val="center"/>
        <w:rPr>
          <w:rFonts w:ascii="Times New Roman" w:hAnsi="Times New Roman" w:cs="Times New Roman"/>
          <w:sz w:val="24"/>
          <w:szCs w:val="24"/>
          <w:lang w:val="en-GB"/>
        </w:rPr>
      </w:pPr>
      <w:r w:rsidRPr="006F7B1B">
        <w:rPr>
          <w:rFonts w:ascii="Times New Roman" w:hAnsi="Times New Roman" w:cs="Times New Roman"/>
          <w:sz w:val="24"/>
          <w:szCs w:val="24"/>
          <w:lang w:val="en-GB"/>
        </w:rPr>
        <w:t>---- Figure 1 here ----</w:t>
      </w:r>
    </w:p>
    <w:p w14:paraId="30BEF74B" w14:textId="77777777" w:rsidR="00E25BDB" w:rsidRPr="00C336BF" w:rsidRDefault="00E25BDB" w:rsidP="00D73B69">
      <w:pPr>
        <w:pStyle w:val="NoSpacing"/>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 Table 3 in Appendix</w:t>
      </w:r>
      <w:r w:rsidR="009B2E33">
        <w:rPr>
          <w:rFonts w:ascii="Times New Roman" w:hAnsi="Times New Roman" w:cs="Times New Roman"/>
          <w:sz w:val="24"/>
          <w:szCs w:val="24"/>
          <w:lang w:val="en-GB"/>
        </w:rPr>
        <w:t xml:space="preserve"> 1</w:t>
      </w:r>
      <w:r w:rsidRPr="00C336BF">
        <w:rPr>
          <w:rFonts w:ascii="Times New Roman" w:hAnsi="Times New Roman" w:cs="Times New Roman"/>
          <w:sz w:val="24"/>
          <w:szCs w:val="24"/>
          <w:lang w:val="en-GB"/>
        </w:rPr>
        <w:t xml:space="preserve"> ----</w:t>
      </w:r>
    </w:p>
    <w:p w14:paraId="2921CB32" w14:textId="77777777" w:rsidR="00E25BDB" w:rsidRPr="00C336BF" w:rsidRDefault="00E25BDB" w:rsidP="00D73B69">
      <w:pPr>
        <w:pStyle w:val="NoSpacing"/>
        <w:jc w:val="center"/>
        <w:rPr>
          <w:rFonts w:ascii="Times New Roman" w:hAnsi="Times New Roman" w:cs="Times New Roman"/>
          <w:sz w:val="24"/>
          <w:szCs w:val="24"/>
          <w:lang w:val="en-GB"/>
        </w:rPr>
      </w:pPr>
      <w:r>
        <w:rPr>
          <w:rFonts w:ascii="Times New Roman" w:hAnsi="Times New Roman" w:cs="Times New Roman"/>
          <w:sz w:val="24"/>
          <w:szCs w:val="24"/>
          <w:lang w:val="en-GB"/>
        </w:rPr>
        <w:t>---- Table 4 in Appendix</w:t>
      </w:r>
      <w:r w:rsidR="009B2E33">
        <w:rPr>
          <w:rFonts w:ascii="Times New Roman" w:hAnsi="Times New Roman" w:cs="Times New Roman"/>
          <w:sz w:val="24"/>
          <w:szCs w:val="24"/>
          <w:lang w:val="en-GB"/>
        </w:rPr>
        <w:t xml:space="preserve"> 2</w:t>
      </w:r>
      <w:r w:rsidRPr="00C336BF">
        <w:rPr>
          <w:rFonts w:ascii="Times New Roman" w:hAnsi="Times New Roman" w:cs="Times New Roman"/>
          <w:sz w:val="24"/>
          <w:szCs w:val="24"/>
          <w:lang w:val="en-GB"/>
        </w:rPr>
        <w:t xml:space="preserve"> ----</w:t>
      </w:r>
    </w:p>
    <w:p w14:paraId="107CF391" w14:textId="77777777" w:rsidR="00E25BDB" w:rsidRPr="003E5F85" w:rsidRDefault="00E25BDB" w:rsidP="00D73B69">
      <w:pPr>
        <w:pStyle w:val="NoSpacing"/>
        <w:jc w:val="both"/>
        <w:rPr>
          <w:rFonts w:ascii="Times New Roman" w:hAnsi="Times New Roman" w:cs="Times New Roman"/>
          <w:b/>
          <w:i/>
          <w:sz w:val="24"/>
          <w:szCs w:val="24"/>
          <w:lang w:val="en-GB"/>
        </w:rPr>
      </w:pPr>
    </w:p>
    <w:p w14:paraId="2498B035" w14:textId="77777777" w:rsidR="00E25BDB" w:rsidRPr="003E5F85" w:rsidRDefault="00E25BDB" w:rsidP="00D73B69">
      <w:pPr>
        <w:pStyle w:val="NoSpacing"/>
        <w:jc w:val="both"/>
        <w:rPr>
          <w:rFonts w:ascii="Times New Roman" w:hAnsi="Times New Roman" w:cs="Times New Roman"/>
          <w:b/>
          <w:i/>
          <w:sz w:val="24"/>
          <w:szCs w:val="24"/>
          <w:lang w:val="en-GB"/>
        </w:rPr>
      </w:pPr>
      <w:r w:rsidRPr="003E5F85">
        <w:rPr>
          <w:rFonts w:ascii="Times New Roman" w:hAnsi="Times New Roman" w:cs="Times New Roman"/>
          <w:b/>
          <w:i/>
          <w:sz w:val="24"/>
          <w:szCs w:val="24"/>
          <w:lang w:val="en-GB"/>
        </w:rPr>
        <w:t>GP use</w:t>
      </w:r>
    </w:p>
    <w:p w14:paraId="10ACB361" w14:textId="77777777" w:rsidR="00E25BDB" w:rsidRPr="003E5F85" w:rsidRDefault="00E25BDB" w:rsidP="00D73B69">
      <w:pPr>
        <w:pStyle w:val="NoSpacing"/>
        <w:jc w:val="both"/>
        <w:rPr>
          <w:rFonts w:ascii="Times New Roman" w:hAnsi="Times New Roman" w:cs="Times New Roman"/>
          <w:b/>
          <w:sz w:val="24"/>
          <w:szCs w:val="24"/>
          <w:lang w:val="en-GB"/>
        </w:rPr>
      </w:pPr>
    </w:p>
    <w:p w14:paraId="4C6A46B6" w14:textId="7BD58663"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According to our four markers of SEP, there were several inequalities around GP use. Education was found to be a significant predictor in 6 countries: in Portugal (0.5), Lithuania (0.6) and Ireland (0.7), the higher educated were less likely to use a GP, whilst in Estonia (1.4), Poland (1.4) and Slovenia (1.9), the higher educated were more likely to use a GP. When considering the other countries in the analysis, there was no clear pattern, with around half of countries reporting positive associations with education and GP use, and half reporting negative associations between education and GP use. ARRs varied between the magnitude of 0.4 and 2.</w:t>
      </w:r>
    </w:p>
    <w:p w14:paraId="24278FFB" w14:textId="77777777" w:rsidR="00E25BDB" w:rsidRPr="00C336BF" w:rsidRDefault="00E25BDB" w:rsidP="00D73B69">
      <w:pPr>
        <w:pStyle w:val="NoSpacing"/>
        <w:jc w:val="both"/>
        <w:rPr>
          <w:rFonts w:ascii="Times New Roman" w:hAnsi="Times New Roman" w:cs="Times New Roman"/>
          <w:sz w:val="24"/>
          <w:szCs w:val="24"/>
          <w:lang w:val="en-GB"/>
        </w:rPr>
      </w:pPr>
    </w:p>
    <w:p w14:paraId="1CCB5E30" w14:textId="294660E7"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Th</w:t>
      </w:r>
      <w:r>
        <w:rPr>
          <w:rFonts w:ascii="Times New Roman" w:hAnsi="Times New Roman" w:cs="Times New Roman"/>
          <w:sz w:val="24"/>
          <w:szCs w:val="24"/>
          <w:lang w:val="en-GB"/>
        </w:rPr>
        <w:t>ose in</w:t>
      </w:r>
      <w:r w:rsidRPr="00C336BF">
        <w:rPr>
          <w:rFonts w:ascii="Times New Roman" w:hAnsi="Times New Roman" w:cs="Times New Roman"/>
          <w:sz w:val="24"/>
          <w:szCs w:val="24"/>
          <w:lang w:val="en-GB"/>
        </w:rPr>
        <w:t xml:space="preserve"> higher occupations were less likely to use a GP in Germany (0.7), while the financially strained were </w:t>
      </w:r>
      <w:r w:rsidRPr="00D21D5E">
        <w:rPr>
          <w:rFonts w:ascii="Times New Roman" w:hAnsi="Times New Roman" w:cs="Times New Roman"/>
          <w:sz w:val="24"/>
          <w:szCs w:val="24"/>
          <w:lang w:val="en-GB"/>
        </w:rPr>
        <w:t>more</w:t>
      </w:r>
      <w:r>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likely to use a GP in Ireland and Estonia (0.8), and</w:t>
      </w:r>
      <w:r w:rsidRPr="00D21D5E">
        <w:rPr>
          <w:rFonts w:ascii="Times New Roman" w:hAnsi="Times New Roman" w:cs="Times New Roman"/>
          <w:sz w:val="24"/>
          <w:szCs w:val="24"/>
          <w:lang w:val="en-GB"/>
        </w:rPr>
        <w:t xml:space="preserve"> </w:t>
      </w:r>
      <w:r w:rsidRPr="00AA5D17">
        <w:rPr>
          <w:rFonts w:ascii="Times New Roman" w:hAnsi="Times New Roman" w:cs="Times New Roman"/>
          <w:sz w:val="24"/>
          <w:szCs w:val="24"/>
          <w:lang w:val="en-GB"/>
        </w:rPr>
        <w:t>l</w:t>
      </w:r>
      <w:r w:rsidRPr="00D21D5E">
        <w:rPr>
          <w:rFonts w:ascii="Times New Roman" w:hAnsi="Times New Roman" w:cs="Times New Roman"/>
          <w:sz w:val="24"/>
          <w:szCs w:val="24"/>
          <w:lang w:val="en-GB"/>
        </w:rPr>
        <w:t>ess</w:t>
      </w:r>
      <w:r w:rsidRPr="00C336BF">
        <w:rPr>
          <w:rFonts w:ascii="Times New Roman" w:hAnsi="Times New Roman" w:cs="Times New Roman"/>
          <w:sz w:val="24"/>
          <w:szCs w:val="24"/>
          <w:lang w:val="en-GB"/>
        </w:rPr>
        <w:t xml:space="preserve"> likely to use a GP in Belgium (1.4) and France (1.6). People with</w:t>
      </w:r>
      <w:r w:rsidR="004E3F23">
        <w:rPr>
          <w:rFonts w:ascii="Times New Roman" w:hAnsi="Times New Roman" w:cs="Times New Roman"/>
          <w:sz w:val="24"/>
          <w:szCs w:val="24"/>
          <w:lang w:val="en-GB"/>
        </w:rPr>
        <w:t xml:space="preserve"> </w:t>
      </w:r>
      <w:r w:rsidR="009B6270">
        <w:rPr>
          <w:rFonts w:ascii="Times New Roman" w:hAnsi="Times New Roman" w:cs="Times New Roman"/>
          <w:sz w:val="24"/>
          <w:szCs w:val="24"/>
          <w:lang w:val="en-GB"/>
        </w:rPr>
        <w:t xml:space="preserve">a </w:t>
      </w:r>
      <w:r w:rsidR="004E3F23">
        <w:rPr>
          <w:rFonts w:ascii="Times New Roman" w:hAnsi="Times New Roman" w:cs="Times New Roman"/>
          <w:sz w:val="24"/>
          <w:szCs w:val="24"/>
          <w:lang w:val="en-GB"/>
        </w:rPr>
        <w:t>high social networks score</w:t>
      </w:r>
      <w:r w:rsidRPr="00C336BF">
        <w:rPr>
          <w:rFonts w:ascii="Times New Roman" w:hAnsi="Times New Roman" w:cs="Times New Roman"/>
          <w:sz w:val="24"/>
          <w:szCs w:val="24"/>
          <w:lang w:val="en-GB"/>
        </w:rPr>
        <w:t xml:space="preserve"> were less likely to use a GP in Poland (0.7), and more likely in Estonia (1.4).</w:t>
      </w:r>
      <w:r w:rsidR="009B6270">
        <w:rPr>
          <w:rFonts w:ascii="Times New Roman" w:hAnsi="Times New Roman" w:cs="Times New Roman"/>
          <w:sz w:val="24"/>
          <w:szCs w:val="24"/>
          <w:lang w:val="en-GB"/>
        </w:rPr>
        <w:t xml:space="preserve"> In terms of</w:t>
      </w:r>
      <w:r w:rsidRPr="00C336BF">
        <w:rPr>
          <w:rFonts w:ascii="Times New Roman" w:hAnsi="Times New Roman" w:cs="Times New Roman"/>
          <w:sz w:val="24"/>
          <w:szCs w:val="24"/>
          <w:lang w:val="en-GB"/>
        </w:rPr>
        <w:t xml:space="preserve"> the insignificant results, </w:t>
      </w:r>
      <w:r w:rsidR="002A0635">
        <w:rPr>
          <w:rFonts w:ascii="Times New Roman" w:hAnsi="Times New Roman" w:cs="Times New Roman"/>
          <w:sz w:val="24"/>
          <w:szCs w:val="24"/>
          <w:lang w:val="en-GB"/>
        </w:rPr>
        <w:t>ARRs</w:t>
      </w:r>
      <w:r w:rsidRPr="00C336BF">
        <w:rPr>
          <w:rFonts w:ascii="Times New Roman" w:hAnsi="Times New Roman" w:cs="Times New Roman"/>
          <w:sz w:val="24"/>
          <w:szCs w:val="24"/>
          <w:lang w:val="en-GB"/>
        </w:rPr>
        <w:t xml:space="preserve"> </w:t>
      </w:r>
      <w:r w:rsidR="002A0635">
        <w:rPr>
          <w:rFonts w:ascii="Times New Roman" w:hAnsi="Times New Roman" w:cs="Times New Roman"/>
          <w:sz w:val="24"/>
          <w:szCs w:val="24"/>
          <w:lang w:val="en-GB"/>
        </w:rPr>
        <w:t>related</w:t>
      </w:r>
      <w:r w:rsidR="002A0635" w:rsidRPr="00C336BF">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to financial strain were close to</w:t>
      </w:r>
      <w:r w:rsidR="004E3F23">
        <w:rPr>
          <w:rFonts w:ascii="Times New Roman" w:hAnsi="Times New Roman" w:cs="Times New Roman"/>
          <w:sz w:val="24"/>
          <w:szCs w:val="24"/>
          <w:lang w:val="en-GB"/>
        </w:rPr>
        <w:t xml:space="preserve"> 1</w:t>
      </w:r>
      <w:r w:rsidRPr="00C336BF">
        <w:rPr>
          <w:rFonts w:ascii="Times New Roman" w:hAnsi="Times New Roman" w:cs="Times New Roman"/>
          <w:sz w:val="24"/>
          <w:szCs w:val="24"/>
          <w:lang w:val="en-GB"/>
        </w:rPr>
        <w:t>, and modest for occupation and social networks</w:t>
      </w:r>
      <w:r w:rsidR="002A0635">
        <w:rPr>
          <w:rFonts w:ascii="Times New Roman" w:hAnsi="Times New Roman" w:cs="Times New Roman"/>
          <w:sz w:val="24"/>
          <w:szCs w:val="24"/>
          <w:lang w:val="en-GB"/>
        </w:rPr>
        <w:t>,</w:t>
      </w:r>
      <w:r w:rsidRPr="00C336BF">
        <w:rPr>
          <w:rFonts w:ascii="Times New Roman" w:hAnsi="Times New Roman" w:cs="Times New Roman"/>
          <w:sz w:val="24"/>
          <w:szCs w:val="24"/>
          <w:lang w:val="en-GB"/>
        </w:rPr>
        <w:t xml:space="preserve"> with several outliers. ARRs were between 0.6 and 1.6 for occupation and financial strain, and between 0.7 and 1.4 for social networks.</w:t>
      </w:r>
    </w:p>
    <w:p w14:paraId="40E90E49" w14:textId="77777777" w:rsidR="00E25BDB" w:rsidRPr="003E5F85" w:rsidRDefault="00E25BDB" w:rsidP="00D73B69">
      <w:pPr>
        <w:pStyle w:val="NoSpacing"/>
        <w:jc w:val="both"/>
        <w:rPr>
          <w:rFonts w:ascii="Times New Roman" w:hAnsi="Times New Roman" w:cs="Times New Roman"/>
          <w:b/>
          <w:i/>
          <w:sz w:val="24"/>
          <w:szCs w:val="24"/>
          <w:lang w:val="en-GB"/>
        </w:rPr>
      </w:pPr>
    </w:p>
    <w:p w14:paraId="72D37DAD" w14:textId="77777777" w:rsidR="00E25BDB" w:rsidRPr="00A861AD" w:rsidRDefault="00E25BDB" w:rsidP="00D73B69">
      <w:pPr>
        <w:rPr>
          <w:rFonts w:ascii="Times New Roman" w:hAnsi="Times New Roman" w:cs="Times New Roman"/>
          <w:b/>
          <w:i/>
          <w:sz w:val="24"/>
          <w:szCs w:val="24"/>
          <w:lang w:val="en-GB"/>
        </w:rPr>
      </w:pPr>
      <w:r w:rsidRPr="003E5F85">
        <w:rPr>
          <w:rFonts w:ascii="Times New Roman" w:hAnsi="Times New Roman" w:cs="Times New Roman"/>
          <w:b/>
          <w:i/>
          <w:sz w:val="24"/>
          <w:szCs w:val="24"/>
          <w:lang w:val="en-GB"/>
        </w:rPr>
        <w:t>Specialist use</w:t>
      </w:r>
    </w:p>
    <w:p w14:paraId="15DF883D" w14:textId="046CFC91" w:rsidR="00197A7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 xml:space="preserve">There were significant inequalities in health care specialist use for most of the surveyed countries. The higher educated were more likely to use health care specialists in 11 countries (ARR 1.1-2.0); these were </w:t>
      </w:r>
      <w:r>
        <w:rPr>
          <w:rFonts w:ascii="Times New Roman" w:hAnsi="Times New Roman" w:cs="Times New Roman"/>
          <w:sz w:val="24"/>
          <w:szCs w:val="24"/>
          <w:lang w:val="en-GB"/>
        </w:rPr>
        <w:t>(in ascending order of ARRs): the UK</w:t>
      </w:r>
      <w:r w:rsidRPr="00C336BF">
        <w:rPr>
          <w:rFonts w:ascii="Times New Roman" w:hAnsi="Times New Roman" w:cs="Times New Roman"/>
          <w:sz w:val="24"/>
          <w:szCs w:val="24"/>
          <w:lang w:val="en-GB"/>
        </w:rPr>
        <w:t xml:space="preserve">, Sweden, Austria, Norway, Finland, </w:t>
      </w:r>
      <w:r>
        <w:rPr>
          <w:rFonts w:ascii="Times New Roman" w:hAnsi="Times New Roman" w:cs="Times New Roman"/>
          <w:sz w:val="24"/>
          <w:szCs w:val="24"/>
          <w:lang w:val="en-GB"/>
        </w:rPr>
        <w:t xml:space="preserve">the </w:t>
      </w:r>
      <w:r w:rsidRPr="00C336BF">
        <w:rPr>
          <w:rFonts w:ascii="Times New Roman" w:hAnsi="Times New Roman" w:cs="Times New Roman"/>
          <w:sz w:val="24"/>
          <w:szCs w:val="24"/>
          <w:lang w:val="en-GB"/>
        </w:rPr>
        <w:t>Czech Rep</w:t>
      </w:r>
      <w:r>
        <w:rPr>
          <w:rFonts w:ascii="Times New Roman" w:hAnsi="Times New Roman" w:cs="Times New Roman"/>
          <w:sz w:val="24"/>
          <w:szCs w:val="24"/>
          <w:lang w:val="en-GB"/>
        </w:rPr>
        <w:t>ublic</w:t>
      </w:r>
      <w:r w:rsidRPr="00C336BF">
        <w:rPr>
          <w:rFonts w:ascii="Times New Roman" w:hAnsi="Times New Roman" w:cs="Times New Roman"/>
          <w:sz w:val="24"/>
          <w:szCs w:val="24"/>
          <w:lang w:val="en-GB"/>
        </w:rPr>
        <w:t xml:space="preserve">, France, Germany, Spain, Poland and Portugal. Poland (1.6) and Portugal (2.0) </w:t>
      </w:r>
      <w:r w:rsidR="00197A7B">
        <w:rPr>
          <w:rFonts w:ascii="Times New Roman" w:hAnsi="Times New Roman" w:cs="Times New Roman"/>
          <w:sz w:val="24"/>
          <w:szCs w:val="24"/>
          <w:lang w:val="en-GB"/>
        </w:rPr>
        <w:t xml:space="preserve">had the </w:t>
      </w:r>
      <w:r w:rsidRPr="00C336BF">
        <w:rPr>
          <w:rFonts w:ascii="Times New Roman" w:hAnsi="Times New Roman" w:cs="Times New Roman"/>
          <w:sz w:val="24"/>
          <w:szCs w:val="24"/>
          <w:lang w:val="en-GB"/>
        </w:rPr>
        <w:t>high</w:t>
      </w:r>
      <w:r w:rsidR="00197A7B">
        <w:rPr>
          <w:rFonts w:ascii="Times New Roman" w:hAnsi="Times New Roman" w:cs="Times New Roman"/>
          <w:sz w:val="24"/>
          <w:szCs w:val="24"/>
          <w:lang w:val="en-GB"/>
        </w:rPr>
        <w:t>est</w:t>
      </w:r>
      <w:r w:rsidRPr="00C336BF">
        <w:rPr>
          <w:rFonts w:ascii="Times New Roman" w:hAnsi="Times New Roman" w:cs="Times New Roman"/>
          <w:sz w:val="24"/>
          <w:szCs w:val="24"/>
          <w:lang w:val="en-GB"/>
        </w:rPr>
        <w:t xml:space="preserve"> inequalities</w:t>
      </w:r>
      <w:r w:rsidR="00197A7B">
        <w:rPr>
          <w:rFonts w:ascii="Times New Roman" w:hAnsi="Times New Roman" w:cs="Times New Roman"/>
          <w:sz w:val="24"/>
          <w:szCs w:val="24"/>
          <w:lang w:val="en-GB"/>
        </w:rPr>
        <w:t xml:space="preserve"> associated with specialist use and education</w:t>
      </w:r>
      <w:r w:rsidRPr="00C336BF">
        <w:rPr>
          <w:rFonts w:ascii="Times New Roman" w:hAnsi="Times New Roman" w:cs="Times New Roman"/>
          <w:sz w:val="24"/>
          <w:szCs w:val="24"/>
          <w:lang w:val="en-GB"/>
        </w:rPr>
        <w:t xml:space="preserve">. </w:t>
      </w:r>
      <w:r>
        <w:rPr>
          <w:rFonts w:ascii="Times New Roman" w:hAnsi="Times New Roman" w:cs="Times New Roman"/>
          <w:sz w:val="24"/>
          <w:szCs w:val="24"/>
          <w:lang w:val="en-GB"/>
        </w:rPr>
        <w:t>In terms of</w:t>
      </w:r>
      <w:r w:rsidRPr="00C336BF">
        <w:rPr>
          <w:rFonts w:ascii="Times New Roman" w:hAnsi="Times New Roman" w:cs="Times New Roman"/>
          <w:sz w:val="24"/>
          <w:szCs w:val="24"/>
          <w:lang w:val="en-GB"/>
        </w:rPr>
        <w:t xml:space="preserve"> the insignificant results, the remaining countries all reported greater use of health care specialists among the higher educated.</w:t>
      </w:r>
    </w:p>
    <w:p w14:paraId="059AC673" w14:textId="77777777" w:rsidR="006721F1" w:rsidRDefault="006721F1" w:rsidP="00D73B69">
      <w:pPr>
        <w:pStyle w:val="NoSpacing"/>
        <w:jc w:val="both"/>
        <w:rPr>
          <w:rFonts w:ascii="Times New Roman" w:hAnsi="Times New Roman" w:cs="Times New Roman"/>
          <w:sz w:val="24"/>
          <w:szCs w:val="24"/>
          <w:lang w:val="en-GB"/>
        </w:rPr>
      </w:pPr>
    </w:p>
    <w:p w14:paraId="28278A4D" w14:textId="4145C0C8" w:rsidR="00E25BDB" w:rsidRPr="00C336BF" w:rsidRDefault="004E3F23" w:rsidP="00D73B69">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E25BDB" w:rsidRPr="00C336BF">
        <w:rPr>
          <w:rFonts w:ascii="Times New Roman" w:hAnsi="Times New Roman" w:cs="Times New Roman"/>
          <w:sz w:val="24"/>
          <w:szCs w:val="24"/>
          <w:lang w:val="en-GB"/>
        </w:rPr>
        <w:t>ignificant occupational inequalities in specialist use</w:t>
      </w:r>
      <w:r>
        <w:rPr>
          <w:rFonts w:ascii="Times New Roman" w:hAnsi="Times New Roman" w:cs="Times New Roman"/>
          <w:sz w:val="24"/>
          <w:szCs w:val="24"/>
          <w:lang w:val="en-GB"/>
        </w:rPr>
        <w:t xml:space="preserve"> were found in</w:t>
      </w:r>
      <w:r w:rsidR="00197A7B">
        <w:rPr>
          <w:rFonts w:ascii="Times New Roman" w:hAnsi="Times New Roman" w:cs="Times New Roman"/>
          <w:sz w:val="24"/>
          <w:szCs w:val="24"/>
          <w:lang w:val="en-GB"/>
        </w:rPr>
        <w:t xml:space="preserve"> </w:t>
      </w:r>
      <w:r w:rsidR="00E25BDB" w:rsidRPr="00C336BF">
        <w:rPr>
          <w:rFonts w:ascii="Times New Roman" w:hAnsi="Times New Roman" w:cs="Times New Roman"/>
          <w:sz w:val="24"/>
          <w:szCs w:val="24"/>
          <w:lang w:val="en-GB"/>
        </w:rPr>
        <w:t xml:space="preserve">10 countries, where the higher occupations were more likely to report visits (ARR 1.1-1.4); these were (in </w:t>
      </w:r>
      <w:r w:rsidR="00E25BDB">
        <w:rPr>
          <w:rFonts w:ascii="Times New Roman" w:hAnsi="Times New Roman" w:cs="Times New Roman"/>
          <w:sz w:val="24"/>
          <w:szCs w:val="24"/>
          <w:lang w:val="en-GB"/>
        </w:rPr>
        <w:t>ascending</w:t>
      </w:r>
      <w:r w:rsidR="00E25BDB" w:rsidRPr="00C336BF">
        <w:rPr>
          <w:rFonts w:ascii="Times New Roman" w:hAnsi="Times New Roman" w:cs="Times New Roman"/>
          <w:sz w:val="24"/>
          <w:szCs w:val="24"/>
          <w:lang w:val="en-GB"/>
        </w:rPr>
        <w:t xml:space="preserve"> order</w:t>
      </w:r>
      <w:r w:rsidR="00E25BDB">
        <w:rPr>
          <w:rFonts w:ascii="Times New Roman" w:hAnsi="Times New Roman" w:cs="Times New Roman"/>
          <w:sz w:val="24"/>
          <w:szCs w:val="24"/>
          <w:lang w:val="en-GB"/>
        </w:rPr>
        <w:t xml:space="preserve"> of ARRs</w:t>
      </w:r>
      <w:r w:rsidR="00E25BDB" w:rsidRPr="00C336BF">
        <w:rPr>
          <w:rFonts w:ascii="Times New Roman" w:hAnsi="Times New Roman" w:cs="Times New Roman"/>
          <w:sz w:val="24"/>
          <w:szCs w:val="24"/>
          <w:lang w:val="en-GB"/>
        </w:rPr>
        <w:t xml:space="preserve">): Ireland, Sweden, Finland, Hungary, </w:t>
      </w:r>
      <w:r w:rsidR="00E25BDB">
        <w:rPr>
          <w:rFonts w:ascii="Times New Roman" w:hAnsi="Times New Roman" w:cs="Times New Roman"/>
          <w:sz w:val="24"/>
          <w:szCs w:val="24"/>
          <w:lang w:val="en-GB"/>
        </w:rPr>
        <w:t xml:space="preserve">the </w:t>
      </w:r>
      <w:r w:rsidR="00E25BDB" w:rsidRPr="00C336BF">
        <w:rPr>
          <w:rFonts w:ascii="Times New Roman" w:hAnsi="Times New Roman" w:cs="Times New Roman"/>
          <w:sz w:val="24"/>
          <w:szCs w:val="24"/>
          <w:lang w:val="en-GB"/>
        </w:rPr>
        <w:t>Czech Rep</w:t>
      </w:r>
      <w:r w:rsidR="00E25BDB">
        <w:rPr>
          <w:rFonts w:ascii="Times New Roman" w:hAnsi="Times New Roman" w:cs="Times New Roman"/>
          <w:sz w:val="24"/>
          <w:szCs w:val="24"/>
          <w:lang w:val="en-GB"/>
        </w:rPr>
        <w:t>ublic</w:t>
      </w:r>
      <w:r w:rsidR="00E25BDB" w:rsidRPr="00C336BF">
        <w:rPr>
          <w:rFonts w:ascii="Times New Roman" w:hAnsi="Times New Roman" w:cs="Times New Roman"/>
          <w:sz w:val="24"/>
          <w:szCs w:val="24"/>
          <w:lang w:val="en-GB"/>
        </w:rPr>
        <w:t xml:space="preserve">, Estonia, Denmark, France, Switzerland and Austria). </w:t>
      </w:r>
      <w:r w:rsidR="00E25BDB">
        <w:rPr>
          <w:rFonts w:ascii="Times New Roman" w:hAnsi="Times New Roman" w:cs="Times New Roman"/>
          <w:sz w:val="24"/>
          <w:szCs w:val="24"/>
          <w:lang w:val="en-GB"/>
        </w:rPr>
        <w:t>In terms of</w:t>
      </w:r>
      <w:r w:rsidR="00E25BDB" w:rsidRPr="00C336BF">
        <w:rPr>
          <w:rFonts w:ascii="Times New Roman" w:hAnsi="Times New Roman" w:cs="Times New Roman"/>
          <w:sz w:val="24"/>
          <w:szCs w:val="24"/>
          <w:lang w:val="en-GB"/>
        </w:rPr>
        <w:t xml:space="preserve"> the insignificant results, the majority of the remaining countries reported greater specialist use among those with higher occupations.</w:t>
      </w:r>
    </w:p>
    <w:p w14:paraId="0FF169F1" w14:textId="77777777" w:rsidR="00E25BDB" w:rsidRPr="00C336BF" w:rsidRDefault="00E25BDB" w:rsidP="00D73B69">
      <w:pPr>
        <w:pStyle w:val="NoSpacing"/>
        <w:jc w:val="both"/>
        <w:rPr>
          <w:rFonts w:ascii="Times New Roman" w:hAnsi="Times New Roman" w:cs="Times New Roman"/>
          <w:sz w:val="24"/>
          <w:szCs w:val="24"/>
          <w:lang w:val="en-GB"/>
        </w:rPr>
      </w:pPr>
    </w:p>
    <w:p w14:paraId="3B79FE58" w14:textId="75476387"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 xml:space="preserve">There were significant inequalities in specialist use </w:t>
      </w:r>
      <w:r>
        <w:rPr>
          <w:rFonts w:ascii="Times New Roman" w:hAnsi="Times New Roman" w:cs="Times New Roman"/>
          <w:sz w:val="24"/>
          <w:szCs w:val="24"/>
          <w:lang w:val="en-GB"/>
        </w:rPr>
        <w:t>associated with</w:t>
      </w:r>
      <w:r w:rsidRPr="00C336BF">
        <w:rPr>
          <w:rFonts w:ascii="Times New Roman" w:hAnsi="Times New Roman" w:cs="Times New Roman"/>
          <w:sz w:val="24"/>
          <w:szCs w:val="24"/>
          <w:lang w:val="en-GB"/>
        </w:rPr>
        <w:t xml:space="preserve"> financial strain in two countries: Israel (0.8) and Poland (1.1). Respondents with</w:t>
      </w:r>
      <w:r w:rsidR="007B499F">
        <w:rPr>
          <w:rFonts w:ascii="Times New Roman" w:hAnsi="Times New Roman" w:cs="Times New Roman"/>
          <w:sz w:val="24"/>
          <w:szCs w:val="24"/>
          <w:lang w:val="en-GB"/>
        </w:rPr>
        <w:t xml:space="preserve"> </w:t>
      </w:r>
      <w:r w:rsidR="002A0635">
        <w:rPr>
          <w:rFonts w:ascii="Times New Roman" w:hAnsi="Times New Roman" w:cs="Times New Roman"/>
          <w:sz w:val="24"/>
          <w:szCs w:val="24"/>
          <w:lang w:val="en-GB"/>
        </w:rPr>
        <w:t xml:space="preserve">a </w:t>
      </w:r>
      <w:r w:rsidR="007B499F">
        <w:rPr>
          <w:rFonts w:ascii="Times New Roman" w:hAnsi="Times New Roman" w:cs="Times New Roman"/>
          <w:sz w:val="24"/>
          <w:szCs w:val="24"/>
          <w:lang w:val="en-GB"/>
        </w:rPr>
        <w:t>high social networks score</w:t>
      </w:r>
      <w:r w:rsidRPr="00C336BF">
        <w:rPr>
          <w:rFonts w:ascii="Times New Roman" w:hAnsi="Times New Roman" w:cs="Times New Roman"/>
          <w:sz w:val="24"/>
          <w:szCs w:val="24"/>
          <w:lang w:val="en-GB"/>
        </w:rPr>
        <w:t xml:space="preserve"> were more likely to report specialist visits in 6 countries (1.1-1.3); these were (in </w:t>
      </w:r>
      <w:r>
        <w:rPr>
          <w:rFonts w:ascii="Times New Roman" w:hAnsi="Times New Roman" w:cs="Times New Roman"/>
          <w:sz w:val="24"/>
          <w:szCs w:val="24"/>
          <w:lang w:val="en-GB"/>
        </w:rPr>
        <w:t>ascending</w:t>
      </w:r>
      <w:r w:rsidRPr="00C336BF">
        <w:rPr>
          <w:rFonts w:ascii="Times New Roman" w:hAnsi="Times New Roman" w:cs="Times New Roman"/>
          <w:sz w:val="24"/>
          <w:szCs w:val="24"/>
          <w:lang w:val="en-GB"/>
        </w:rPr>
        <w:t xml:space="preserve"> order</w:t>
      </w:r>
      <w:r>
        <w:rPr>
          <w:rFonts w:ascii="Times New Roman" w:hAnsi="Times New Roman" w:cs="Times New Roman"/>
          <w:sz w:val="24"/>
          <w:szCs w:val="24"/>
          <w:lang w:val="en-GB"/>
        </w:rPr>
        <w:t xml:space="preserve"> of ARRs</w:t>
      </w:r>
      <w:r w:rsidRPr="00C336BF">
        <w:rPr>
          <w:rFonts w:ascii="Times New Roman" w:hAnsi="Times New Roman" w:cs="Times New Roman"/>
          <w:sz w:val="24"/>
          <w:szCs w:val="24"/>
          <w:lang w:val="en-GB"/>
        </w:rPr>
        <w:t xml:space="preserve">): Norway, Finland, France, Estonia, </w:t>
      </w:r>
      <w:r>
        <w:rPr>
          <w:rFonts w:ascii="Times New Roman" w:hAnsi="Times New Roman" w:cs="Times New Roman"/>
          <w:sz w:val="24"/>
          <w:szCs w:val="24"/>
          <w:lang w:val="en-GB"/>
        </w:rPr>
        <w:t>the Czech Republic</w:t>
      </w:r>
      <w:r w:rsidRPr="00C336BF">
        <w:rPr>
          <w:rFonts w:ascii="Times New Roman" w:hAnsi="Times New Roman" w:cs="Times New Roman"/>
          <w:sz w:val="24"/>
          <w:szCs w:val="24"/>
          <w:lang w:val="en-GB"/>
        </w:rPr>
        <w:t xml:space="preserve"> and Austria). </w:t>
      </w:r>
      <w:r>
        <w:rPr>
          <w:rFonts w:ascii="Times New Roman" w:hAnsi="Times New Roman" w:cs="Times New Roman"/>
          <w:sz w:val="24"/>
          <w:szCs w:val="24"/>
          <w:lang w:val="en-GB"/>
        </w:rPr>
        <w:t>In terms of the</w:t>
      </w:r>
      <w:r w:rsidRPr="00C336BF">
        <w:rPr>
          <w:rFonts w:ascii="Times New Roman" w:hAnsi="Times New Roman" w:cs="Times New Roman"/>
          <w:sz w:val="24"/>
          <w:szCs w:val="24"/>
          <w:lang w:val="en-GB"/>
        </w:rPr>
        <w:t xml:space="preserve"> insignificant results, there were no clear inequalities due to financial strain and social networks.</w:t>
      </w:r>
    </w:p>
    <w:p w14:paraId="521F4DDC" w14:textId="77777777" w:rsidR="00E25BDB" w:rsidRPr="00C336BF" w:rsidRDefault="00E25BDB" w:rsidP="00D73B69">
      <w:pPr>
        <w:pStyle w:val="NoSpacing"/>
        <w:jc w:val="both"/>
        <w:rPr>
          <w:rFonts w:ascii="Times New Roman" w:hAnsi="Times New Roman" w:cs="Times New Roman"/>
          <w:sz w:val="24"/>
          <w:szCs w:val="24"/>
          <w:lang w:val="en-GB"/>
        </w:rPr>
      </w:pPr>
    </w:p>
    <w:p w14:paraId="15FACD3D" w14:textId="026887C1" w:rsidR="00E25BDB"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Some countries were notable for having inequalities across several markers: Austria, France, the Czech</w:t>
      </w:r>
      <w:r>
        <w:rPr>
          <w:rFonts w:ascii="Times New Roman" w:hAnsi="Times New Roman" w:cs="Times New Roman"/>
          <w:sz w:val="24"/>
          <w:szCs w:val="24"/>
          <w:lang w:val="en-GB"/>
        </w:rPr>
        <w:t xml:space="preserve"> Republic</w:t>
      </w:r>
      <w:r w:rsidRPr="00C336BF">
        <w:rPr>
          <w:rFonts w:ascii="Times New Roman" w:hAnsi="Times New Roman" w:cs="Times New Roman"/>
          <w:sz w:val="24"/>
          <w:szCs w:val="24"/>
          <w:lang w:val="en-GB"/>
        </w:rPr>
        <w:t xml:space="preserve"> and Finland all </w:t>
      </w:r>
      <w:r>
        <w:rPr>
          <w:rFonts w:ascii="Times New Roman" w:hAnsi="Times New Roman" w:cs="Times New Roman"/>
          <w:sz w:val="24"/>
          <w:szCs w:val="24"/>
          <w:lang w:val="en-GB"/>
        </w:rPr>
        <w:t>demonstrated significant inequalities</w:t>
      </w:r>
      <w:r w:rsidRPr="00C336BF">
        <w:rPr>
          <w:rFonts w:ascii="Times New Roman" w:hAnsi="Times New Roman" w:cs="Times New Roman"/>
          <w:sz w:val="24"/>
          <w:szCs w:val="24"/>
          <w:lang w:val="en-GB"/>
        </w:rPr>
        <w:t xml:space="preserve"> for education, occupation and social networks. </w:t>
      </w:r>
    </w:p>
    <w:p w14:paraId="0E996F33" w14:textId="77777777" w:rsidR="00366335" w:rsidRDefault="00366335" w:rsidP="00D73B69">
      <w:pPr>
        <w:pStyle w:val="NoSpacing"/>
        <w:jc w:val="both"/>
        <w:rPr>
          <w:rFonts w:ascii="Times New Roman" w:hAnsi="Times New Roman" w:cs="Times New Roman"/>
          <w:sz w:val="24"/>
          <w:szCs w:val="24"/>
          <w:lang w:val="en-GB"/>
        </w:rPr>
      </w:pPr>
    </w:p>
    <w:p w14:paraId="6B539D63" w14:textId="4F590BD1" w:rsidR="00366335" w:rsidRPr="00E34685" w:rsidRDefault="00366335" w:rsidP="00366335">
      <w:pPr>
        <w:pStyle w:val="NoSpacing"/>
        <w:jc w:val="both"/>
        <w:rPr>
          <w:rFonts w:ascii="Times New Roman" w:hAnsi="Times New Roman" w:cs="Times New Roman"/>
          <w:sz w:val="24"/>
          <w:szCs w:val="24"/>
          <w:lang w:val="en-GB"/>
        </w:rPr>
      </w:pPr>
      <w:r w:rsidRPr="00E34685">
        <w:rPr>
          <w:rFonts w:ascii="Times New Roman" w:hAnsi="Times New Roman" w:cs="Times New Roman"/>
          <w:sz w:val="24"/>
          <w:szCs w:val="24"/>
          <w:lang w:val="en-GB"/>
        </w:rPr>
        <w:t>Interestingly, considerable variation was found in the distribution of GP utilization among countries with higher inequality in specialist utilization. For instance, in more than half of the countries where the high</w:t>
      </w:r>
      <w:r w:rsidR="007816D8">
        <w:rPr>
          <w:rFonts w:ascii="Times New Roman" w:hAnsi="Times New Roman" w:cs="Times New Roman"/>
          <w:sz w:val="24"/>
          <w:szCs w:val="24"/>
          <w:lang w:val="en-GB"/>
        </w:rPr>
        <w:t>er</w:t>
      </w:r>
      <w:r w:rsidRPr="00E34685">
        <w:rPr>
          <w:rFonts w:ascii="Times New Roman" w:hAnsi="Times New Roman" w:cs="Times New Roman"/>
          <w:sz w:val="24"/>
          <w:szCs w:val="24"/>
          <w:lang w:val="en-GB"/>
        </w:rPr>
        <w:t xml:space="preserve"> educated group</w:t>
      </w:r>
      <w:r w:rsidR="003D31B6" w:rsidRPr="00E34685">
        <w:rPr>
          <w:rFonts w:ascii="Times New Roman" w:hAnsi="Times New Roman" w:cs="Times New Roman"/>
          <w:sz w:val="24"/>
          <w:szCs w:val="24"/>
          <w:lang w:val="en-GB"/>
        </w:rPr>
        <w:t xml:space="preserve"> was</w:t>
      </w:r>
      <w:r w:rsidRPr="00E34685">
        <w:rPr>
          <w:rFonts w:ascii="Times New Roman" w:hAnsi="Times New Roman" w:cs="Times New Roman"/>
          <w:sz w:val="24"/>
          <w:szCs w:val="24"/>
          <w:lang w:val="en-GB"/>
        </w:rPr>
        <w:t xml:space="preserve"> more likely to use specialist care</w:t>
      </w:r>
      <w:r w:rsidR="007816D8">
        <w:rPr>
          <w:rFonts w:ascii="Times New Roman" w:hAnsi="Times New Roman" w:cs="Times New Roman"/>
          <w:sz w:val="24"/>
          <w:szCs w:val="24"/>
          <w:lang w:val="en-GB"/>
        </w:rPr>
        <w:t>,</w:t>
      </w:r>
      <w:r w:rsidRPr="00E34685">
        <w:rPr>
          <w:rFonts w:ascii="Times New Roman" w:hAnsi="Times New Roman" w:cs="Times New Roman"/>
          <w:sz w:val="24"/>
          <w:szCs w:val="24"/>
          <w:lang w:val="en-GB"/>
        </w:rPr>
        <w:t xml:space="preserve"> an inverse association was observed between education and GP util</w:t>
      </w:r>
      <w:r w:rsidR="007816D8">
        <w:rPr>
          <w:rFonts w:ascii="Times New Roman" w:hAnsi="Times New Roman" w:cs="Times New Roman"/>
          <w:sz w:val="24"/>
          <w:szCs w:val="24"/>
          <w:lang w:val="en-GB"/>
        </w:rPr>
        <w:t>ization. Concerning occupation</w:t>
      </w:r>
      <w:r w:rsidRPr="00E34685">
        <w:rPr>
          <w:rFonts w:ascii="Times New Roman" w:hAnsi="Times New Roman" w:cs="Times New Roman"/>
          <w:sz w:val="24"/>
          <w:szCs w:val="24"/>
          <w:lang w:val="en-GB"/>
        </w:rPr>
        <w:t xml:space="preserve"> and social networks, GP utilization probability was equitably distributed in most of the countries that demonstrated significant inequalities in specialist utilization in favour of high</w:t>
      </w:r>
      <w:r w:rsidR="003D31B6" w:rsidRPr="00E34685">
        <w:rPr>
          <w:rFonts w:ascii="Times New Roman" w:hAnsi="Times New Roman" w:cs="Times New Roman"/>
          <w:sz w:val="24"/>
          <w:szCs w:val="24"/>
          <w:lang w:val="en-GB"/>
        </w:rPr>
        <w:t xml:space="preserve"> SEP </w:t>
      </w:r>
      <w:r w:rsidR="00E34685" w:rsidRPr="00E34685">
        <w:rPr>
          <w:rFonts w:ascii="Times New Roman" w:hAnsi="Times New Roman" w:cs="Times New Roman"/>
          <w:sz w:val="24"/>
          <w:szCs w:val="24"/>
          <w:lang w:val="en-GB"/>
        </w:rPr>
        <w:t>groups</w:t>
      </w:r>
      <w:r w:rsidRPr="00E34685">
        <w:rPr>
          <w:rFonts w:ascii="Times New Roman" w:hAnsi="Times New Roman" w:cs="Times New Roman"/>
          <w:sz w:val="24"/>
          <w:szCs w:val="24"/>
          <w:lang w:val="en-GB"/>
        </w:rPr>
        <w:t>. Whereas in the few countries that GP utilization was more likely among high</w:t>
      </w:r>
      <w:r w:rsidR="003D31B6" w:rsidRPr="00E34685">
        <w:rPr>
          <w:rFonts w:ascii="Times New Roman" w:hAnsi="Times New Roman" w:cs="Times New Roman"/>
          <w:sz w:val="24"/>
          <w:szCs w:val="24"/>
          <w:lang w:val="en-GB"/>
        </w:rPr>
        <w:t xml:space="preserve"> SEP groups</w:t>
      </w:r>
      <w:r w:rsidR="007816D8">
        <w:rPr>
          <w:rFonts w:ascii="Times New Roman" w:hAnsi="Times New Roman" w:cs="Times New Roman"/>
          <w:sz w:val="24"/>
          <w:szCs w:val="24"/>
          <w:lang w:val="en-GB"/>
        </w:rPr>
        <w:t>,</w:t>
      </w:r>
      <w:r w:rsidRPr="00E34685">
        <w:rPr>
          <w:rFonts w:ascii="Times New Roman" w:hAnsi="Times New Roman" w:cs="Times New Roman"/>
          <w:sz w:val="24"/>
          <w:szCs w:val="24"/>
          <w:lang w:val="en-GB"/>
        </w:rPr>
        <w:t xml:space="preserve"> there was a more consistent positive association between</w:t>
      </w:r>
      <w:r w:rsidR="003D31B6" w:rsidRPr="00E34685">
        <w:rPr>
          <w:rFonts w:ascii="Times New Roman" w:hAnsi="Times New Roman" w:cs="Times New Roman"/>
          <w:sz w:val="24"/>
          <w:szCs w:val="24"/>
          <w:lang w:val="en-GB"/>
        </w:rPr>
        <w:t xml:space="preserve"> SEP</w:t>
      </w:r>
      <w:r w:rsidRPr="00E34685">
        <w:rPr>
          <w:rFonts w:ascii="Times New Roman" w:hAnsi="Times New Roman" w:cs="Times New Roman"/>
          <w:sz w:val="24"/>
          <w:szCs w:val="24"/>
          <w:lang w:val="en-GB"/>
        </w:rPr>
        <w:t xml:space="preserve"> and specialist utilization.</w:t>
      </w:r>
    </w:p>
    <w:p w14:paraId="7570CFE7" w14:textId="77777777" w:rsidR="00366335" w:rsidRDefault="00366335" w:rsidP="00D73B69">
      <w:pPr>
        <w:pStyle w:val="NoSpacing"/>
        <w:jc w:val="both"/>
        <w:rPr>
          <w:rFonts w:ascii="Times New Roman" w:hAnsi="Times New Roman" w:cs="Times New Roman"/>
          <w:sz w:val="24"/>
          <w:szCs w:val="24"/>
          <w:lang w:val="en-GB"/>
        </w:rPr>
      </w:pPr>
    </w:p>
    <w:p w14:paraId="51A0483E" w14:textId="77777777" w:rsidR="00E25BDB" w:rsidRDefault="00E25BDB" w:rsidP="00D73B69">
      <w:pPr>
        <w:pStyle w:val="NoSpacing"/>
        <w:rPr>
          <w:rFonts w:ascii="Times New Roman" w:hAnsi="Times New Roman" w:cs="Times New Roman"/>
          <w:i/>
          <w:sz w:val="24"/>
          <w:szCs w:val="24"/>
          <w:lang w:val="en-GB"/>
        </w:rPr>
      </w:pPr>
    </w:p>
    <w:p w14:paraId="0D005D60" w14:textId="77777777" w:rsidR="00E25BDB" w:rsidRPr="00FC345F" w:rsidRDefault="00E25BDB" w:rsidP="00D73B69">
      <w:pPr>
        <w:pStyle w:val="NoSpacing"/>
        <w:jc w:val="both"/>
        <w:rPr>
          <w:rFonts w:ascii="Times New Roman" w:hAnsi="Times New Roman" w:cs="Times New Roman"/>
          <w:b/>
          <w:sz w:val="28"/>
          <w:szCs w:val="28"/>
          <w:lang w:val="en-GB"/>
        </w:rPr>
      </w:pPr>
      <w:r w:rsidRPr="00FC345F">
        <w:rPr>
          <w:rFonts w:ascii="Times New Roman" w:hAnsi="Times New Roman" w:cs="Times New Roman"/>
          <w:b/>
          <w:sz w:val="28"/>
          <w:szCs w:val="28"/>
          <w:lang w:val="en-GB"/>
        </w:rPr>
        <w:t>Discussion</w:t>
      </w:r>
    </w:p>
    <w:p w14:paraId="559A46DD" w14:textId="77777777" w:rsidR="00E25BDB" w:rsidRDefault="00E25BDB" w:rsidP="00D73B69">
      <w:pPr>
        <w:pStyle w:val="NoSpacing"/>
        <w:jc w:val="both"/>
        <w:rPr>
          <w:rFonts w:ascii="Times New Roman" w:hAnsi="Times New Roman" w:cs="Times New Roman"/>
          <w:sz w:val="24"/>
          <w:szCs w:val="24"/>
          <w:lang w:val="en-GB"/>
        </w:rPr>
      </w:pPr>
    </w:p>
    <w:p w14:paraId="753201F3" w14:textId="6E3A3F48" w:rsidR="00366335" w:rsidRPr="00C336BF" w:rsidRDefault="00366335" w:rsidP="00366335">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 xml:space="preserve">The main finding of this study was the observed tendency </w:t>
      </w:r>
      <w:r>
        <w:rPr>
          <w:rFonts w:ascii="Times New Roman" w:hAnsi="Times New Roman" w:cs="Times New Roman"/>
          <w:sz w:val="24"/>
          <w:szCs w:val="24"/>
          <w:lang w:val="en-GB"/>
        </w:rPr>
        <w:t>that</w:t>
      </w:r>
      <w:r w:rsidRPr="00C336BF">
        <w:rPr>
          <w:rFonts w:ascii="Times New Roman" w:hAnsi="Times New Roman" w:cs="Times New Roman"/>
          <w:sz w:val="24"/>
          <w:szCs w:val="24"/>
          <w:lang w:val="en-GB"/>
        </w:rPr>
        <w:t xml:space="preserve"> countries</w:t>
      </w:r>
      <w:r>
        <w:rPr>
          <w:rFonts w:ascii="Times New Roman" w:hAnsi="Times New Roman" w:cs="Times New Roman"/>
          <w:sz w:val="24"/>
          <w:szCs w:val="24"/>
          <w:lang w:val="en-GB"/>
        </w:rPr>
        <w:t xml:space="preserve"> </w:t>
      </w:r>
      <w:r w:rsidRPr="00F25A08">
        <w:rPr>
          <w:rFonts w:ascii="Times New Roman" w:hAnsi="Times New Roman" w:cs="Times New Roman"/>
          <w:sz w:val="24"/>
          <w:szCs w:val="24"/>
          <w:lang w:val="en-US"/>
        </w:rPr>
        <w:t xml:space="preserve">with </w:t>
      </w:r>
      <w:r>
        <w:rPr>
          <w:rFonts w:ascii="Times New Roman" w:hAnsi="Times New Roman" w:cs="Times New Roman"/>
          <w:sz w:val="24"/>
          <w:szCs w:val="24"/>
          <w:lang w:val="en-US"/>
        </w:rPr>
        <w:t>higher or equal probability of</w:t>
      </w:r>
      <w:r w:rsidRPr="006874F2">
        <w:rPr>
          <w:rFonts w:ascii="Times New Roman" w:hAnsi="Times New Roman" w:cs="Times New Roman"/>
          <w:sz w:val="24"/>
          <w:szCs w:val="24"/>
          <w:lang w:val="en-US"/>
        </w:rPr>
        <w:t xml:space="preserve"> GP</w:t>
      </w:r>
      <w:r>
        <w:rPr>
          <w:rFonts w:ascii="Times New Roman" w:hAnsi="Times New Roman" w:cs="Times New Roman"/>
          <w:sz w:val="24"/>
          <w:szCs w:val="24"/>
          <w:lang w:val="en-US"/>
        </w:rPr>
        <w:t xml:space="preserve"> utilization</w:t>
      </w:r>
      <w:r w:rsidRPr="00F25A08">
        <w:rPr>
          <w:rFonts w:ascii="Times New Roman" w:hAnsi="Times New Roman" w:cs="Times New Roman"/>
          <w:sz w:val="24"/>
          <w:szCs w:val="24"/>
          <w:lang w:val="en-US"/>
        </w:rPr>
        <w:t xml:space="preserve"> by lower </w:t>
      </w:r>
      <w:r>
        <w:rPr>
          <w:rFonts w:ascii="Times New Roman" w:hAnsi="Times New Roman" w:cs="Times New Roman"/>
          <w:sz w:val="24"/>
          <w:szCs w:val="24"/>
          <w:lang w:val="en-US"/>
        </w:rPr>
        <w:t>SEP</w:t>
      </w:r>
      <w:r w:rsidRPr="00F25A08">
        <w:rPr>
          <w:rFonts w:ascii="Times New Roman" w:hAnsi="Times New Roman" w:cs="Times New Roman"/>
          <w:sz w:val="24"/>
          <w:szCs w:val="24"/>
          <w:lang w:val="en-US"/>
        </w:rPr>
        <w:t xml:space="preserve"> groups ha</w:t>
      </w:r>
      <w:r>
        <w:rPr>
          <w:rFonts w:ascii="Times New Roman" w:hAnsi="Times New Roman" w:cs="Times New Roman"/>
          <w:sz w:val="24"/>
          <w:szCs w:val="24"/>
          <w:lang w:val="en-US"/>
        </w:rPr>
        <w:t>d</w:t>
      </w:r>
      <w:r w:rsidRPr="006874F2">
        <w:rPr>
          <w:rFonts w:ascii="Times New Roman" w:hAnsi="Times New Roman" w:cs="Times New Roman"/>
          <w:sz w:val="24"/>
          <w:szCs w:val="24"/>
          <w:lang w:val="en-US"/>
        </w:rPr>
        <w:t xml:space="preserve"> </w:t>
      </w:r>
      <w:r w:rsidRPr="00F25A08">
        <w:rPr>
          <w:rFonts w:ascii="Times New Roman" w:hAnsi="Times New Roman" w:cs="Times New Roman"/>
          <w:sz w:val="24"/>
          <w:szCs w:val="24"/>
          <w:lang w:val="en-US"/>
        </w:rPr>
        <w:t>consistent</w:t>
      </w:r>
      <w:r>
        <w:rPr>
          <w:rFonts w:ascii="Times New Roman" w:hAnsi="Times New Roman" w:cs="Times New Roman"/>
          <w:sz w:val="24"/>
          <w:szCs w:val="24"/>
          <w:lang w:val="en-US"/>
        </w:rPr>
        <w:t xml:space="preserve"> higher</w:t>
      </w:r>
      <w:r w:rsidRPr="00F25A08">
        <w:rPr>
          <w:rFonts w:ascii="Times New Roman" w:hAnsi="Times New Roman" w:cs="Times New Roman"/>
          <w:sz w:val="24"/>
          <w:szCs w:val="24"/>
          <w:lang w:val="en-US"/>
        </w:rPr>
        <w:t xml:space="preserve"> </w:t>
      </w:r>
      <w:r>
        <w:rPr>
          <w:rFonts w:ascii="Times New Roman" w:hAnsi="Times New Roman" w:cs="Times New Roman"/>
          <w:sz w:val="24"/>
          <w:szCs w:val="24"/>
          <w:lang w:val="en-US"/>
        </w:rPr>
        <w:t>probability</w:t>
      </w:r>
      <w:r w:rsidRPr="006874F2">
        <w:rPr>
          <w:rFonts w:ascii="Times New Roman" w:hAnsi="Times New Roman" w:cs="Times New Roman"/>
          <w:sz w:val="24"/>
          <w:szCs w:val="24"/>
          <w:lang w:val="en-US"/>
        </w:rPr>
        <w:t xml:space="preserve"> of specialist care</w:t>
      </w:r>
      <w:r>
        <w:rPr>
          <w:rFonts w:ascii="Times New Roman" w:hAnsi="Times New Roman" w:cs="Times New Roman"/>
          <w:sz w:val="24"/>
          <w:szCs w:val="24"/>
          <w:lang w:val="en-US"/>
        </w:rPr>
        <w:t xml:space="preserve"> use</w:t>
      </w:r>
      <w:r w:rsidRPr="00F25A08">
        <w:rPr>
          <w:rFonts w:ascii="Times New Roman" w:hAnsi="Times New Roman" w:cs="Times New Roman"/>
          <w:sz w:val="24"/>
          <w:szCs w:val="24"/>
          <w:lang w:val="en-US"/>
        </w:rPr>
        <w:t xml:space="preserve"> </w:t>
      </w:r>
      <w:r>
        <w:rPr>
          <w:rFonts w:ascii="Times New Roman" w:hAnsi="Times New Roman" w:cs="Times New Roman"/>
          <w:sz w:val="24"/>
          <w:szCs w:val="24"/>
          <w:lang w:val="en-US"/>
        </w:rPr>
        <w:t>among</w:t>
      </w:r>
      <w:r w:rsidRPr="00A821DE">
        <w:rPr>
          <w:rFonts w:ascii="Times New Roman" w:hAnsi="Times New Roman" w:cs="Times New Roman"/>
          <w:sz w:val="24"/>
          <w:szCs w:val="24"/>
          <w:lang w:val="en-US"/>
        </w:rPr>
        <w:t xml:space="preserve"> higher </w:t>
      </w:r>
      <w:r>
        <w:rPr>
          <w:rFonts w:ascii="Times New Roman" w:hAnsi="Times New Roman" w:cs="Times New Roman"/>
          <w:sz w:val="24"/>
          <w:szCs w:val="24"/>
          <w:lang w:val="en-US"/>
        </w:rPr>
        <w:t>SEP</w:t>
      </w:r>
      <w:r w:rsidRPr="006874F2">
        <w:rPr>
          <w:rFonts w:ascii="Times New Roman" w:hAnsi="Times New Roman" w:cs="Times New Roman"/>
          <w:sz w:val="24"/>
          <w:szCs w:val="24"/>
          <w:lang w:val="en-US"/>
        </w:rPr>
        <w:t xml:space="preserve"> groups</w:t>
      </w:r>
      <w:r>
        <w:rPr>
          <w:rFonts w:ascii="Times New Roman" w:hAnsi="Times New Roman" w:cs="Times New Roman"/>
          <w:sz w:val="24"/>
          <w:szCs w:val="24"/>
          <w:lang w:val="en-US"/>
        </w:rPr>
        <w:t>.</w:t>
      </w:r>
      <w:r>
        <w:rPr>
          <w:rFonts w:ascii="Times New Roman" w:hAnsi="Times New Roman" w:cs="Times New Roman"/>
          <w:sz w:val="24"/>
          <w:szCs w:val="24"/>
          <w:lang w:val="en-GB"/>
        </w:rPr>
        <w:t xml:space="preserve"> T</w:t>
      </w:r>
      <w:r w:rsidRPr="00C336BF">
        <w:rPr>
          <w:rFonts w:ascii="Times New Roman" w:hAnsi="Times New Roman" w:cs="Times New Roman"/>
          <w:sz w:val="24"/>
          <w:szCs w:val="24"/>
          <w:lang w:val="en-GB"/>
        </w:rPr>
        <w:t>his was observed after adjusting for health need</w:t>
      </w:r>
      <w:r>
        <w:rPr>
          <w:rFonts w:ascii="Times New Roman" w:hAnsi="Times New Roman" w:cs="Times New Roman"/>
          <w:sz w:val="24"/>
          <w:szCs w:val="24"/>
          <w:lang w:val="en-GB"/>
        </w:rPr>
        <w:t xml:space="preserve"> and</w:t>
      </w:r>
      <w:r w:rsidRPr="00C336BF">
        <w:rPr>
          <w:rFonts w:ascii="Times New Roman" w:hAnsi="Times New Roman" w:cs="Times New Roman"/>
          <w:sz w:val="24"/>
          <w:szCs w:val="24"/>
          <w:lang w:val="en-GB"/>
        </w:rPr>
        <w:t xml:space="preserve"> was</w:t>
      </w:r>
      <w:r>
        <w:rPr>
          <w:rFonts w:ascii="Times New Roman" w:hAnsi="Times New Roman" w:cs="Times New Roman"/>
          <w:sz w:val="24"/>
          <w:szCs w:val="24"/>
          <w:lang w:val="en-GB"/>
        </w:rPr>
        <w:t xml:space="preserve"> found to be</w:t>
      </w:r>
      <w:r w:rsidRPr="00C336BF">
        <w:rPr>
          <w:rFonts w:ascii="Times New Roman" w:hAnsi="Times New Roman" w:cs="Times New Roman"/>
          <w:sz w:val="24"/>
          <w:szCs w:val="24"/>
          <w:lang w:val="en-GB"/>
        </w:rPr>
        <w:t xml:space="preserve"> the case for</w:t>
      </w:r>
      <w:r>
        <w:rPr>
          <w:rFonts w:ascii="Times New Roman" w:hAnsi="Times New Roman" w:cs="Times New Roman"/>
          <w:sz w:val="24"/>
          <w:szCs w:val="24"/>
          <w:lang w:val="en-GB"/>
        </w:rPr>
        <w:t xml:space="preserve"> several countries for</w:t>
      </w:r>
      <w:r w:rsidRPr="00C336BF">
        <w:rPr>
          <w:rFonts w:ascii="Times New Roman" w:hAnsi="Times New Roman" w:cs="Times New Roman"/>
          <w:sz w:val="24"/>
          <w:szCs w:val="24"/>
          <w:lang w:val="en-GB"/>
        </w:rPr>
        <w:t xml:space="preserve"> education</w:t>
      </w:r>
      <w:r w:rsidR="00DE59C7">
        <w:rPr>
          <w:rFonts w:ascii="Times New Roman" w:hAnsi="Times New Roman" w:cs="Times New Roman"/>
          <w:sz w:val="24"/>
          <w:szCs w:val="24"/>
          <w:lang w:val="en-GB"/>
        </w:rPr>
        <w:t xml:space="preserve"> (Portugal, Norway, the Czech Republic, the UK, Austria, Finland, Spain, Sweden and France)</w:t>
      </w:r>
      <w:r w:rsidRPr="00C336BF">
        <w:rPr>
          <w:rFonts w:ascii="Times New Roman" w:hAnsi="Times New Roman" w:cs="Times New Roman"/>
          <w:sz w:val="24"/>
          <w:szCs w:val="24"/>
          <w:lang w:val="en-GB"/>
        </w:rPr>
        <w:t>, occupational class</w:t>
      </w:r>
      <w:r w:rsidR="00BF34FA">
        <w:rPr>
          <w:rFonts w:ascii="Times New Roman" w:hAnsi="Times New Roman" w:cs="Times New Roman"/>
          <w:sz w:val="24"/>
          <w:szCs w:val="24"/>
          <w:lang w:val="en-GB"/>
        </w:rPr>
        <w:t xml:space="preserve"> (Sweden, Switzerland, Estonia, France, the Czech Republic, Austria, Hungary and Denmark)</w:t>
      </w:r>
      <w:r w:rsidR="00941A18">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and social network</w:t>
      </w:r>
      <w:r w:rsidR="00517F85">
        <w:rPr>
          <w:rFonts w:ascii="Times New Roman" w:hAnsi="Times New Roman" w:cs="Times New Roman"/>
          <w:sz w:val="24"/>
          <w:szCs w:val="24"/>
          <w:lang w:val="en-GB"/>
        </w:rPr>
        <w:t>s</w:t>
      </w:r>
      <w:r w:rsidR="00BF34FA">
        <w:rPr>
          <w:rFonts w:ascii="Times New Roman" w:hAnsi="Times New Roman" w:cs="Times New Roman"/>
          <w:sz w:val="24"/>
          <w:szCs w:val="24"/>
          <w:lang w:val="en-GB"/>
        </w:rPr>
        <w:t xml:space="preserve"> (the Czech Republic, Norway, Austria and Finland)</w:t>
      </w:r>
      <w:r w:rsidR="00517F8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while th</w:t>
      </w:r>
      <w:r>
        <w:rPr>
          <w:rFonts w:ascii="Times New Roman" w:hAnsi="Times New Roman" w:cs="Times New Roman"/>
          <w:sz w:val="24"/>
          <w:szCs w:val="24"/>
          <w:lang w:val="en-GB"/>
        </w:rPr>
        <w:t>is</w:t>
      </w:r>
      <w:r w:rsidRPr="00C336BF">
        <w:rPr>
          <w:rFonts w:ascii="Times New Roman" w:hAnsi="Times New Roman" w:cs="Times New Roman"/>
          <w:sz w:val="24"/>
          <w:szCs w:val="24"/>
          <w:lang w:val="en-GB"/>
        </w:rPr>
        <w:t xml:space="preserve"> </w:t>
      </w:r>
      <w:r>
        <w:rPr>
          <w:rFonts w:ascii="Times New Roman" w:hAnsi="Times New Roman" w:cs="Times New Roman"/>
          <w:sz w:val="24"/>
          <w:szCs w:val="24"/>
          <w:lang w:val="en-GB"/>
        </w:rPr>
        <w:t>was not observed for</w:t>
      </w:r>
      <w:r w:rsidRPr="00C336BF">
        <w:rPr>
          <w:rFonts w:ascii="Times New Roman" w:hAnsi="Times New Roman" w:cs="Times New Roman"/>
          <w:sz w:val="24"/>
          <w:szCs w:val="24"/>
          <w:lang w:val="en-GB"/>
        </w:rPr>
        <w:t xml:space="preserve"> financial</w:t>
      </w:r>
      <w:r w:rsidR="00517F85">
        <w:rPr>
          <w:rFonts w:ascii="Times New Roman" w:hAnsi="Times New Roman" w:cs="Times New Roman"/>
          <w:sz w:val="24"/>
          <w:szCs w:val="24"/>
          <w:lang w:val="en-GB"/>
        </w:rPr>
        <w:t xml:space="preserve"> strain.</w:t>
      </w:r>
      <w:r w:rsidRPr="00C336B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Moreover, countries with inequalities in GP use in favour of high SEP groups such as Poland, Estonia, Belgium and France tend to preserve a positive association between high SES and specialist utilization and in some instances demonstrated </w:t>
      </w:r>
      <w:r w:rsidRPr="006874F2">
        <w:rPr>
          <w:rFonts w:ascii="Times New Roman" w:hAnsi="Times New Roman" w:cs="Times New Roman"/>
          <w:sz w:val="24"/>
          <w:szCs w:val="24"/>
          <w:lang w:val="en-US"/>
        </w:rPr>
        <w:t>comparable levels of inequalities in specialist care utilization</w:t>
      </w:r>
      <w:r>
        <w:rPr>
          <w:rFonts w:ascii="Times New Roman" w:hAnsi="Times New Roman" w:cs="Times New Roman"/>
          <w:sz w:val="24"/>
          <w:szCs w:val="24"/>
          <w:lang w:val="en-US"/>
        </w:rPr>
        <w:t>.</w:t>
      </w:r>
    </w:p>
    <w:p w14:paraId="1A81BD38" w14:textId="77777777" w:rsidR="00366335" w:rsidRPr="00C336BF" w:rsidRDefault="00366335" w:rsidP="00366335">
      <w:pPr>
        <w:pStyle w:val="NoSpacing"/>
        <w:jc w:val="both"/>
        <w:rPr>
          <w:rFonts w:ascii="Times New Roman" w:hAnsi="Times New Roman" w:cs="Times New Roman"/>
          <w:sz w:val="24"/>
          <w:szCs w:val="24"/>
          <w:lang w:val="en-GB"/>
        </w:rPr>
      </w:pPr>
    </w:p>
    <w:p w14:paraId="44E1B309" w14:textId="16559843" w:rsidR="00366335" w:rsidRDefault="00366335" w:rsidP="00366335">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Therefore, independently of the distribution of GP utilization, across a</w:t>
      </w:r>
      <w:r w:rsidR="00941A18">
        <w:rPr>
          <w:rFonts w:ascii="Times New Roman" w:hAnsi="Times New Roman" w:cs="Times New Roman"/>
          <w:sz w:val="24"/>
          <w:szCs w:val="24"/>
          <w:lang w:val="en-GB"/>
        </w:rPr>
        <w:t>ll countries and social markers</w:t>
      </w:r>
      <w:r>
        <w:rPr>
          <w:rFonts w:ascii="Times New Roman" w:hAnsi="Times New Roman" w:cs="Times New Roman"/>
          <w:sz w:val="24"/>
          <w:szCs w:val="24"/>
          <w:lang w:val="en-GB"/>
        </w:rPr>
        <w:t xml:space="preserve"> (with exception of financial strain), people from higher SEP groups were more likely to use secondary care, even for the same level of need as lower status groups. </w:t>
      </w:r>
      <w:r w:rsidRPr="00C336BF">
        <w:rPr>
          <w:rFonts w:ascii="Times New Roman" w:hAnsi="Times New Roman" w:cs="Times New Roman"/>
          <w:sz w:val="24"/>
          <w:szCs w:val="24"/>
          <w:lang w:val="en-GB"/>
        </w:rPr>
        <w:t xml:space="preserve">We hypothesise that this is because higher SEP groups have more flexible resources available that can help obtain such care to a </w:t>
      </w:r>
      <w:r>
        <w:rPr>
          <w:rFonts w:ascii="Times New Roman" w:hAnsi="Times New Roman" w:cs="Times New Roman"/>
          <w:sz w:val="24"/>
          <w:szCs w:val="24"/>
          <w:lang w:val="en-GB"/>
        </w:rPr>
        <w:t>greater</w:t>
      </w:r>
      <w:r w:rsidRPr="00C336BF">
        <w:rPr>
          <w:rFonts w:ascii="Times New Roman" w:hAnsi="Times New Roman" w:cs="Times New Roman"/>
          <w:sz w:val="24"/>
          <w:szCs w:val="24"/>
          <w:lang w:val="en-GB"/>
        </w:rPr>
        <w:t xml:space="preserve"> extent compared to lower SEP groups. The fact that inequa</w:t>
      </w:r>
      <w:r>
        <w:rPr>
          <w:rFonts w:ascii="Times New Roman" w:hAnsi="Times New Roman" w:cs="Times New Roman"/>
          <w:sz w:val="24"/>
          <w:szCs w:val="24"/>
          <w:lang w:val="en-GB"/>
        </w:rPr>
        <w:t>lities in health care use may stem</w:t>
      </w:r>
      <w:r w:rsidRPr="00C336BF">
        <w:rPr>
          <w:rFonts w:ascii="Times New Roman" w:hAnsi="Times New Roman" w:cs="Times New Roman"/>
          <w:sz w:val="24"/>
          <w:szCs w:val="24"/>
          <w:lang w:val="en-GB"/>
        </w:rPr>
        <w:t xml:space="preserve"> from the availability of resources </w:t>
      </w:r>
      <w:r w:rsidRPr="007B4E08">
        <w:rPr>
          <w:rFonts w:ascii="Times New Roman" w:hAnsi="Times New Roman" w:cs="Times New Roman"/>
          <w:sz w:val="24"/>
          <w:szCs w:val="24"/>
          <w:lang w:val="en-GB"/>
        </w:rPr>
        <w:t>may</w:t>
      </w:r>
      <w:r>
        <w:rPr>
          <w:rFonts w:ascii="Times New Roman" w:hAnsi="Times New Roman" w:cs="Times New Roman"/>
          <w:b/>
          <w:sz w:val="24"/>
          <w:szCs w:val="24"/>
          <w:lang w:val="en-GB"/>
        </w:rPr>
        <w:t xml:space="preserve"> </w:t>
      </w:r>
      <w:r w:rsidRPr="00C336BF">
        <w:rPr>
          <w:rFonts w:ascii="Times New Roman" w:hAnsi="Times New Roman" w:cs="Times New Roman"/>
          <w:sz w:val="24"/>
          <w:szCs w:val="24"/>
          <w:lang w:val="en-GB"/>
        </w:rPr>
        <w:t>explain why we find larger socioeconomic inequalities in mortality for amenable causes of death in Europe, as compared to less preventable causes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8 16</w:t>
      </w:r>
      <w:r w:rsidRPr="00C336BF">
        <w:rPr>
          <w:rFonts w:ascii="Times New Roman" w:hAnsi="Times New Roman" w:cs="Times New Roman"/>
          <w:sz w:val="24"/>
          <w:szCs w:val="24"/>
          <w:lang w:val="en-GB"/>
        </w:rPr>
        <w:t>.</w:t>
      </w:r>
    </w:p>
    <w:p w14:paraId="4D60F487" w14:textId="77777777" w:rsidR="00366335" w:rsidRPr="00C336BF" w:rsidRDefault="00366335" w:rsidP="00D73B69">
      <w:pPr>
        <w:pStyle w:val="NoSpacing"/>
        <w:jc w:val="both"/>
        <w:rPr>
          <w:rFonts w:ascii="Times New Roman" w:hAnsi="Times New Roman" w:cs="Times New Roman"/>
          <w:sz w:val="24"/>
          <w:szCs w:val="24"/>
          <w:lang w:val="en-GB"/>
        </w:rPr>
      </w:pPr>
    </w:p>
    <w:p w14:paraId="5BCF913B" w14:textId="561F3A7D" w:rsidR="00FD231C" w:rsidRPr="00C336BF" w:rsidRDefault="00E25BDB" w:rsidP="00D73B69">
      <w:pPr>
        <w:pStyle w:val="NoSpacing"/>
        <w:jc w:val="both"/>
        <w:rPr>
          <w:rFonts w:ascii="Times New Roman" w:hAnsi="Times New Roman" w:cs="Times New Roman"/>
          <w:sz w:val="24"/>
          <w:szCs w:val="24"/>
          <w:lang w:val="en-US"/>
        </w:rPr>
      </w:pPr>
      <w:r w:rsidRPr="00C336BF">
        <w:rPr>
          <w:rFonts w:ascii="Times New Roman" w:hAnsi="Times New Roman" w:cs="Times New Roman"/>
          <w:sz w:val="24"/>
          <w:szCs w:val="24"/>
          <w:lang w:val="en-GB"/>
        </w:rPr>
        <w:t xml:space="preserve">Inequalities in specialist use were larger compared to GP use, which is in line with the overall picture that those with higher SEP </w:t>
      </w:r>
      <w:r>
        <w:rPr>
          <w:rFonts w:ascii="Times New Roman" w:hAnsi="Times New Roman" w:cs="Times New Roman"/>
          <w:sz w:val="24"/>
          <w:szCs w:val="24"/>
          <w:lang w:val="en-GB"/>
        </w:rPr>
        <w:t>utilize</w:t>
      </w:r>
      <w:r w:rsidRPr="00C336BF">
        <w:rPr>
          <w:rFonts w:ascii="Times New Roman" w:hAnsi="Times New Roman" w:cs="Times New Roman"/>
          <w:sz w:val="24"/>
          <w:szCs w:val="24"/>
          <w:lang w:val="en-GB"/>
        </w:rPr>
        <w:t xml:space="preserve"> more specialist care. In particular, these inequalities were mainly related to education and occupation, which were demonstrated in around half of the countries. People in different SEP groups may have different preferences </w:t>
      </w:r>
      <w:r>
        <w:rPr>
          <w:rFonts w:ascii="Times New Roman" w:hAnsi="Times New Roman" w:cs="Times New Roman"/>
          <w:sz w:val="24"/>
          <w:szCs w:val="24"/>
          <w:lang w:val="en-GB"/>
        </w:rPr>
        <w:t>for</w:t>
      </w:r>
      <w:r w:rsidRPr="00C336BF">
        <w:rPr>
          <w:rFonts w:ascii="Times New Roman" w:hAnsi="Times New Roman" w:cs="Times New Roman"/>
          <w:sz w:val="24"/>
          <w:szCs w:val="24"/>
          <w:lang w:val="en-GB"/>
        </w:rPr>
        <w:t xml:space="preserve"> who they consult with in the health care system</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3</w:t>
      </w:r>
      <w:r w:rsidRPr="00C336BF">
        <w:rPr>
          <w:rFonts w:ascii="Times New Roman" w:hAnsi="Times New Roman" w:cs="Times New Roman"/>
          <w:sz w:val="24"/>
          <w:szCs w:val="24"/>
          <w:lang w:val="en-GB"/>
        </w:rPr>
        <w:t xml:space="preserve">. For example, those with lower SEP may prefer to communicate with their GP compared to a specialist, as a GP could be perceived as more </w:t>
      </w:r>
      <w:r w:rsidRPr="00C336BF">
        <w:rPr>
          <w:rFonts w:ascii="Times New Roman" w:hAnsi="Times New Roman" w:cs="Times New Roman"/>
          <w:sz w:val="24"/>
          <w:szCs w:val="24"/>
          <w:lang w:val="en-GB"/>
        </w:rPr>
        <w:lastRenderedPageBreak/>
        <w:t xml:space="preserve">trustworthy and capable of discussing a disease with a particular patient; forming a relationship with a GP could be an important factor in this regard. On the other hand, people with high SEP may be more </w:t>
      </w:r>
      <w:r>
        <w:rPr>
          <w:rFonts w:ascii="Times New Roman" w:hAnsi="Times New Roman" w:cs="Times New Roman"/>
          <w:sz w:val="24"/>
          <w:szCs w:val="24"/>
          <w:lang w:val="en-GB"/>
        </w:rPr>
        <w:t>interested</w:t>
      </w:r>
      <w:r w:rsidRPr="00C336BF">
        <w:rPr>
          <w:rFonts w:ascii="Times New Roman" w:hAnsi="Times New Roman" w:cs="Times New Roman"/>
          <w:sz w:val="24"/>
          <w:szCs w:val="24"/>
          <w:lang w:val="en-GB"/>
        </w:rPr>
        <w:t xml:space="preserve"> </w:t>
      </w:r>
      <w:r>
        <w:rPr>
          <w:rFonts w:ascii="Times New Roman" w:hAnsi="Times New Roman" w:cs="Times New Roman"/>
          <w:sz w:val="24"/>
          <w:szCs w:val="24"/>
          <w:lang w:val="en-GB"/>
        </w:rPr>
        <w:t>in</w:t>
      </w:r>
      <w:r w:rsidRPr="00C336BF">
        <w:rPr>
          <w:rFonts w:ascii="Times New Roman" w:hAnsi="Times New Roman" w:cs="Times New Roman"/>
          <w:sz w:val="24"/>
          <w:szCs w:val="24"/>
          <w:lang w:val="en-GB"/>
        </w:rPr>
        <w:t xml:space="preserve"> consult</w:t>
      </w:r>
      <w:r>
        <w:rPr>
          <w:rFonts w:ascii="Times New Roman" w:hAnsi="Times New Roman" w:cs="Times New Roman"/>
          <w:sz w:val="24"/>
          <w:szCs w:val="24"/>
          <w:lang w:val="en-GB"/>
        </w:rPr>
        <w:t>ing with</w:t>
      </w:r>
      <w:r w:rsidRPr="00C336BF">
        <w:rPr>
          <w:rFonts w:ascii="Times New Roman" w:hAnsi="Times New Roman" w:cs="Times New Roman"/>
          <w:sz w:val="24"/>
          <w:szCs w:val="24"/>
          <w:lang w:val="en-GB"/>
        </w:rPr>
        <w:t xml:space="preserve"> a specialist because of the wish to consult with someone who possesses special knowledge within a specific field of competence.</w:t>
      </w:r>
      <w:r>
        <w:rPr>
          <w:rFonts w:ascii="Times New Roman" w:hAnsi="Times New Roman" w:cs="Times New Roman"/>
          <w:sz w:val="24"/>
          <w:szCs w:val="24"/>
          <w:lang w:val="en-GB"/>
        </w:rPr>
        <w:t xml:space="preserve"> Such preferences may be associated with knowledge about the health care system, which may be related to resources like education.</w:t>
      </w:r>
      <w:r w:rsidRPr="00C336BF">
        <w:rPr>
          <w:rFonts w:ascii="Times New Roman" w:hAnsi="Times New Roman" w:cs="Times New Roman"/>
          <w:sz w:val="24"/>
          <w:szCs w:val="24"/>
          <w:lang w:val="en-GB"/>
        </w:rPr>
        <w:t xml:space="preserve"> Further qualitative work, exploring different experiences for people accessing health care between high and low SEP groups across European welfare states would be valuable.</w:t>
      </w:r>
    </w:p>
    <w:p w14:paraId="0BDA3D3A" w14:textId="77777777" w:rsidR="00BF34FA" w:rsidRDefault="00BF34FA" w:rsidP="00D73B69">
      <w:pPr>
        <w:pStyle w:val="NoSpacing"/>
        <w:jc w:val="both"/>
        <w:rPr>
          <w:rFonts w:ascii="Times New Roman" w:hAnsi="Times New Roman" w:cs="Times New Roman"/>
          <w:sz w:val="24"/>
          <w:szCs w:val="24"/>
          <w:lang w:val="en-GB"/>
        </w:rPr>
      </w:pPr>
    </w:p>
    <w:p w14:paraId="455E0705" w14:textId="77777777"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With regards to social networks, the findings were less conclusive. One possible reason might be that the size of one`s personal network does not necessarily relate to superior access to health care, if the connections within the network do not have good access to resources themselves.</w:t>
      </w:r>
      <w:r>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 xml:space="preserve"> Further research should, therefore, investigate how the ‘quality’ and type of social network (e.g. friends versus family members) influences health care </w:t>
      </w:r>
      <w:r>
        <w:rPr>
          <w:rFonts w:ascii="Times New Roman" w:hAnsi="Times New Roman" w:cs="Times New Roman"/>
          <w:sz w:val="24"/>
          <w:szCs w:val="24"/>
          <w:lang w:val="en-GB"/>
        </w:rPr>
        <w:t>utilization</w:t>
      </w:r>
      <w:r w:rsidRPr="00C336BF">
        <w:rPr>
          <w:rFonts w:ascii="Times New Roman" w:hAnsi="Times New Roman" w:cs="Times New Roman"/>
          <w:sz w:val="24"/>
          <w:szCs w:val="24"/>
          <w:lang w:val="en-GB"/>
        </w:rPr>
        <w:t>.</w:t>
      </w:r>
    </w:p>
    <w:p w14:paraId="43402601" w14:textId="77777777" w:rsidR="00E25BDB" w:rsidRPr="003E5F85" w:rsidRDefault="00E25BDB" w:rsidP="00D73B69">
      <w:pPr>
        <w:pStyle w:val="NoSpacing"/>
        <w:jc w:val="both"/>
        <w:rPr>
          <w:rFonts w:ascii="Times New Roman" w:hAnsi="Times New Roman" w:cs="Times New Roman"/>
          <w:b/>
          <w:sz w:val="24"/>
          <w:szCs w:val="24"/>
          <w:lang w:val="en-GB"/>
        </w:rPr>
      </w:pPr>
    </w:p>
    <w:p w14:paraId="0EFED061" w14:textId="69FD6B0C"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Somewhat surprisingly, the least inequalities in specialist use were found between the financially</w:t>
      </w:r>
      <w:r>
        <w:rPr>
          <w:rFonts w:ascii="Times New Roman" w:hAnsi="Times New Roman" w:cs="Times New Roman"/>
          <w:sz w:val="24"/>
          <w:szCs w:val="24"/>
          <w:lang w:val="en-GB"/>
        </w:rPr>
        <w:t xml:space="preserve"> comfortable</w:t>
      </w:r>
      <w:r w:rsidRPr="00C336BF">
        <w:rPr>
          <w:rFonts w:ascii="Times New Roman" w:hAnsi="Times New Roman" w:cs="Times New Roman"/>
          <w:sz w:val="24"/>
          <w:szCs w:val="24"/>
          <w:lang w:val="en-GB"/>
        </w:rPr>
        <w:t xml:space="preserve"> and the </w:t>
      </w:r>
      <w:r>
        <w:rPr>
          <w:rFonts w:ascii="Times New Roman" w:hAnsi="Times New Roman" w:cs="Times New Roman"/>
          <w:sz w:val="24"/>
          <w:szCs w:val="24"/>
          <w:lang w:val="en-GB"/>
        </w:rPr>
        <w:t>financially strained</w:t>
      </w:r>
      <w:r w:rsidRPr="00C336BF">
        <w:rPr>
          <w:rFonts w:ascii="Times New Roman" w:hAnsi="Times New Roman" w:cs="Times New Roman"/>
          <w:sz w:val="24"/>
          <w:szCs w:val="24"/>
          <w:lang w:val="en-GB"/>
        </w:rPr>
        <w:t>. Given our findings – which are in con</w:t>
      </w:r>
      <w:r>
        <w:rPr>
          <w:rFonts w:ascii="Times New Roman" w:hAnsi="Times New Roman" w:cs="Times New Roman"/>
          <w:sz w:val="24"/>
          <w:szCs w:val="24"/>
          <w:lang w:val="en-GB"/>
        </w:rPr>
        <w:t>trast to previous literature</w:t>
      </w:r>
      <w:r w:rsidRPr="00AA5D17">
        <w:rPr>
          <w:rFonts w:ascii="Times New Roman" w:hAnsi="Times New Roman" w:cs="Times New Roman"/>
          <w:b/>
          <w:sz w:val="24"/>
          <w:szCs w:val="24"/>
          <w:lang w:val="en-GB"/>
        </w:rPr>
        <w:t xml:space="preserve"> </w:t>
      </w:r>
      <w:r w:rsidR="00FD231C" w:rsidRPr="00496E9D">
        <w:rPr>
          <w:rFonts w:ascii="Times New Roman" w:hAnsi="Times New Roman" w:cs="Times New Roman"/>
          <w:sz w:val="24"/>
          <w:szCs w:val="24"/>
          <w:lang w:val="en-GB"/>
        </w:rPr>
        <w:t>(</w:t>
      </w:r>
      <w:r>
        <w:rPr>
          <w:rFonts w:ascii="Times New Roman" w:hAnsi="Times New Roman" w:cs="Times New Roman"/>
          <w:noProof/>
          <w:sz w:val="24"/>
          <w:szCs w:val="24"/>
          <w:lang w:val="en-GB"/>
        </w:rPr>
        <w:t>e.g.</w:t>
      </w:r>
      <w:r w:rsidR="00FD231C">
        <w:rPr>
          <w:rFonts w:ascii="Times New Roman" w:hAnsi="Times New Roman" w:cs="Times New Roman"/>
          <w:noProof/>
          <w:sz w:val="24"/>
          <w:szCs w:val="24"/>
          <w:lang w:val="en-GB"/>
        </w:rPr>
        <w:t xml:space="preserve"> </w:t>
      </w:r>
      <w:r w:rsidR="00FD231C" w:rsidRPr="00496E9D">
        <w:rPr>
          <w:rFonts w:ascii="Times New Roman" w:hAnsi="Times New Roman" w:cs="Times New Roman"/>
          <w:sz w:val="24"/>
          <w:szCs w:val="24"/>
          <w:lang w:val="en-US"/>
        </w:rPr>
        <w:t xml:space="preserve">Van Doorslaer </w:t>
      </w:r>
      <w:r w:rsidR="00FD231C" w:rsidRPr="00496E9D">
        <w:rPr>
          <w:rFonts w:ascii="Times New Roman" w:hAnsi="Times New Roman" w:cs="Times New Roman"/>
          <w:i/>
          <w:sz w:val="24"/>
          <w:szCs w:val="24"/>
          <w:lang w:val="en-US"/>
        </w:rPr>
        <w:t>et al</w:t>
      </w:r>
      <w:r w:rsidR="00E34685">
        <w:rPr>
          <w:rFonts w:ascii="Times New Roman" w:hAnsi="Times New Roman" w:cs="Times New Roman"/>
          <w:i/>
          <w:sz w:val="24"/>
          <w:szCs w:val="24"/>
          <w:lang w:val="en-US"/>
        </w:rPr>
        <w:t>.</w:t>
      </w:r>
      <w:r w:rsidRPr="00E958FF">
        <w:rPr>
          <w:rFonts w:ascii="Times New Roman" w:hAnsi="Times New Roman" w:cs="Times New Roman"/>
          <w:noProof/>
          <w:sz w:val="24"/>
          <w:szCs w:val="24"/>
          <w:vertAlign w:val="superscript"/>
          <w:lang w:val="en-GB"/>
        </w:rPr>
        <w:t>2</w:t>
      </w:r>
      <w:r w:rsidR="00FD231C">
        <w:rPr>
          <w:rFonts w:ascii="Times New Roman" w:hAnsi="Times New Roman" w:cs="Times New Roman"/>
          <w:noProof/>
          <w:sz w:val="24"/>
          <w:szCs w:val="24"/>
          <w:lang w:val="en-GB"/>
        </w:rPr>
        <w:t xml:space="preserve">) </w:t>
      </w:r>
      <w:r w:rsidRPr="00C336BF">
        <w:rPr>
          <w:rFonts w:ascii="Times New Roman" w:hAnsi="Times New Roman" w:cs="Times New Roman"/>
          <w:sz w:val="24"/>
          <w:szCs w:val="24"/>
          <w:lang w:val="en-GB"/>
        </w:rPr>
        <w:t>– it could be argued that income is perhaps the least flexible indicator of SEP. Although education, occupation and income are tightly interwoven markers of socio-economic position, it appears that income is contingent upon educational and occupational status to gain better access to specialist health services. Drawing on the work of Pierre Bourdieu</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17</w:t>
      </w:r>
      <w:r w:rsidRPr="00C336BF">
        <w:rPr>
          <w:rFonts w:ascii="Times New Roman" w:hAnsi="Times New Roman" w:cs="Times New Roman"/>
          <w:sz w:val="24"/>
          <w:szCs w:val="24"/>
          <w:lang w:val="en-GB"/>
        </w:rPr>
        <w:t xml:space="preserve">, we suggest that the accumulated resources of money, knowledge, prestige, power, and social connections together constitute a form of </w:t>
      </w:r>
      <w:r w:rsidRPr="00C336BF">
        <w:rPr>
          <w:rFonts w:ascii="Times New Roman" w:hAnsi="Times New Roman" w:cs="Times New Roman"/>
          <w:i/>
          <w:sz w:val="24"/>
          <w:szCs w:val="24"/>
          <w:lang w:val="en-GB"/>
        </w:rPr>
        <w:t>health systems capital</w:t>
      </w:r>
      <w:r w:rsidRPr="00C336B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In this study, whenever a marker of inequality is significant, it depicts only its independent contribution to inequalities in access to health care. For individuals who are at the intersection of different social positions, the combination of these markers has a synergic effect on their probability of accessing health care. This effect could be positive or negative, depending on the accumulation of advantageous and disadvantageous positions, which seems especially to be the case for access to specialist care.  </w:t>
      </w:r>
    </w:p>
    <w:p w14:paraId="608CCECF" w14:textId="77777777" w:rsidR="00E25BDB" w:rsidRPr="00C336BF" w:rsidRDefault="00E25BDB" w:rsidP="00D73B69">
      <w:pPr>
        <w:pStyle w:val="NoSpacing"/>
        <w:jc w:val="both"/>
        <w:rPr>
          <w:rFonts w:ascii="Times New Roman" w:hAnsi="Times New Roman" w:cs="Times New Roman"/>
          <w:sz w:val="24"/>
          <w:szCs w:val="24"/>
          <w:lang w:val="en-GB"/>
        </w:rPr>
      </w:pPr>
    </w:p>
    <w:p w14:paraId="14E6D689" w14:textId="77777777"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 xml:space="preserve">Education stands out in our study as a particularly important indicator of health care </w:t>
      </w:r>
      <w:r>
        <w:rPr>
          <w:rFonts w:ascii="Times New Roman" w:hAnsi="Times New Roman" w:cs="Times New Roman"/>
          <w:sz w:val="24"/>
          <w:szCs w:val="24"/>
          <w:lang w:val="en-GB"/>
        </w:rPr>
        <w:t>utilization</w:t>
      </w:r>
      <w:r w:rsidRPr="00C336BF">
        <w:rPr>
          <w:rFonts w:ascii="Times New Roman" w:hAnsi="Times New Roman" w:cs="Times New Roman"/>
          <w:sz w:val="24"/>
          <w:szCs w:val="24"/>
          <w:lang w:val="en-GB"/>
        </w:rPr>
        <w:t>. Previous studies have also indicated that education is a stronger determinant of health care use compared to income and employment status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18 19</w:t>
      </w:r>
      <w:r w:rsidRPr="00C336BF">
        <w:rPr>
          <w:rFonts w:ascii="Times New Roman" w:hAnsi="Times New Roman" w:cs="Times New Roman"/>
          <w:sz w:val="24"/>
          <w:szCs w:val="24"/>
          <w:lang w:val="en-GB"/>
        </w:rPr>
        <w:t xml:space="preserve">. Indeed, a study by Stirbu </w:t>
      </w:r>
      <w:r w:rsidRPr="00496E9D">
        <w:rPr>
          <w:rFonts w:ascii="Times New Roman" w:hAnsi="Times New Roman" w:cs="Times New Roman"/>
          <w:i/>
          <w:sz w:val="24"/>
          <w:szCs w:val="24"/>
          <w:lang w:val="en-GB"/>
        </w:rPr>
        <w:t>et al</w:t>
      </w:r>
      <w:r w:rsidRPr="00C336B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3</w:t>
      </w:r>
      <w:r w:rsidRPr="00C336BF">
        <w:rPr>
          <w:rFonts w:ascii="Times New Roman" w:hAnsi="Times New Roman" w:cs="Times New Roman"/>
          <w:sz w:val="24"/>
          <w:szCs w:val="24"/>
          <w:lang w:val="en-GB"/>
        </w:rPr>
        <w:t xml:space="preserve"> showed that educational inequalities were present in all countries after adjusting for self-reported health. We acknowledge that higher education consistently yields better wages, more knowledge, more prestige, more power and more valuable social connections, but it appears that education as an overall indicator is important predictor for health care </w:t>
      </w:r>
      <w:r>
        <w:rPr>
          <w:rFonts w:ascii="Times New Roman" w:hAnsi="Times New Roman" w:cs="Times New Roman"/>
          <w:sz w:val="24"/>
          <w:szCs w:val="24"/>
          <w:lang w:val="en-GB"/>
        </w:rPr>
        <w:t>utilization</w:t>
      </w:r>
      <w:r w:rsidRPr="00C336BF">
        <w:rPr>
          <w:rFonts w:ascii="Times New Roman" w:hAnsi="Times New Roman" w:cs="Times New Roman"/>
          <w:sz w:val="24"/>
          <w:szCs w:val="24"/>
          <w:lang w:val="en-GB"/>
        </w:rPr>
        <w:t xml:space="preserve"> – especially considering our findings that the </w:t>
      </w:r>
      <w:r>
        <w:rPr>
          <w:rFonts w:ascii="Times New Roman" w:hAnsi="Times New Roman" w:cs="Times New Roman"/>
          <w:sz w:val="24"/>
          <w:szCs w:val="24"/>
          <w:lang w:val="en-GB"/>
        </w:rPr>
        <w:t>fewest</w:t>
      </w:r>
      <w:r w:rsidRPr="00C336BF">
        <w:rPr>
          <w:rFonts w:ascii="Times New Roman" w:hAnsi="Times New Roman" w:cs="Times New Roman"/>
          <w:sz w:val="24"/>
          <w:szCs w:val="24"/>
          <w:lang w:val="en-GB"/>
        </w:rPr>
        <w:t xml:space="preserve"> inequalities were found between </w:t>
      </w:r>
      <w:r>
        <w:rPr>
          <w:rFonts w:ascii="Times New Roman" w:hAnsi="Times New Roman" w:cs="Times New Roman"/>
          <w:sz w:val="24"/>
          <w:szCs w:val="24"/>
          <w:lang w:val="en-GB"/>
        </w:rPr>
        <w:t>utilization</w:t>
      </w:r>
      <w:r w:rsidRPr="00C336BF">
        <w:rPr>
          <w:rFonts w:ascii="Times New Roman" w:hAnsi="Times New Roman" w:cs="Times New Roman"/>
          <w:sz w:val="24"/>
          <w:szCs w:val="24"/>
          <w:lang w:val="en-GB"/>
        </w:rPr>
        <w:t xml:space="preserve"> and financial resource. The benefits of education may also be true for occupation but, according to our results, it seems that the occupational hierarchy does not work as an equally strong predictor for health care use.  </w:t>
      </w:r>
    </w:p>
    <w:p w14:paraId="76C0F87E" w14:textId="77777777" w:rsidR="00E25BDB" w:rsidRPr="00C336BF" w:rsidRDefault="00E25BDB" w:rsidP="00D73B69">
      <w:pPr>
        <w:pStyle w:val="NoSpacing"/>
        <w:jc w:val="both"/>
        <w:rPr>
          <w:rFonts w:ascii="Times New Roman" w:hAnsi="Times New Roman" w:cs="Times New Roman"/>
          <w:sz w:val="24"/>
          <w:szCs w:val="24"/>
          <w:lang w:val="en-GB"/>
        </w:rPr>
      </w:pPr>
    </w:p>
    <w:p w14:paraId="6409F8DA" w14:textId="77777777"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GB"/>
        </w:rPr>
        <w:t>Austria, France, Czech Republic and Finland all demonstrated inequalities in specialist use for the markers education, occupation and social networks. With the exception of Czech Republic, these countries also seem to have a higher use of health care specialists. This could also point to system-related reasons, such as the organization of health care, expenditure, financing and access regulation</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20</w:t>
      </w:r>
      <w:r w:rsidRPr="00C336BF">
        <w:rPr>
          <w:rFonts w:ascii="Times New Roman" w:hAnsi="Times New Roman" w:cs="Times New Roman"/>
          <w:sz w:val="24"/>
          <w:szCs w:val="24"/>
          <w:lang w:val="en-GB"/>
        </w:rPr>
        <w:t xml:space="preserve">. Still, we were not able to find systematic variations between these factors and the degree of inequalities. </w:t>
      </w:r>
      <w:r w:rsidRPr="00C336BF">
        <w:rPr>
          <w:rFonts w:ascii="Times New Roman" w:hAnsi="Times New Roman" w:cs="Times New Roman"/>
          <w:sz w:val="24"/>
          <w:szCs w:val="24"/>
          <w:lang w:val="en-US"/>
        </w:rPr>
        <w:t>Wendt and Kohl</w:t>
      </w:r>
      <w:r>
        <w:rPr>
          <w:rFonts w:ascii="Times New Roman" w:hAnsi="Times New Roman" w:cs="Times New Roman"/>
          <w:sz w:val="24"/>
          <w:szCs w:val="24"/>
          <w:lang w:val="en-US"/>
        </w:rPr>
        <w:t xml:space="preserve"> </w:t>
      </w:r>
      <w:r w:rsidRPr="00E958FF">
        <w:rPr>
          <w:rFonts w:ascii="Times New Roman" w:hAnsi="Times New Roman" w:cs="Times New Roman"/>
          <w:noProof/>
          <w:sz w:val="24"/>
          <w:szCs w:val="24"/>
          <w:vertAlign w:val="superscript"/>
          <w:lang w:val="en-US"/>
        </w:rPr>
        <w:t>21</w:t>
      </w:r>
      <w:r w:rsidRPr="00C336BF">
        <w:rPr>
          <w:rFonts w:ascii="Times New Roman" w:hAnsi="Times New Roman" w:cs="Times New Roman"/>
          <w:sz w:val="24"/>
          <w:szCs w:val="24"/>
          <w:lang w:val="en-US"/>
        </w:rPr>
        <w:t xml:space="preserve"> have argued </w:t>
      </w:r>
      <w:r>
        <w:rPr>
          <w:rFonts w:ascii="Times New Roman" w:hAnsi="Times New Roman" w:cs="Times New Roman"/>
          <w:sz w:val="24"/>
          <w:szCs w:val="24"/>
          <w:lang w:val="en-US"/>
        </w:rPr>
        <w:t xml:space="preserve">that </w:t>
      </w:r>
      <w:r w:rsidRPr="00C336BF">
        <w:rPr>
          <w:rFonts w:ascii="Times New Roman" w:hAnsi="Times New Roman" w:cs="Times New Roman"/>
          <w:sz w:val="24"/>
          <w:szCs w:val="24"/>
          <w:lang w:val="en-US"/>
        </w:rPr>
        <w:t>there is only a weak correlation between the financial resources invested in a nation’s health and the level of health employment</w:t>
      </w:r>
      <w:r>
        <w:rPr>
          <w:rFonts w:ascii="Times New Roman" w:hAnsi="Times New Roman" w:cs="Times New Roman"/>
          <w:sz w:val="24"/>
          <w:szCs w:val="24"/>
          <w:lang w:val="en-US"/>
        </w:rPr>
        <w:t>, such as health care providers</w:t>
      </w:r>
      <w:r w:rsidRPr="00C336BF">
        <w:rPr>
          <w:rFonts w:ascii="Times New Roman" w:hAnsi="Times New Roman" w:cs="Times New Roman"/>
          <w:sz w:val="24"/>
          <w:szCs w:val="24"/>
          <w:lang w:val="en-US"/>
        </w:rPr>
        <w:t xml:space="preserve">. It should be noted, however, that </w:t>
      </w:r>
      <w:r w:rsidRPr="00C336BF">
        <w:rPr>
          <w:rFonts w:ascii="Times New Roman" w:hAnsi="Times New Roman" w:cs="Times New Roman"/>
          <w:sz w:val="24"/>
          <w:szCs w:val="24"/>
          <w:lang w:val="en-GB"/>
        </w:rPr>
        <w:t>our study showed that Portugal, which has the lowest total health expenditure among our countries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22</w:t>
      </w:r>
      <w:r w:rsidRPr="00C336BF">
        <w:rPr>
          <w:rFonts w:ascii="Times New Roman" w:hAnsi="Times New Roman" w:cs="Times New Roman"/>
          <w:sz w:val="24"/>
          <w:szCs w:val="24"/>
          <w:lang w:val="en-GB"/>
        </w:rPr>
        <w:t xml:space="preserve">, actually </w:t>
      </w:r>
      <w:r w:rsidRPr="00C336BF">
        <w:rPr>
          <w:rFonts w:ascii="Times New Roman" w:hAnsi="Times New Roman" w:cs="Times New Roman"/>
          <w:sz w:val="24"/>
          <w:szCs w:val="24"/>
          <w:lang w:val="en-GB"/>
        </w:rPr>
        <w:lastRenderedPageBreak/>
        <w:t xml:space="preserve">had the largest educational inequalities in specialist use. Portugal also has a relatively high level of </w:t>
      </w:r>
      <w:r w:rsidRPr="00C336BF">
        <w:rPr>
          <w:rFonts w:ascii="Times New Roman" w:hAnsi="Times New Roman" w:cs="Times New Roman"/>
          <w:sz w:val="24"/>
          <w:szCs w:val="24"/>
          <w:lang w:val="en-US"/>
        </w:rPr>
        <w:t>private out of pocket (OOP) payments</w:t>
      </w:r>
      <w:r>
        <w:rPr>
          <w:rFonts w:ascii="Times New Roman" w:hAnsi="Times New Roman" w:cs="Times New Roman"/>
          <w:sz w:val="24"/>
          <w:szCs w:val="24"/>
          <w:lang w:val="en-US"/>
        </w:rPr>
        <w:t xml:space="preserve"> </w:t>
      </w:r>
      <w:r w:rsidRPr="00E958FF">
        <w:rPr>
          <w:rFonts w:ascii="Times New Roman" w:hAnsi="Times New Roman" w:cs="Times New Roman"/>
          <w:noProof/>
          <w:sz w:val="24"/>
          <w:szCs w:val="24"/>
          <w:vertAlign w:val="superscript"/>
          <w:lang w:val="en-US"/>
        </w:rPr>
        <w:t>23</w:t>
      </w:r>
      <w:r w:rsidRPr="00C336BF">
        <w:rPr>
          <w:rFonts w:ascii="Times New Roman" w:hAnsi="Times New Roman" w:cs="Times New Roman"/>
          <w:sz w:val="24"/>
          <w:szCs w:val="24"/>
          <w:lang w:val="en-US"/>
        </w:rPr>
        <w:t>.</w:t>
      </w:r>
    </w:p>
    <w:p w14:paraId="6D9C9F6E" w14:textId="77777777" w:rsidR="00E25BDB" w:rsidRPr="003E5F85" w:rsidRDefault="00E25BDB" w:rsidP="00D73B69">
      <w:pPr>
        <w:pStyle w:val="NoSpacing"/>
        <w:jc w:val="both"/>
        <w:rPr>
          <w:rFonts w:ascii="Times New Roman" w:hAnsi="Times New Roman" w:cs="Times New Roman"/>
          <w:b/>
          <w:sz w:val="24"/>
          <w:szCs w:val="24"/>
          <w:lang w:val="en-GB"/>
        </w:rPr>
      </w:pPr>
    </w:p>
    <w:p w14:paraId="2C9D2FCE" w14:textId="77777777" w:rsidR="00E25BDB" w:rsidRPr="00C336BF" w:rsidRDefault="00E25BDB" w:rsidP="00D73B69">
      <w:pPr>
        <w:pStyle w:val="NoSpacing"/>
        <w:jc w:val="both"/>
        <w:rPr>
          <w:rFonts w:ascii="Times New Roman" w:hAnsi="Times New Roman" w:cs="Times New Roman"/>
          <w:sz w:val="24"/>
          <w:szCs w:val="24"/>
          <w:lang w:val="en-GB"/>
        </w:rPr>
      </w:pPr>
      <w:r w:rsidRPr="00C336BF">
        <w:rPr>
          <w:rFonts w:ascii="Times New Roman" w:hAnsi="Times New Roman" w:cs="Times New Roman"/>
          <w:sz w:val="24"/>
          <w:szCs w:val="24"/>
          <w:lang w:val="en-US"/>
        </w:rPr>
        <w:t xml:space="preserve">Access regulation includes different dimensions, such as the remuneration of GPs, which can be paid fee-for-service (e.g. France), per capita (the number of patients on the list) (e.g. </w:t>
      </w:r>
      <w:r>
        <w:rPr>
          <w:rFonts w:ascii="Times New Roman" w:hAnsi="Times New Roman" w:cs="Times New Roman"/>
          <w:sz w:val="24"/>
          <w:szCs w:val="24"/>
          <w:lang w:val="en-US"/>
        </w:rPr>
        <w:t xml:space="preserve">the </w:t>
      </w:r>
      <w:r w:rsidRPr="00C336BF">
        <w:rPr>
          <w:rFonts w:ascii="Times New Roman" w:hAnsi="Times New Roman" w:cs="Times New Roman"/>
          <w:sz w:val="24"/>
          <w:szCs w:val="24"/>
          <w:lang w:val="en-US"/>
        </w:rPr>
        <w:t>UK), or by fixed salary (e.g. Portugal)</w:t>
      </w:r>
      <w:r>
        <w:rPr>
          <w:rFonts w:ascii="Times New Roman" w:hAnsi="Times New Roman" w:cs="Times New Roman"/>
          <w:sz w:val="24"/>
          <w:szCs w:val="24"/>
          <w:lang w:val="en-US"/>
        </w:rPr>
        <w:t xml:space="preserve"> </w:t>
      </w:r>
      <w:r w:rsidRPr="00E958FF">
        <w:rPr>
          <w:rFonts w:ascii="Times New Roman" w:hAnsi="Times New Roman" w:cs="Times New Roman"/>
          <w:noProof/>
          <w:sz w:val="24"/>
          <w:szCs w:val="24"/>
          <w:vertAlign w:val="superscript"/>
          <w:lang w:val="en-US"/>
        </w:rPr>
        <w:t>20</w:t>
      </w:r>
      <w:r w:rsidRPr="00C336BF">
        <w:rPr>
          <w:rFonts w:ascii="Times New Roman" w:hAnsi="Times New Roman" w:cs="Times New Roman"/>
          <w:sz w:val="24"/>
          <w:szCs w:val="24"/>
          <w:lang w:val="en-US"/>
        </w:rPr>
        <w:t xml:space="preserve">. </w:t>
      </w:r>
      <w:r w:rsidRPr="00C336BF">
        <w:rPr>
          <w:rFonts w:ascii="Times New Roman" w:hAnsi="Times New Roman" w:cs="Times New Roman"/>
          <w:sz w:val="24"/>
          <w:szCs w:val="24"/>
          <w:lang w:val="en-GB"/>
        </w:rPr>
        <w:t>This is likely to affect the actual use of such services; for example, a fee-for-service payment may set an incentive for doctors to see their patients often, while payment per capita or a fixed salary may give an incentive to reduce the number of patient visits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23 24</w:t>
      </w:r>
      <w:r w:rsidRPr="00C336BF">
        <w:rPr>
          <w:rFonts w:ascii="Times New Roman" w:hAnsi="Times New Roman" w:cs="Times New Roman"/>
          <w:sz w:val="24"/>
          <w:szCs w:val="24"/>
          <w:lang w:val="en-GB"/>
        </w:rPr>
        <w:t xml:space="preserve">. </w:t>
      </w:r>
      <w:r w:rsidRPr="00C336BF">
        <w:rPr>
          <w:rFonts w:ascii="Times New Roman" w:hAnsi="Times New Roman" w:cs="Times New Roman"/>
          <w:sz w:val="24"/>
          <w:szCs w:val="24"/>
          <w:lang w:val="en-US"/>
        </w:rPr>
        <w:t xml:space="preserve">A second dimension relates to whether patients have free access to GPs or whether they have to sign </w:t>
      </w:r>
      <w:r>
        <w:rPr>
          <w:rFonts w:ascii="Times New Roman" w:hAnsi="Times New Roman" w:cs="Times New Roman"/>
          <w:sz w:val="24"/>
          <w:szCs w:val="24"/>
          <w:lang w:val="en-US"/>
        </w:rPr>
        <w:t>o</w:t>
      </w:r>
      <w:r w:rsidRPr="00C336BF">
        <w:rPr>
          <w:rFonts w:ascii="Times New Roman" w:hAnsi="Times New Roman" w:cs="Times New Roman"/>
          <w:sz w:val="24"/>
          <w:szCs w:val="24"/>
          <w:lang w:val="en-US"/>
        </w:rPr>
        <w:t>nto a GP</w:t>
      </w:r>
      <w:r>
        <w:rPr>
          <w:rFonts w:ascii="Times New Roman" w:hAnsi="Times New Roman" w:cs="Times New Roman"/>
          <w:sz w:val="24"/>
          <w:szCs w:val="24"/>
          <w:lang w:val="en-US"/>
        </w:rPr>
        <w:t>’</w:t>
      </w:r>
      <w:r w:rsidRPr="00C336BF">
        <w:rPr>
          <w:rFonts w:ascii="Times New Roman" w:hAnsi="Times New Roman" w:cs="Times New Roman"/>
          <w:sz w:val="24"/>
          <w:szCs w:val="24"/>
          <w:lang w:val="en-US"/>
        </w:rPr>
        <w:t>s list for a longer period, which is referred to as ‘gatekeeping’</w:t>
      </w:r>
      <w:r>
        <w:rPr>
          <w:rFonts w:ascii="Times New Roman" w:hAnsi="Times New Roman" w:cs="Times New Roman"/>
          <w:sz w:val="24"/>
          <w:szCs w:val="24"/>
          <w:lang w:val="en-US"/>
        </w:rPr>
        <w:t xml:space="preserve"> </w:t>
      </w:r>
      <w:r w:rsidRPr="00E958FF">
        <w:rPr>
          <w:rFonts w:ascii="Times New Roman" w:hAnsi="Times New Roman" w:cs="Times New Roman"/>
          <w:noProof/>
          <w:sz w:val="24"/>
          <w:szCs w:val="24"/>
          <w:vertAlign w:val="superscript"/>
          <w:lang w:val="en-US"/>
        </w:rPr>
        <w:t>23</w:t>
      </w:r>
      <w:r w:rsidRPr="00C336BF">
        <w:rPr>
          <w:rFonts w:ascii="Times New Roman" w:hAnsi="Times New Roman" w:cs="Times New Roman"/>
          <w:sz w:val="24"/>
          <w:szCs w:val="24"/>
          <w:lang w:val="en-US"/>
        </w:rPr>
        <w:t xml:space="preserve">. </w:t>
      </w:r>
      <w:r w:rsidRPr="00C336BF">
        <w:rPr>
          <w:rFonts w:ascii="Times New Roman" w:hAnsi="Times New Roman" w:cs="Times New Roman"/>
          <w:sz w:val="24"/>
          <w:szCs w:val="24"/>
          <w:lang w:val="en-GB"/>
        </w:rPr>
        <w:t xml:space="preserve">Patients may also have </w:t>
      </w:r>
      <w:r>
        <w:rPr>
          <w:rFonts w:ascii="Times New Roman" w:hAnsi="Times New Roman" w:cs="Times New Roman"/>
          <w:sz w:val="24"/>
          <w:szCs w:val="24"/>
          <w:lang w:val="en-GB"/>
        </w:rPr>
        <w:t>varying</w:t>
      </w:r>
      <w:r w:rsidRPr="00C336BF">
        <w:rPr>
          <w:rFonts w:ascii="Times New Roman" w:hAnsi="Times New Roman" w:cs="Times New Roman"/>
          <w:sz w:val="24"/>
          <w:szCs w:val="24"/>
          <w:lang w:val="en-GB"/>
        </w:rPr>
        <w:t xml:space="preserve"> options in different countries when consulting a specialist. They may have a free choice and direct access</w:t>
      </w:r>
      <w:r>
        <w:rPr>
          <w:rFonts w:ascii="Times New Roman" w:hAnsi="Times New Roman" w:cs="Times New Roman"/>
          <w:sz w:val="24"/>
          <w:szCs w:val="24"/>
          <w:lang w:val="en-GB"/>
        </w:rPr>
        <w:t xml:space="preserve"> to a specialist</w:t>
      </w:r>
      <w:r w:rsidRPr="00C336BF">
        <w:rPr>
          <w:rFonts w:ascii="Times New Roman" w:hAnsi="Times New Roman" w:cs="Times New Roman"/>
          <w:sz w:val="24"/>
          <w:szCs w:val="24"/>
          <w:lang w:val="en-GB"/>
        </w:rPr>
        <w:t xml:space="preserve">, need </w:t>
      </w:r>
      <w:r>
        <w:rPr>
          <w:rFonts w:ascii="Times New Roman" w:hAnsi="Times New Roman" w:cs="Times New Roman"/>
          <w:sz w:val="24"/>
          <w:szCs w:val="24"/>
          <w:lang w:val="en-GB"/>
        </w:rPr>
        <w:t>a</w:t>
      </w:r>
      <w:r w:rsidRPr="00C336BF">
        <w:rPr>
          <w:rFonts w:ascii="Times New Roman" w:hAnsi="Times New Roman" w:cs="Times New Roman"/>
          <w:sz w:val="24"/>
          <w:szCs w:val="24"/>
          <w:lang w:val="en-GB"/>
        </w:rPr>
        <w:t xml:space="preserve"> referral by a GP, or </w:t>
      </w:r>
      <w:r>
        <w:rPr>
          <w:rFonts w:ascii="Times New Roman" w:hAnsi="Times New Roman" w:cs="Times New Roman"/>
          <w:sz w:val="24"/>
          <w:szCs w:val="24"/>
          <w:lang w:val="en-GB"/>
        </w:rPr>
        <w:t>be able</w:t>
      </w:r>
      <w:r w:rsidRPr="00C336BF">
        <w:rPr>
          <w:rFonts w:ascii="Times New Roman" w:hAnsi="Times New Roman" w:cs="Times New Roman"/>
          <w:sz w:val="24"/>
          <w:szCs w:val="24"/>
          <w:lang w:val="en-GB"/>
        </w:rPr>
        <w:t xml:space="preserve"> to skip the referral system by accepting a higher co-payment</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25</w:t>
      </w:r>
      <w:r w:rsidRPr="00C336BF">
        <w:rPr>
          <w:rFonts w:ascii="Times New Roman" w:hAnsi="Times New Roman" w:cs="Times New Roman"/>
          <w:sz w:val="24"/>
          <w:szCs w:val="24"/>
          <w:lang w:val="en-GB"/>
        </w:rPr>
        <w:t>. Concerning access regulation, there are differences between the respective countries regarding the difficulty of obtaining specialist health care services. In countries with a classic GP gatekeeping system (such as the UK, the Netherlands, Portugal, Denmark, Finland and Norway), a patient would need a GP referral to access a health care specialist; moreover, and more importantly, the GP would have to view this referral as appropriate. In other countries, patients can access health care specialists and secondary care (such as Belgium, France and Germany) without the need for a GP gatekeeper. There may be more equality – in terms of specialist health care use – by applying a strong gate keeping system with one such example being the use of clinical guidelines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3 26</w:t>
      </w:r>
      <w:r w:rsidRPr="00C336BF">
        <w:rPr>
          <w:rFonts w:ascii="Times New Roman" w:hAnsi="Times New Roman" w:cs="Times New Roman"/>
          <w:sz w:val="24"/>
          <w:szCs w:val="24"/>
          <w:lang w:val="en-GB"/>
        </w:rPr>
        <w:t>. Indeed, in many countries, clinical guidelines are increasingly becoming a part of regular clinical practice; they have the aim of improving consistency of care</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27</w:t>
      </w:r>
      <w:r>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Enabling systems to achieve this is important, as previous work has shown that patients with identical clinical problems can receive</w:t>
      </w:r>
      <w:r w:rsidRPr="00C336BF">
        <w:rPr>
          <w:rFonts w:ascii="Times New Roman" w:hAnsi="Times New Roman" w:cs="Times New Roman"/>
          <w:sz w:val="24"/>
          <w:szCs w:val="24"/>
          <w:lang w:val="en-US"/>
        </w:rPr>
        <w:t xml:space="preserve"> different care, depending on their individual circumstances</w:t>
      </w:r>
      <w:r>
        <w:rPr>
          <w:rFonts w:ascii="Times New Roman" w:hAnsi="Times New Roman" w:cs="Times New Roman"/>
          <w:sz w:val="24"/>
          <w:szCs w:val="24"/>
          <w:lang w:val="en-US"/>
        </w:rPr>
        <w:t xml:space="preserve"> </w:t>
      </w:r>
      <w:r w:rsidRPr="00E958FF">
        <w:rPr>
          <w:rFonts w:ascii="Times New Roman" w:hAnsi="Times New Roman" w:cs="Times New Roman"/>
          <w:noProof/>
          <w:sz w:val="24"/>
          <w:szCs w:val="24"/>
          <w:vertAlign w:val="superscript"/>
          <w:lang w:val="en-US"/>
        </w:rPr>
        <w:t>28</w:t>
      </w:r>
      <w:r>
        <w:rPr>
          <w:rFonts w:ascii="Times New Roman" w:hAnsi="Times New Roman" w:cs="Times New Roman"/>
          <w:sz w:val="24"/>
          <w:szCs w:val="24"/>
          <w:lang w:val="en-US"/>
        </w:rPr>
        <w:t>.</w:t>
      </w:r>
    </w:p>
    <w:p w14:paraId="253FBA98" w14:textId="77777777" w:rsidR="00E25BDB" w:rsidRPr="003E6496" w:rsidRDefault="00E25BDB" w:rsidP="00D73B69">
      <w:pPr>
        <w:pStyle w:val="NoSpacing"/>
        <w:jc w:val="both"/>
        <w:rPr>
          <w:rFonts w:ascii="Times New Roman" w:hAnsi="Times New Roman" w:cs="Times New Roman"/>
          <w:b/>
          <w:sz w:val="24"/>
          <w:szCs w:val="24"/>
          <w:lang w:val="en-GB"/>
        </w:rPr>
      </w:pPr>
    </w:p>
    <w:p w14:paraId="18E61B02" w14:textId="77777777" w:rsidR="00E25BDB" w:rsidRPr="003E5F85" w:rsidRDefault="00E25BDB" w:rsidP="00D73B69">
      <w:pPr>
        <w:pStyle w:val="NoSpacing"/>
        <w:jc w:val="both"/>
        <w:rPr>
          <w:rFonts w:ascii="Times New Roman" w:hAnsi="Times New Roman" w:cs="Times New Roman"/>
          <w:b/>
          <w:sz w:val="24"/>
          <w:szCs w:val="24"/>
          <w:lang w:val="en-GB"/>
        </w:rPr>
      </w:pPr>
      <w:r w:rsidRPr="00C336BF">
        <w:rPr>
          <w:rFonts w:ascii="Times New Roman" w:hAnsi="Times New Roman" w:cs="Times New Roman"/>
          <w:sz w:val="24"/>
          <w:szCs w:val="24"/>
          <w:lang w:val="en-US"/>
        </w:rPr>
        <w:t xml:space="preserve">Based on the description of health care systems, there should at least be theoretical reasons to expect different health care use across Europe. However, </w:t>
      </w:r>
      <w:r w:rsidRPr="00C336BF">
        <w:rPr>
          <w:rFonts w:ascii="Times New Roman" w:hAnsi="Times New Roman" w:cs="Times New Roman"/>
          <w:sz w:val="24"/>
          <w:szCs w:val="24"/>
          <w:lang w:val="en-GB"/>
        </w:rPr>
        <w:t xml:space="preserve">none of the above-mentioned system characteristics seem to be able to explain the inequalities found in this study. Despite the different organization of health care systems, we found a pattern of different use of GPs and specialist care for people across different SEP indicators. This finding is in line with Stirbu </w:t>
      </w:r>
      <w:r w:rsidRPr="00496E9D">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3</w:t>
      </w:r>
      <w:r w:rsidRPr="00C336BF">
        <w:rPr>
          <w:rFonts w:ascii="Times New Roman" w:hAnsi="Times New Roman" w:cs="Times New Roman"/>
          <w:sz w:val="24"/>
          <w:szCs w:val="24"/>
          <w:lang w:val="en-GB"/>
        </w:rPr>
        <w:t xml:space="preserve"> and Van Doorslaer </w:t>
      </w:r>
      <w:r w:rsidRPr="00496E9D">
        <w:rPr>
          <w:rFonts w:ascii="Times New Roman" w:hAnsi="Times New Roman" w:cs="Times New Roman"/>
          <w:i/>
          <w:sz w:val="24"/>
          <w:szCs w:val="24"/>
          <w:lang w:val="en-GB"/>
        </w:rPr>
        <w:t>et al</w:t>
      </w:r>
      <w:r w:rsidRPr="00C336B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2</w:t>
      </w:r>
      <w:r w:rsidRPr="00D52279">
        <w:rPr>
          <w:rFonts w:ascii="Times New Roman" w:hAnsi="Times New Roman" w:cs="Times New Roman"/>
          <w:noProof/>
          <w:sz w:val="24"/>
          <w:szCs w:val="24"/>
          <w:lang w:val="en-GB"/>
        </w:rPr>
        <w:t>,</w:t>
      </w:r>
      <w:r w:rsidRPr="00D52279">
        <w:rPr>
          <w:rFonts w:ascii="Times New Roman" w:hAnsi="Times New Roman" w:cs="Times New Roman"/>
          <w:sz w:val="24"/>
          <w:szCs w:val="24"/>
          <w:lang w:val="en-GB"/>
        </w:rPr>
        <w:t xml:space="preserve"> </w:t>
      </w:r>
      <w:r w:rsidRPr="00A04854">
        <w:rPr>
          <w:rFonts w:ascii="Times New Roman" w:hAnsi="Times New Roman" w:cs="Times New Roman"/>
          <w:sz w:val="24"/>
          <w:szCs w:val="24"/>
          <w:lang w:val="en-GB"/>
        </w:rPr>
        <w:t>who found a general pattern of differential access to primary and secondary care across different SEP groups.</w:t>
      </w:r>
      <w:r>
        <w:rPr>
          <w:rFonts w:ascii="Times New Roman" w:hAnsi="Times New Roman" w:cs="Times New Roman"/>
          <w:b/>
          <w:sz w:val="24"/>
          <w:szCs w:val="24"/>
          <w:lang w:val="en-GB"/>
        </w:rPr>
        <w:t xml:space="preserve"> </w:t>
      </w:r>
      <w:r w:rsidRPr="00C336BF">
        <w:rPr>
          <w:rFonts w:ascii="Times New Roman" w:hAnsi="Times New Roman" w:cs="Times New Roman"/>
          <w:sz w:val="24"/>
          <w:szCs w:val="24"/>
          <w:lang w:val="en-GB"/>
        </w:rPr>
        <w:t>The universal pattern indicates that lower SEP groups “encounter barriers that are common in all countries, and thus lie beyond the national structure and organisation of the health care system”</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3</w:t>
      </w:r>
      <w:r w:rsidRPr="00C336BF">
        <w:rPr>
          <w:rFonts w:ascii="Times New Roman" w:hAnsi="Times New Roman" w:cs="Times New Roman"/>
          <w:sz w:val="24"/>
          <w:szCs w:val="24"/>
          <w:lang w:val="en-GB"/>
        </w:rPr>
        <w:t>.</w:t>
      </w:r>
    </w:p>
    <w:p w14:paraId="4EA6E1A2" w14:textId="77777777" w:rsidR="00E25BDB" w:rsidRPr="00C266F8" w:rsidRDefault="00E25BDB" w:rsidP="00D73B69">
      <w:pPr>
        <w:pStyle w:val="NoSpacing"/>
        <w:jc w:val="both"/>
        <w:rPr>
          <w:rFonts w:ascii="Times New Roman" w:hAnsi="Times New Roman" w:cs="Times New Roman"/>
          <w:sz w:val="24"/>
          <w:szCs w:val="24"/>
          <w:lang w:val="en-GB"/>
        </w:rPr>
      </w:pPr>
    </w:p>
    <w:p w14:paraId="732AEFBF" w14:textId="77777777" w:rsidR="00E25BDB" w:rsidRDefault="00E25BDB">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513C61CE" w14:textId="77777777" w:rsidR="00E25BDB" w:rsidRPr="00FC345F" w:rsidRDefault="00E25BDB" w:rsidP="00D73B69">
      <w:pPr>
        <w:pStyle w:val="NoSpacing"/>
        <w:jc w:val="both"/>
        <w:rPr>
          <w:rFonts w:ascii="Times New Roman" w:hAnsi="Times New Roman" w:cs="Times New Roman"/>
          <w:b/>
          <w:sz w:val="28"/>
          <w:szCs w:val="28"/>
          <w:lang w:val="en-GB"/>
        </w:rPr>
      </w:pPr>
      <w:r w:rsidRPr="00FC345F">
        <w:rPr>
          <w:rFonts w:ascii="Times New Roman" w:hAnsi="Times New Roman" w:cs="Times New Roman"/>
          <w:b/>
          <w:sz w:val="28"/>
          <w:szCs w:val="28"/>
          <w:lang w:val="en-GB"/>
        </w:rPr>
        <w:lastRenderedPageBreak/>
        <w:t>Limitations</w:t>
      </w:r>
    </w:p>
    <w:p w14:paraId="1480F993" w14:textId="77777777" w:rsidR="00E25BDB" w:rsidRPr="00E12733" w:rsidRDefault="00E25BDB" w:rsidP="00D73B69">
      <w:pPr>
        <w:pStyle w:val="NoSpacing"/>
        <w:jc w:val="both"/>
        <w:rPr>
          <w:rFonts w:ascii="Times New Roman" w:hAnsi="Times New Roman" w:cs="Times New Roman"/>
          <w:sz w:val="24"/>
          <w:szCs w:val="24"/>
          <w:lang w:val="en-GB"/>
        </w:rPr>
      </w:pPr>
    </w:p>
    <w:p w14:paraId="32F338CC" w14:textId="77777777" w:rsidR="00E25BDB" w:rsidRPr="00330D77" w:rsidRDefault="00E25BDB" w:rsidP="00D73B69">
      <w:pPr>
        <w:pStyle w:val="NoSpacing"/>
        <w:jc w:val="both"/>
        <w:rPr>
          <w:rFonts w:ascii="Times New Roman" w:hAnsi="Times New Roman" w:cs="Times New Roman"/>
          <w:b/>
          <w:sz w:val="24"/>
          <w:szCs w:val="24"/>
          <w:lang w:val="en-GB"/>
        </w:rPr>
      </w:pPr>
      <w:r w:rsidRPr="00C336BF">
        <w:rPr>
          <w:rFonts w:ascii="Times New Roman" w:hAnsi="Times New Roman" w:cs="Times New Roman"/>
          <w:sz w:val="24"/>
          <w:szCs w:val="24"/>
          <w:lang w:val="en-GB"/>
        </w:rPr>
        <w:t xml:space="preserve">We acknowledge that the current study uses survey data. Although the ESS maintains the highest standard of data collection, the survey is still prone to differences in response rates, and cross-cultural quality of questions. For a further discussion on the strengths and weaknesses of the ESS, see Eikemo </w:t>
      </w:r>
      <w:r w:rsidRPr="00496E9D">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14</w:t>
      </w:r>
      <w:r w:rsidRPr="00C336BF">
        <w:rPr>
          <w:rFonts w:ascii="Times New Roman" w:hAnsi="Times New Roman" w:cs="Times New Roman"/>
          <w:sz w:val="24"/>
          <w:szCs w:val="24"/>
          <w:lang w:val="en-GB"/>
        </w:rPr>
        <w:t xml:space="preserve">. We also acknowledge some methodological limitations in our work; for example, the data used in our analysis </w:t>
      </w:r>
      <w:r>
        <w:rPr>
          <w:rFonts w:ascii="Times New Roman" w:hAnsi="Times New Roman" w:cs="Times New Roman"/>
          <w:sz w:val="24"/>
          <w:szCs w:val="24"/>
          <w:lang w:val="en-GB"/>
        </w:rPr>
        <w:t>utilize</w:t>
      </w:r>
      <w:r w:rsidRPr="00C336BF">
        <w:rPr>
          <w:rFonts w:ascii="Times New Roman" w:hAnsi="Times New Roman" w:cs="Times New Roman"/>
          <w:sz w:val="24"/>
          <w:szCs w:val="24"/>
          <w:lang w:val="en-GB"/>
        </w:rPr>
        <w:t>d a binary variable on whether respondents have used a GP or health care specialist within the last 12 months, meaning only limited information is captured regarding actual health care use. Clearly, a person using a GP or health care specialist every week should be considered differently to a person using such services once every year. Other studies</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1-3 29</w:t>
      </w:r>
      <w:r w:rsidRPr="00C336BF">
        <w:rPr>
          <w:rFonts w:ascii="Times New Roman" w:hAnsi="Times New Roman" w:cs="Times New Roman"/>
          <w:sz w:val="24"/>
          <w:szCs w:val="24"/>
          <w:lang w:val="en-GB"/>
        </w:rPr>
        <w:t xml:space="preserve"> have accounted for this by measuring the frequency of GP and specialist consultations within a 12-month period, which implies that our study is not entirely comparable to previous work. We also acknowledge that the division of labour between GP and health care specialists varies between countries (e.g. in some countries GPs have extended training enabling them to consult with patients who would have otherwise required referral to a specialist).</w:t>
      </w:r>
      <w:r>
        <w:rPr>
          <w:rFonts w:ascii="Times New Roman" w:hAnsi="Times New Roman" w:cs="Times New Roman"/>
          <w:b/>
          <w:sz w:val="24"/>
          <w:szCs w:val="24"/>
          <w:lang w:val="en-GB"/>
        </w:rPr>
        <w:t xml:space="preserve"> </w:t>
      </w:r>
      <w:r w:rsidRPr="00A04854">
        <w:rPr>
          <w:rFonts w:ascii="Times New Roman" w:hAnsi="Times New Roman" w:cs="Times New Roman"/>
          <w:sz w:val="24"/>
          <w:szCs w:val="24"/>
          <w:lang w:val="en-GB"/>
        </w:rPr>
        <w:t>As we have only examined a limited aspect of health care use, we cannot draw conclusions on the quality of health care. Even though high SEP groups are more likely to use specialist care, this type of health care is not necessarily better compared to GP use. More care may not always be better, leading to a prolonged life and being a cause of the social gradient in mortality. The complexity of these matters is illustrated by the discussion of protecting patients from overtreatment</w:t>
      </w:r>
      <w:r>
        <w:rPr>
          <w:rFonts w:ascii="Times New Roman" w:hAnsi="Times New Roman" w:cs="Times New Roman"/>
          <w:sz w:val="24"/>
          <w:szCs w:val="24"/>
          <w:lang w:val="en-GB"/>
        </w:rPr>
        <w:t xml:space="preserve"> </w:t>
      </w:r>
      <w:r w:rsidRPr="00E958FF">
        <w:rPr>
          <w:rFonts w:ascii="Times New Roman" w:hAnsi="Times New Roman" w:cs="Times New Roman"/>
          <w:noProof/>
          <w:sz w:val="24"/>
          <w:szCs w:val="24"/>
          <w:vertAlign w:val="superscript"/>
          <w:lang w:val="en-GB"/>
        </w:rPr>
        <w:t>30</w:t>
      </w:r>
      <w:r w:rsidRPr="00A04854">
        <w:rPr>
          <w:rFonts w:ascii="Times New Roman" w:hAnsi="Times New Roman" w:cs="Times New Roman"/>
          <w:sz w:val="24"/>
          <w:szCs w:val="24"/>
          <w:lang w:val="en-GB"/>
        </w:rPr>
        <w:t>. The results should therefore be interpreted with caution.</w:t>
      </w:r>
      <w:r>
        <w:rPr>
          <w:rFonts w:ascii="Times New Roman" w:hAnsi="Times New Roman" w:cs="Times New Roman"/>
          <w:b/>
          <w:sz w:val="24"/>
          <w:szCs w:val="24"/>
          <w:lang w:val="en-GB"/>
        </w:rPr>
        <w:t xml:space="preserve"> </w:t>
      </w:r>
      <w:r w:rsidRPr="00C336BF">
        <w:rPr>
          <w:rFonts w:ascii="Times New Roman" w:hAnsi="Times New Roman" w:cs="Times New Roman"/>
          <w:sz w:val="24"/>
          <w:szCs w:val="24"/>
          <w:lang w:val="en-GB"/>
        </w:rPr>
        <w:t>Nonetheless, and despite these limitations, we are confident that our findings are robust and have important implications for policy makers across Europe regarding health care access.</w:t>
      </w:r>
    </w:p>
    <w:p w14:paraId="37D6AD05" w14:textId="77777777" w:rsidR="00E25BDB" w:rsidRPr="00E12733" w:rsidRDefault="00E25BDB" w:rsidP="00D73B69">
      <w:pPr>
        <w:pStyle w:val="NoSpacing"/>
        <w:jc w:val="both"/>
        <w:rPr>
          <w:rFonts w:ascii="Times New Roman" w:hAnsi="Times New Roman" w:cs="Times New Roman"/>
          <w:sz w:val="24"/>
          <w:szCs w:val="24"/>
          <w:lang w:val="en-GB"/>
        </w:rPr>
      </w:pPr>
    </w:p>
    <w:p w14:paraId="41B87A86" w14:textId="77777777" w:rsidR="00E25BDB" w:rsidRPr="00FC345F" w:rsidRDefault="00E25BDB" w:rsidP="00D73B69">
      <w:pPr>
        <w:pStyle w:val="NoSpacing"/>
        <w:jc w:val="both"/>
        <w:rPr>
          <w:rFonts w:ascii="Times New Roman" w:hAnsi="Times New Roman" w:cs="Times New Roman"/>
          <w:b/>
          <w:sz w:val="28"/>
          <w:szCs w:val="28"/>
          <w:lang w:val="en-GB"/>
        </w:rPr>
      </w:pPr>
      <w:r w:rsidRPr="00FC345F">
        <w:rPr>
          <w:rFonts w:ascii="Times New Roman" w:hAnsi="Times New Roman" w:cs="Times New Roman"/>
          <w:b/>
          <w:sz w:val="28"/>
          <w:szCs w:val="28"/>
          <w:lang w:val="en-GB"/>
        </w:rPr>
        <w:t>Conclusion</w:t>
      </w:r>
    </w:p>
    <w:p w14:paraId="5D413B1F" w14:textId="77777777" w:rsidR="00E25BDB" w:rsidRPr="00330D77" w:rsidRDefault="00E25BDB" w:rsidP="00D73B69">
      <w:pPr>
        <w:pStyle w:val="NoSpacing"/>
        <w:jc w:val="both"/>
        <w:rPr>
          <w:rFonts w:ascii="Times New Roman" w:hAnsi="Times New Roman" w:cs="Times New Roman"/>
          <w:b/>
          <w:sz w:val="24"/>
          <w:szCs w:val="24"/>
          <w:lang w:val="en-GB"/>
        </w:rPr>
      </w:pPr>
    </w:p>
    <w:p w14:paraId="2A86094D" w14:textId="77777777" w:rsidR="00E25BDB" w:rsidRPr="00F70B51" w:rsidRDefault="00E25BDB" w:rsidP="00D73B69">
      <w:pPr>
        <w:pStyle w:val="NoSpacing"/>
        <w:jc w:val="both"/>
        <w:rPr>
          <w:rFonts w:ascii="Times New Roman" w:hAnsi="Times New Roman" w:cs="Times New Roman"/>
          <w:b/>
          <w:sz w:val="24"/>
          <w:szCs w:val="24"/>
          <w:lang w:val="en-GB"/>
        </w:rPr>
      </w:pPr>
      <w:r w:rsidRPr="00C336BF">
        <w:rPr>
          <w:rFonts w:ascii="Times New Roman" w:hAnsi="Times New Roman" w:cs="Times New Roman"/>
          <w:sz w:val="24"/>
          <w:szCs w:val="24"/>
          <w:lang w:val="en-GB"/>
        </w:rPr>
        <w:t>There are significant inequalities associated with GP and specialist health</w:t>
      </w:r>
      <w:r>
        <w:rPr>
          <w:rFonts w:ascii="Times New Roman" w:hAnsi="Times New Roman" w:cs="Times New Roman"/>
          <w:sz w:val="24"/>
          <w:szCs w:val="24"/>
          <w:lang w:val="en-GB"/>
        </w:rPr>
        <w:t xml:space="preserve"> </w:t>
      </w:r>
      <w:r w:rsidRPr="00C336BF">
        <w:rPr>
          <w:rFonts w:ascii="Times New Roman" w:hAnsi="Times New Roman" w:cs="Times New Roman"/>
          <w:sz w:val="24"/>
          <w:szCs w:val="24"/>
          <w:lang w:val="en-GB"/>
        </w:rPr>
        <w:t>care use across Europe – with higher SEP groups more likely to use health care specialists, compared to lower SEP groups; this finding was observed after controlling for health need. In the context of health care specialist use, education and occupation appear to be particularly important factors. Future work should seek to explore why these inequalities occur among the different health care systems.</w:t>
      </w:r>
      <w:r>
        <w:rPr>
          <w:rFonts w:ascii="Times New Roman" w:hAnsi="Times New Roman" w:cs="Times New Roman"/>
          <w:sz w:val="24"/>
          <w:szCs w:val="24"/>
          <w:lang w:val="en-GB"/>
        </w:rPr>
        <w:t xml:space="preserve"> </w:t>
      </w:r>
    </w:p>
    <w:p w14:paraId="731F9E2B" w14:textId="77777777" w:rsidR="00E25BDB" w:rsidRDefault="00E25BDB" w:rsidP="00D73B69">
      <w:pPr>
        <w:spacing w:line="240" w:lineRule="auto"/>
        <w:jc w:val="both"/>
        <w:rPr>
          <w:rFonts w:ascii="Times New Roman" w:hAnsi="Times New Roman" w:cs="Times New Roman"/>
          <w:b/>
          <w:sz w:val="24"/>
          <w:szCs w:val="24"/>
          <w:lang w:val="en-GB"/>
        </w:rPr>
      </w:pPr>
    </w:p>
    <w:p w14:paraId="1F03D79A" w14:textId="77777777" w:rsidR="00E25BDB" w:rsidRDefault="00E25BDB" w:rsidP="00D73B69">
      <w:pPr>
        <w:spacing w:line="240" w:lineRule="auto"/>
        <w:rPr>
          <w:rFonts w:ascii="Times New Roman" w:hAnsi="Times New Roman" w:cs="Times New Roman"/>
          <w:b/>
          <w:sz w:val="24"/>
          <w:szCs w:val="24"/>
          <w:lang w:val="en-GB"/>
        </w:rPr>
      </w:pPr>
    </w:p>
    <w:p w14:paraId="7172EBB6" w14:textId="77777777" w:rsidR="00E25BDB" w:rsidRPr="00B95806" w:rsidRDefault="00E25BDB" w:rsidP="00D73B69">
      <w:pPr>
        <w:pStyle w:val="NoSpacing"/>
        <w:rPr>
          <w:rFonts w:ascii="Times New Roman" w:hAnsi="Times New Roman" w:cs="Times New Roman"/>
          <w:b/>
          <w:sz w:val="28"/>
          <w:szCs w:val="28"/>
          <w:lang w:val="en-GB"/>
        </w:rPr>
      </w:pPr>
      <w:r w:rsidRPr="00D11394">
        <w:rPr>
          <w:lang w:val="en-GB"/>
        </w:rPr>
        <w:br w:type="page"/>
      </w:r>
      <w:r w:rsidRPr="00B95806">
        <w:rPr>
          <w:rFonts w:ascii="Times New Roman" w:hAnsi="Times New Roman" w:cs="Times New Roman"/>
          <w:b/>
          <w:sz w:val="28"/>
          <w:szCs w:val="28"/>
          <w:lang w:val="en-GB"/>
        </w:rPr>
        <w:lastRenderedPageBreak/>
        <w:t>References</w:t>
      </w:r>
    </w:p>
    <w:p w14:paraId="60C98ADE" w14:textId="77777777" w:rsidR="00E25BDB" w:rsidRPr="00C266F8" w:rsidRDefault="00E25BDB" w:rsidP="00D73B69">
      <w:pPr>
        <w:pStyle w:val="NoSpacing"/>
        <w:rPr>
          <w:lang w:val="en-GB"/>
        </w:rPr>
      </w:pPr>
    </w:p>
    <w:p w14:paraId="2EE15A44"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1. Van Doorslaer E, Koolman X, Jones AM. Explaining income</w:t>
      </w:r>
      <w:r w:rsidRPr="00787F75">
        <w:rPr>
          <w:rFonts w:ascii="Cambria Math" w:hAnsi="Cambria Math" w:cs="Cambria Math"/>
          <w:sz w:val="24"/>
          <w:szCs w:val="24"/>
        </w:rPr>
        <w:t>‐</w:t>
      </w:r>
      <w:r w:rsidRPr="00787F75">
        <w:rPr>
          <w:rFonts w:ascii="Times New Roman" w:hAnsi="Times New Roman" w:cs="Times New Roman"/>
          <w:sz w:val="24"/>
          <w:szCs w:val="24"/>
        </w:rPr>
        <w:t xml:space="preserve">related inequalities in doctor utilisation in Europe. </w:t>
      </w:r>
      <w:r>
        <w:rPr>
          <w:rFonts w:ascii="Times New Roman" w:hAnsi="Times New Roman" w:cs="Times New Roman"/>
          <w:i/>
          <w:sz w:val="24"/>
          <w:szCs w:val="24"/>
        </w:rPr>
        <w:t>Health E</w:t>
      </w:r>
      <w:r w:rsidRPr="00787F75">
        <w:rPr>
          <w:rFonts w:ascii="Times New Roman" w:hAnsi="Times New Roman" w:cs="Times New Roman"/>
          <w:i/>
          <w:sz w:val="24"/>
          <w:szCs w:val="24"/>
        </w:rPr>
        <w:t>conomics</w:t>
      </w:r>
      <w:r w:rsidRPr="00787F75">
        <w:rPr>
          <w:rFonts w:ascii="Times New Roman" w:hAnsi="Times New Roman" w:cs="Times New Roman"/>
          <w:sz w:val="24"/>
          <w:szCs w:val="24"/>
        </w:rPr>
        <w:t xml:space="preserve"> 2004;13(7):629-47.</w:t>
      </w:r>
    </w:p>
    <w:p w14:paraId="1650A099"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2. Van Doorslaer E, Masseria C, Koolman X. Inequalities in access to medical care by income in developed countries. </w:t>
      </w:r>
      <w:r>
        <w:rPr>
          <w:rFonts w:ascii="Times New Roman" w:hAnsi="Times New Roman" w:cs="Times New Roman"/>
          <w:i/>
          <w:sz w:val="24"/>
          <w:szCs w:val="24"/>
        </w:rPr>
        <w:t>Canadian Medical Association J</w:t>
      </w:r>
      <w:r w:rsidRPr="00787F75">
        <w:rPr>
          <w:rFonts w:ascii="Times New Roman" w:hAnsi="Times New Roman" w:cs="Times New Roman"/>
          <w:i/>
          <w:sz w:val="24"/>
          <w:szCs w:val="24"/>
        </w:rPr>
        <w:t>ournal</w:t>
      </w:r>
      <w:r w:rsidRPr="00787F75">
        <w:rPr>
          <w:rFonts w:ascii="Times New Roman" w:hAnsi="Times New Roman" w:cs="Times New Roman"/>
          <w:sz w:val="24"/>
          <w:szCs w:val="24"/>
        </w:rPr>
        <w:t xml:space="preserve"> 2006;174(2):177-83.</w:t>
      </w:r>
    </w:p>
    <w:p w14:paraId="2E2DC268"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3. Stirbu I, Kunst AE, Mielck A, et al. Inequalities in utilisation of general practitioner and specialist services in 9 European countries. </w:t>
      </w:r>
      <w:r>
        <w:rPr>
          <w:rFonts w:ascii="Times New Roman" w:hAnsi="Times New Roman" w:cs="Times New Roman"/>
          <w:i/>
          <w:sz w:val="24"/>
          <w:szCs w:val="24"/>
        </w:rPr>
        <w:t>BMC Health Services R</w:t>
      </w:r>
      <w:r w:rsidRPr="00787F75">
        <w:rPr>
          <w:rFonts w:ascii="Times New Roman" w:hAnsi="Times New Roman" w:cs="Times New Roman"/>
          <w:i/>
          <w:sz w:val="24"/>
          <w:szCs w:val="24"/>
        </w:rPr>
        <w:t>esearch</w:t>
      </w:r>
      <w:r w:rsidRPr="00787F75">
        <w:rPr>
          <w:rFonts w:ascii="Times New Roman" w:hAnsi="Times New Roman" w:cs="Times New Roman"/>
          <w:sz w:val="24"/>
          <w:szCs w:val="24"/>
        </w:rPr>
        <w:t xml:space="preserve"> 2011;11(1):288.</w:t>
      </w:r>
    </w:p>
    <w:p w14:paraId="2C87EBCB"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4. Droomers M, Westert GP. Do lower socioeconomic groups use more health services, because they suffer from more illnesses? </w:t>
      </w:r>
      <w:r w:rsidRPr="00787F75">
        <w:rPr>
          <w:rFonts w:ascii="Times New Roman" w:hAnsi="Times New Roman" w:cs="Times New Roman"/>
          <w:i/>
          <w:sz w:val="24"/>
          <w:szCs w:val="24"/>
        </w:rPr>
        <w:t>The European Journal of Public Health</w:t>
      </w:r>
      <w:r w:rsidRPr="00787F75">
        <w:rPr>
          <w:rFonts w:ascii="Times New Roman" w:hAnsi="Times New Roman" w:cs="Times New Roman"/>
          <w:sz w:val="24"/>
          <w:szCs w:val="24"/>
        </w:rPr>
        <w:t xml:space="preserve"> 2004;14(3):311-13.</w:t>
      </w:r>
    </w:p>
    <w:p w14:paraId="756DA6AE"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5. Phelan JC, Link BG, Tehranifar P. Social conditions as fundamental causes of health inequalities theory, evidence, and policy implications. </w:t>
      </w:r>
      <w:r>
        <w:rPr>
          <w:rFonts w:ascii="Times New Roman" w:hAnsi="Times New Roman" w:cs="Times New Roman"/>
          <w:i/>
          <w:sz w:val="24"/>
          <w:szCs w:val="24"/>
        </w:rPr>
        <w:t>Journal of Health and Social B</w:t>
      </w:r>
      <w:r w:rsidRPr="00787F75">
        <w:rPr>
          <w:rFonts w:ascii="Times New Roman" w:hAnsi="Times New Roman" w:cs="Times New Roman"/>
          <w:i/>
          <w:sz w:val="24"/>
          <w:szCs w:val="24"/>
        </w:rPr>
        <w:t>ehavior</w:t>
      </w:r>
      <w:r w:rsidRPr="00787F75">
        <w:rPr>
          <w:rFonts w:ascii="Times New Roman" w:hAnsi="Times New Roman" w:cs="Times New Roman"/>
          <w:sz w:val="24"/>
          <w:szCs w:val="24"/>
        </w:rPr>
        <w:t xml:space="preserve"> 2010;51(1 suppl):S28-S40.</w:t>
      </w:r>
    </w:p>
    <w:p w14:paraId="0AA05C8C"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6. Scott A, Shiell A, King M. Is general practitioner decision making associated with patient socio-economic status? </w:t>
      </w:r>
      <w:r>
        <w:rPr>
          <w:rFonts w:ascii="Times New Roman" w:hAnsi="Times New Roman" w:cs="Times New Roman"/>
          <w:i/>
          <w:sz w:val="24"/>
          <w:szCs w:val="24"/>
        </w:rPr>
        <w:t>Social Science &amp; M</w:t>
      </w:r>
      <w:r w:rsidRPr="00787F75">
        <w:rPr>
          <w:rFonts w:ascii="Times New Roman" w:hAnsi="Times New Roman" w:cs="Times New Roman"/>
          <w:i/>
          <w:sz w:val="24"/>
          <w:szCs w:val="24"/>
        </w:rPr>
        <w:t>edicine</w:t>
      </w:r>
      <w:r w:rsidRPr="00787F75">
        <w:rPr>
          <w:rFonts w:ascii="Times New Roman" w:hAnsi="Times New Roman" w:cs="Times New Roman"/>
          <w:sz w:val="24"/>
          <w:szCs w:val="24"/>
        </w:rPr>
        <w:t xml:space="preserve"> 1996;42(1):35-46.</w:t>
      </w:r>
    </w:p>
    <w:p w14:paraId="450B19BC"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7. Hart JT. The inverse care law. </w:t>
      </w:r>
      <w:r w:rsidRPr="00787F75">
        <w:rPr>
          <w:rFonts w:ascii="Times New Roman" w:hAnsi="Times New Roman" w:cs="Times New Roman"/>
          <w:i/>
          <w:sz w:val="24"/>
          <w:szCs w:val="24"/>
        </w:rPr>
        <w:t>The Lancet</w:t>
      </w:r>
      <w:r w:rsidRPr="00787F75">
        <w:rPr>
          <w:rFonts w:ascii="Times New Roman" w:hAnsi="Times New Roman" w:cs="Times New Roman"/>
          <w:sz w:val="24"/>
          <w:szCs w:val="24"/>
        </w:rPr>
        <w:t xml:space="preserve"> 1971;297(7696):405-12.</w:t>
      </w:r>
    </w:p>
    <w:p w14:paraId="55E727F3"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8. Phelan JC, Link BG, Diez-Roux A, et al. “Fundamental causes” of social inequalities in mortality: a test of the theory. </w:t>
      </w:r>
      <w:r>
        <w:rPr>
          <w:rFonts w:ascii="Times New Roman" w:hAnsi="Times New Roman" w:cs="Times New Roman"/>
          <w:i/>
          <w:sz w:val="24"/>
          <w:szCs w:val="24"/>
        </w:rPr>
        <w:t>Journal of Health and Social B</w:t>
      </w:r>
      <w:r w:rsidRPr="00787F75">
        <w:rPr>
          <w:rFonts w:ascii="Times New Roman" w:hAnsi="Times New Roman" w:cs="Times New Roman"/>
          <w:i/>
          <w:sz w:val="24"/>
          <w:szCs w:val="24"/>
        </w:rPr>
        <w:t>ehavior</w:t>
      </w:r>
      <w:r w:rsidRPr="00787F75">
        <w:rPr>
          <w:rFonts w:ascii="Times New Roman" w:hAnsi="Times New Roman" w:cs="Times New Roman"/>
          <w:sz w:val="24"/>
          <w:szCs w:val="24"/>
        </w:rPr>
        <w:t xml:space="preserve"> 2004;45(3):265-85.</w:t>
      </w:r>
    </w:p>
    <w:p w14:paraId="1FF46946" w14:textId="77777777" w:rsidR="00787F75" w:rsidRPr="00496E9D" w:rsidRDefault="00787F75" w:rsidP="00787F75">
      <w:pPr>
        <w:pStyle w:val="EndNoteBibliography"/>
        <w:spacing w:after="0"/>
        <w:ind w:left="720" w:hanging="720"/>
        <w:rPr>
          <w:rFonts w:ascii="Times New Roman" w:hAnsi="Times New Roman" w:cs="Times New Roman"/>
          <w:sz w:val="24"/>
          <w:szCs w:val="24"/>
          <w:lang w:val="da-DK"/>
        </w:rPr>
      </w:pPr>
      <w:r w:rsidRPr="00787F75">
        <w:rPr>
          <w:rFonts w:ascii="Times New Roman" w:hAnsi="Times New Roman" w:cs="Times New Roman"/>
          <w:sz w:val="24"/>
          <w:szCs w:val="24"/>
        </w:rPr>
        <w:t xml:space="preserve">9. McBride D, Hardoon S, Walters K, et al. Explaining variation in referral from primary to secondary care: cohort study. </w:t>
      </w:r>
      <w:r w:rsidRPr="00496E9D">
        <w:rPr>
          <w:rFonts w:ascii="Times New Roman" w:hAnsi="Times New Roman" w:cs="Times New Roman"/>
          <w:i/>
          <w:sz w:val="24"/>
          <w:szCs w:val="24"/>
          <w:lang w:val="da-DK"/>
        </w:rPr>
        <w:t>BMJ</w:t>
      </w:r>
      <w:r w:rsidRPr="00496E9D">
        <w:rPr>
          <w:rFonts w:ascii="Times New Roman" w:hAnsi="Times New Roman" w:cs="Times New Roman"/>
          <w:sz w:val="24"/>
          <w:szCs w:val="24"/>
          <w:lang w:val="da-DK"/>
        </w:rPr>
        <w:t xml:space="preserve"> 2010;341:c267</w:t>
      </w:r>
    </w:p>
    <w:p w14:paraId="7E776DA7" w14:textId="77777777" w:rsidR="00787F75" w:rsidRPr="00787F75" w:rsidRDefault="00787F75" w:rsidP="00787F75">
      <w:pPr>
        <w:pStyle w:val="EndNoteBibliography"/>
        <w:spacing w:after="0"/>
        <w:ind w:left="720" w:hanging="720"/>
        <w:rPr>
          <w:rFonts w:ascii="Times New Roman" w:hAnsi="Times New Roman" w:cs="Times New Roman"/>
          <w:sz w:val="24"/>
          <w:szCs w:val="24"/>
          <w:lang w:val="nb-NO"/>
        </w:rPr>
      </w:pPr>
      <w:r w:rsidRPr="00496E9D">
        <w:rPr>
          <w:rFonts w:ascii="Times New Roman" w:hAnsi="Times New Roman" w:cs="Times New Roman"/>
          <w:sz w:val="24"/>
          <w:szCs w:val="24"/>
          <w:lang w:val="da-DK"/>
        </w:rPr>
        <w:t xml:space="preserve">10. Vikum E, Bjørngaard JH, Westin S, et al. </w:t>
      </w:r>
      <w:r w:rsidRPr="00787F75">
        <w:rPr>
          <w:rFonts w:ascii="Times New Roman" w:hAnsi="Times New Roman" w:cs="Times New Roman"/>
          <w:sz w:val="24"/>
          <w:szCs w:val="24"/>
        </w:rPr>
        <w:t xml:space="preserve">Socio-economic inequalities in Norwegian health care utilization over 3 decades: the HUNT Study. </w:t>
      </w:r>
      <w:r w:rsidRPr="00787F75">
        <w:rPr>
          <w:rFonts w:ascii="Times New Roman" w:hAnsi="Times New Roman" w:cs="Times New Roman"/>
          <w:i/>
          <w:sz w:val="24"/>
          <w:szCs w:val="24"/>
          <w:lang w:val="nb-NO"/>
        </w:rPr>
        <w:t>The European Journal of Public Health</w:t>
      </w:r>
      <w:r w:rsidRPr="00787F75">
        <w:rPr>
          <w:rFonts w:ascii="Times New Roman" w:hAnsi="Times New Roman" w:cs="Times New Roman"/>
          <w:sz w:val="24"/>
          <w:szCs w:val="24"/>
          <w:lang w:val="nb-NO"/>
        </w:rPr>
        <w:t xml:space="preserve"> 2013;23(6):1003-10.</w:t>
      </w:r>
    </w:p>
    <w:p w14:paraId="46B6ADF5" w14:textId="77777777" w:rsidR="00787F75" w:rsidRPr="00496E9D"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lang w:val="nb-NO"/>
        </w:rPr>
        <w:t>11. Elstad JI. Den grunnleggende årsaken til sosial ulikhet i helse</w:t>
      </w:r>
      <w:r>
        <w:rPr>
          <w:rFonts w:ascii="Times New Roman" w:hAnsi="Times New Roman" w:cs="Times New Roman"/>
          <w:sz w:val="24"/>
          <w:szCs w:val="24"/>
          <w:lang w:val="nb-NO"/>
        </w:rPr>
        <w:t>.</w:t>
      </w:r>
      <w:r w:rsidRPr="00787F75">
        <w:rPr>
          <w:rFonts w:ascii="Times New Roman" w:hAnsi="Times New Roman" w:cs="Times New Roman"/>
          <w:sz w:val="24"/>
          <w:szCs w:val="24"/>
          <w:lang w:val="nb-NO"/>
        </w:rPr>
        <w:t xml:space="preserve"> In: Tjora A, ed. Helsesosiologi: analyser av helse, sykdom og behandling. </w:t>
      </w:r>
      <w:r w:rsidRPr="00496E9D">
        <w:rPr>
          <w:rFonts w:ascii="Times New Roman" w:hAnsi="Times New Roman" w:cs="Times New Roman"/>
          <w:sz w:val="24"/>
          <w:szCs w:val="24"/>
        </w:rPr>
        <w:t>Oslo: Gyldendal akademisk 2012:349-70.</w:t>
      </w:r>
    </w:p>
    <w:p w14:paraId="693C6771"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12. Link BG, Phelan J. Social conditions as fundamental causes of disease. </w:t>
      </w:r>
      <w:r>
        <w:rPr>
          <w:rFonts w:ascii="Times New Roman" w:hAnsi="Times New Roman" w:cs="Times New Roman"/>
          <w:i/>
          <w:sz w:val="24"/>
          <w:szCs w:val="24"/>
        </w:rPr>
        <w:t>Journal of Health and Social B</w:t>
      </w:r>
      <w:r w:rsidRPr="00787F75">
        <w:rPr>
          <w:rFonts w:ascii="Times New Roman" w:hAnsi="Times New Roman" w:cs="Times New Roman"/>
          <w:i/>
          <w:sz w:val="24"/>
          <w:szCs w:val="24"/>
        </w:rPr>
        <w:t>ehavior</w:t>
      </w:r>
      <w:r w:rsidRPr="00787F75">
        <w:rPr>
          <w:rFonts w:ascii="Times New Roman" w:hAnsi="Times New Roman" w:cs="Times New Roman"/>
          <w:sz w:val="24"/>
          <w:szCs w:val="24"/>
        </w:rPr>
        <w:t xml:space="preserve"> 1995;35(extra issue):80-94.</w:t>
      </w:r>
    </w:p>
    <w:p w14:paraId="4D595947"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13. ESS. ESS Round 7: European Social Survey Round 7 Data (2014). Data file edition 2.0. NSD - Norwegian Centre for Research Data, Norway - Data Archive and distributor of ESS data</w:t>
      </w:r>
      <w:r>
        <w:rPr>
          <w:rFonts w:ascii="Times New Roman" w:hAnsi="Times New Roman" w:cs="Times New Roman"/>
          <w:sz w:val="24"/>
          <w:szCs w:val="24"/>
        </w:rPr>
        <w:t xml:space="preserve"> for ESS ERIC 2014.</w:t>
      </w:r>
    </w:p>
    <w:p w14:paraId="77C2E2F7"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941A18">
        <w:rPr>
          <w:rFonts w:ascii="Times New Roman" w:hAnsi="Times New Roman" w:cs="Times New Roman"/>
          <w:sz w:val="24"/>
          <w:szCs w:val="24"/>
        </w:rPr>
        <w:t xml:space="preserve">14. Eikemo TA, Bambra C, Huijts T, et al. </w:t>
      </w:r>
      <w:r w:rsidRPr="00787F75">
        <w:rPr>
          <w:rFonts w:ascii="Times New Roman" w:hAnsi="Times New Roman" w:cs="Times New Roman"/>
          <w:sz w:val="24"/>
          <w:szCs w:val="24"/>
        </w:rPr>
        <w:t xml:space="preserve">The First Pan-European Sociological Health Inequalities Survey of the General Population: The European Social Survey Rotating Module on the Social Determinants of Health. </w:t>
      </w:r>
      <w:r w:rsidRPr="00787F75">
        <w:rPr>
          <w:rFonts w:ascii="Times New Roman" w:hAnsi="Times New Roman" w:cs="Times New Roman"/>
          <w:i/>
          <w:sz w:val="24"/>
          <w:szCs w:val="24"/>
        </w:rPr>
        <w:t>European Sociological Review</w:t>
      </w:r>
      <w:r w:rsidRPr="00787F75">
        <w:rPr>
          <w:rFonts w:ascii="Times New Roman" w:hAnsi="Times New Roman" w:cs="Times New Roman"/>
          <w:sz w:val="24"/>
          <w:szCs w:val="24"/>
        </w:rPr>
        <w:t xml:space="preserve"> 2016:1-17. doi: 10.1093/esr/jcw019</w:t>
      </w:r>
    </w:p>
    <w:p w14:paraId="0A8A0655"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15. Leiulfsrud H, Bison I, Solheim E. Social Class in Europe II: The European Social Survey 2002–2008. Trondheim NTNU, Department of Sociology and Political Science 2010.</w:t>
      </w:r>
    </w:p>
    <w:p w14:paraId="6C21B43B"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16. Mackenbach JP, Kulhánová I, Bopp M, et al. Variations in the relation between education and cause-specific mortality in 19 European populations: A test of the “fundamental causes” theory of social inequalities in health. </w:t>
      </w:r>
      <w:r w:rsidRPr="00787F75">
        <w:rPr>
          <w:rFonts w:ascii="Times New Roman" w:hAnsi="Times New Roman" w:cs="Times New Roman"/>
          <w:i/>
          <w:sz w:val="24"/>
          <w:szCs w:val="24"/>
        </w:rPr>
        <w:t>Social Science &amp; Medicine</w:t>
      </w:r>
      <w:r w:rsidRPr="00787F75">
        <w:rPr>
          <w:rFonts w:ascii="Times New Roman" w:hAnsi="Times New Roman" w:cs="Times New Roman"/>
          <w:sz w:val="24"/>
          <w:szCs w:val="24"/>
        </w:rPr>
        <w:t xml:space="preserve"> 2015;127:51-62.</w:t>
      </w:r>
    </w:p>
    <w:p w14:paraId="640C34F7"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17. Bourdieu P. The forms of capital. In: Richardson JG, ed. Handbook of Theory and Research for the Sociology of Education. New York: Greenwood 1986:241-58.</w:t>
      </w:r>
    </w:p>
    <w:p w14:paraId="4358D98C" w14:textId="77777777" w:rsidR="00787F75" w:rsidRPr="00496E9D" w:rsidRDefault="00787F75" w:rsidP="00787F75">
      <w:pPr>
        <w:pStyle w:val="EndNoteBibliography"/>
        <w:spacing w:after="0"/>
        <w:ind w:left="720" w:hanging="720"/>
        <w:rPr>
          <w:rFonts w:ascii="Times New Roman" w:hAnsi="Times New Roman" w:cs="Times New Roman"/>
          <w:sz w:val="24"/>
          <w:szCs w:val="24"/>
          <w:lang w:val="da-DK"/>
        </w:rPr>
      </w:pPr>
      <w:r w:rsidRPr="00787F75">
        <w:rPr>
          <w:rFonts w:ascii="Times New Roman" w:hAnsi="Times New Roman" w:cs="Times New Roman"/>
          <w:sz w:val="24"/>
          <w:szCs w:val="24"/>
        </w:rPr>
        <w:t xml:space="preserve">18. Habicht J, Kunst AE. Social inequalities in health care services utilisation after eight years of health care reforms: a cross-sectional study of Estonia, 1999. </w:t>
      </w:r>
      <w:r w:rsidRPr="00496E9D">
        <w:rPr>
          <w:rFonts w:ascii="Times New Roman" w:hAnsi="Times New Roman" w:cs="Times New Roman"/>
          <w:i/>
          <w:sz w:val="24"/>
          <w:szCs w:val="24"/>
          <w:lang w:val="da-DK"/>
        </w:rPr>
        <w:t>Social Science &amp; Medicine</w:t>
      </w:r>
      <w:r w:rsidRPr="00496E9D">
        <w:rPr>
          <w:rFonts w:ascii="Times New Roman" w:hAnsi="Times New Roman" w:cs="Times New Roman"/>
          <w:sz w:val="24"/>
          <w:szCs w:val="24"/>
          <w:lang w:val="da-DK"/>
        </w:rPr>
        <w:t xml:space="preserve"> 2005;60(4):777-87.</w:t>
      </w:r>
    </w:p>
    <w:p w14:paraId="429EA654"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496E9D">
        <w:rPr>
          <w:rFonts w:ascii="Times New Roman" w:hAnsi="Times New Roman" w:cs="Times New Roman"/>
          <w:sz w:val="24"/>
          <w:szCs w:val="24"/>
          <w:lang w:val="da-DK"/>
        </w:rPr>
        <w:lastRenderedPageBreak/>
        <w:t xml:space="preserve">19. Halldórsson M, Kunst A, Köhler L, et al. </w:t>
      </w:r>
      <w:r w:rsidRPr="00787F75">
        <w:rPr>
          <w:rFonts w:ascii="Times New Roman" w:hAnsi="Times New Roman" w:cs="Times New Roman"/>
          <w:sz w:val="24"/>
          <w:szCs w:val="24"/>
        </w:rPr>
        <w:t xml:space="preserve">Socioeconomic differences in children's use of physician services in the Nordic countries. </w:t>
      </w:r>
      <w:r>
        <w:rPr>
          <w:rFonts w:ascii="Times New Roman" w:hAnsi="Times New Roman" w:cs="Times New Roman"/>
          <w:i/>
          <w:sz w:val="24"/>
          <w:szCs w:val="24"/>
        </w:rPr>
        <w:t>Journal of Epidemiology and Community H</w:t>
      </w:r>
      <w:r w:rsidRPr="00787F75">
        <w:rPr>
          <w:rFonts w:ascii="Times New Roman" w:hAnsi="Times New Roman" w:cs="Times New Roman"/>
          <w:i/>
          <w:sz w:val="24"/>
          <w:szCs w:val="24"/>
        </w:rPr>
        <w:t>ealth</w:t>
      </w:r>
      <w:r w:rsidRPr="00787F75">
        <w:rPr>
          <w:rFonts w:ascii="Times New Roman" w:hAnsi="Times New Roman" w:cs="Times New Roman"/>
          <w:sz w:val="24"/>
          <w:szCs w:val="24"/>
        </w:rPr>
        <w:t xml:space="preserve"> 2002;56(3):200-04.</w:t>
      </w:r>
    </w:p>
    <w:p w14:paraId="5B5FAF84"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20. Wendt C. Mapping European healthcare systems: a comparative analysis of financing, service provision and access to healthcare. </w:t>
      </w:r>
      <w:r w:rsidRPr="00787F75">
        <w:rPr>
          <w:rFonts w:ascii="Times New Roman" w:hAnsi="Times New Roman" w:cs="Times New Roman"/>
          <w:i/>
          <w:sz w:val="24"/>
          <w:szCs w:val="24"/>
        </w:rPr>
        <w:t>Journal of European Social Policy</w:t>
      </w:r>
      <w:r w:rsidRPr="00787F75">
        <w:rPr>
          <w:rFonts w:ascii="Times New Roman" w:hAnsi="Times New Roman" w:cs="Times New Roman"/>
          <w:sz w:val="24"/>
          <w:szCs w:val="24"/>
        </w:rPr>
        <w:t xml:space="preserve"> 2009;19(5):432-45.</w:t>
      </w:r>
    </w:p>
    <w:p w14:paraId="00DD5457"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21. Wendt C, Kohl J. Translating monetary inputs into health care provision: a comparative analysis of the impact of different modes of public policy. </w:t>
      </w:r>
      <w:r w:rsidRPr="00787F75">
        <w:rPr>
          <w:rFonts w:ascii="Times New Roman" w:hAnsi="Times New Roman" w:cs="Times New Roman"/>
          <w:i/>
          <w:sz w:val="24"/>
          <w:szCs w:val="24"/>
        </w:rPr>
        <w:t>Journal of Comparative Policy Analysis</w:t>
      </w:r>
      <w:r w:rsidRPr="00787F75">
        <w:rPr>
          <w:rFonts w:ascii="Times New Roman" w:hAnsi="Times New Roman" w:cs="Times New Roman"/>
          <w:sz w:val="24"/>
          <w:szCs w:val="24"/>
        </w:rPr>
        <w:t xml:space="preserve"> 2010;12(1-2):11-31.</w:t>
      </w:r>
    </w:p>
    <w:p w14:paraId="45F94AF9" w14:textId="77777777" w:rsid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22. WHO. Total expenditure on health as a percentage of gross domestic product 2011</w:t>
      </w:r>
      <w:r>
        <w:rPr>
          <w:rFonts w:ascii="Times New Roman" w:hAnsi="Times New Roman" w:cs="Times New Roman"/>
          <w:sz w:val="24"/>
          <w:szCs w:val="24"/>
        </w:rPr>
        <w:t>. Available at:</w:t>
      </w:r>
      <w:r w:rsidRPr="00787F75">
        <w:rPr>
          <w:rFonts w:ascii="Times New Roman" w:hAnsi="Times New Roman" w:cs="Times New Roman"/>
          <w:sz w:val="24"/>
          <w:szCs w:val="24"/>
        </w:rPr>
        <w:t xml:space="preserve"> http://apps.who.int/gho/indicatorregistry/App_Main/view_indicator.aspx?iid=122</w:t>
      </w:r>
      <w:r>
        <w:rPr>
          <w:rFonts w:ascii="Times New Roman" w:hAnsi="Times New Roman" w:cs="Times New Roman"/>
          <w:sz w:val="24"/>
          <w:szCs w:val="24"/>
        </w:rPr>
        <w:t xml:space="preserve"> (accessed 3 February 2016)</w:t>
      </w:r>
      <w:r w:rsidRPr="00787F75">
        <w:rPr>
          <w:rFonts w:ascii="Times New Roman" w:hAnsi="Times New Roman" w:cs="Times New Roman"/>
          <w:sz w:val="24"/>
          <w:szCs w:val="24"/>
        </w:rPr>
        <w:t xml:space="preserve">. </w:t>
      </w:r>
    </w:p>
    <w:p w14:paraId="07BE033C"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23. Wendt C. Changing healthcare system types. </w:t>
      </w:r>
      <w:r>
        <w:rPr>
          <w:rFonts w:ascii="Times New Roman" w:hAnsi="Times New Roman" w:cs="Times New Roman"/>
          <w:i/>
          <w:sz w:val="24"/>
          <w:szCs w:val="24"/>
        </w:rPr>
        <w:t>Social Policy &amp; A</w:t>
      </w:r>
      <w:r w:rsidRPr="00787F75">
        <w:rPr>
          <w:rFonts w:ascii="Times New Roman" w:hAnsi="Times New Roman" w:cs="Times New Roman"/>
          <w:i/>
          <w:sz w:val="24"/>
          <w:szCs w:val="24"/>
        </w:rPr>
        <w:t>dministration</w:t>
      </w:r>
      <w:r w:rsidRPr="00787F75">
        <w:rPr>
          <w:rFonts w:ascii="Times New Roman" w:hAnsi="Times New Roman" w:cs="Times New Roman"/>
          <w:sz w:val="24"/>
          <w:szCs w:val="24"/>
        </w:rPr>
        <w:t xml:space="preserve"> 2014;48(7):864-82.</w:t>
      </w:r>
    </w:p>
    <w:p w14:paraId="1F8ECC65"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24. Rice N, Smith PC. Strategic resource allocation and funding decisions In: Mossialos E, Dixon A, Fi</w:t>
      </w:r>
      <w:r>
        <w:rPr>
          <w:rFonts w:ascii="Times New Roman" w:hAnsi="Times New Roman" w:cs="Times New Roman"/>
          <w:sz w:val="24"/>
          <w:szCs w:val="24"/>
        </w:rPr>
        <w:t>gueras J, et al., eds. Funding Health Care: O</w:t>
      </w:r>
      <w:r w:rsidRPr="00787F75">
        <w:rPr>
          <w:rFonts w:ascii="Times New Roman" w:hAnsi="Times New Roman" w:cs="Times New Roman"/>
          <w:sz w:val="24"/>
          <w:szCs w:val="24"/>
        </w:rPr>
        <w:t>ptions for Europe. Buckingham: Open Universty Press 2002:250-71.</w:t>
      </w:r>
    </w:p>
    <w:p w14:paraId="44440FFD"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25. Reibling N, Wendt C. Regulating patients’ access to healthcare services. In: Mervio MM, ed. Healthcare Management and Economics: Perspectives on Public and Private Administration. Hershey PA</w:t>
      </w:r>
      <w:r w:rsidR="0047374E">
        <w:rPr>
          <w:rFonts w:ascii="Times New Roman" w:hAnsi="Times New Roman" w:cs="Times New Roman"/>
          <w:sz w:val="24"/>
          <w:szCs w:val="24"/>
        </w:rPr>
        <w:t>:</w:t>
      </w:r>
      <w:r w:rsidRPr="00787F75">
        <w:rPr>
          <w:rFonts w:ascii="Times New Roman" w:hAnsi="Times New Roman" w:cs="Times New Roman"/>
          <w:sz w:val="24"/>
          <w:szCs w:val="24"/>
        </w:rPr>
        <w:t xml:space="preserve"> Medical Information Science Reference 2013:53-68.</w:t>
      </w:r>
    </w:p>
    <w:p w14:paraId="022639D3"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26. Forrest CB, Nutting PA, von Schrader S, et al. Primary care physician specialty referral decision making: patient, physician, and health care system determinants. </w:t>
      </w:r>
      <w:r w:rsidRPr="00787F75">
        <w:rPr>
          <w:rFonts w:ascii="Times New Roman" w:hAnsi="Times New Roman" w:cs="Times New Roman"/>
          <w:i/>
          <w:sz w:val="24"/>
          <w:szCs w:val="24"/>
        </w:rPr>
        <w:t>Medical decision making</w:t>
      </w:r>
      <w:r w:rsidRPr="00787F75">
        <w:rPr>
          <w:rFonts w:ascii="Times New Roman" w:hAnsi="Times New Roman" w:cs="Times New Roman"/>
          <w:sz w:val="24"/>
          <w:szCs w:val="24"/>
        </w:rPr>
        <w:t xml:space="preserve"> 2006;26(1):76-85.</w:t>
      </w:r>
    </w:p>
    <w:p w14:paraId="0F85101F"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27. Woolf SH, Grol R, Hutchinson A, et al. Potential benefits, limitations, and harms of clinical guidelines. </w:t>
      </w:r>
      <w:r w:rsidRPr="00787F75">
        <w:rPr>
          <w:rFonts w:ascii="Times New Roman" w:hAnsi="Times New Roman" w:cs="Times New Roman"/>
          <w:i/>
          <w:sz w:val="24"/>
          <w:szCs w:val="24"/>
        </w:rPr>
        <w:t>British Medical Journal</w:t>
      </w:r>
      <w:r w:rsidRPr="00787F75">
        <w:rPr>
          <w:rFonts w:ascii="Times New Roman" w:hAnsi="Times New Roman" w:cs="Times New Roman"/>
          <w:sz w:val="24"/>
          <w:szCs w:val="24"/>
        </w:rPr>
        <w:t xml:space="preserve"> 1999;318(7182):527-30.</w:t>
      </w:r>
    </w:p>
    <w:p w14:paraId="7EC83F24"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28. Chassin M, Brook R, Park R, et al. Variations in the use of medical and surgical services by the Medicare population. </w:t>
      </w:r>
      <w:r w:rsidRPr="00787F75">
        <w:rPr>
          <w:rFonts w:ascii="Times New Roman" w:hAnsi="Times New Roman" w:cs="Times New Roman"/>
          <w:i/>
          <w:sz w:val="24"/>
          <w:szCs w:val="24"/>
        </w:rPr>
        <w:t>The New England Journal of Medicine</w:t>
      </w:r>
      <w:r w:rsidRPr="00787F75">
        <w:rPr>
          <w:rFonts w:ascii="Times New Roman" w:hAnsi="Times New Roman" w:cs="Times New Roman"/>
          <w:sz w:val="24"/>
          <w:szCs w:val="24"/>
        </w:rPr>
        <w:t xml:space="preserve"> 1986;314(5):285-90.</w:t>
      </w:r>
    </w:p>
    <w:p w14:paraId="632B3CAA" w14:textId="77777777" w:rsidR="00787F75" w:rsidRPr="00787F75" w:rsidRDefault="00787F75" w:rsidP="00787F75">
      <w:pPr>
        <w:pStyle w:val="EndNoteBibliography"/>
        <w:spacing w:after="0"/>
        <w:ind w:left="720" w:hanging="720"/>
        <w:rPr>
          <w:rFonts w:ascii="Times New Roman" w:hAnsi="Times New Roman" w:cs="Times New Roman"/>
          <w:sz w:val="24"/>
          <w:szCs w:val="24"/>
        </w:rPr>
      </w:pPr>
      <w:r w:rsidRPr="00787F75">
        <w:rPr>
          <w:rFonts w:ascii="Times New Roman" w:hAnsi="Times New Roman" w:cs="Times New Roman"/>
          <w:sz w:val="24"/>
          <w:szCs w:val="24"/>
        </w:rPr>
        <w:t>29. Devaux M, De Looper M. Income-related inequalities in health service utilisation in 19 OECD countries, 2008-2009, OECD Health Working Papers,</w:t>
      </w:r>
      <w:r>
        <w:rPr>
          <w:rFonts w:ascii="Times New Roman" w:hAnsi="Times New Roman" w:cs="Times New Roman"/>
          <w:sz w:val="24"/>
          <w:szCs w:val="24"/>
        </w:rPr>
        <w:t xml:space="preserve"> No. 58. Paris: OECD Publishing</w:t>
      </w:r>
      <w:r w:rsidRPr="00787F75">
        <w:rPr>
          <w:rFonts w:ascii="Times New Roman" w:hAnsi="Times New Roman" w:cs="Times New Roman"/>
          <w:sz w:val="24"/>
          <w:szCs w:val="24"/>
        </w:rPr>
        <w:t xml:space="preserve"> 2012</w:t>
      </w:r>
      <w:r>
        <w:rPr>
          <w:rFonts w:ascii="Times New Roman" w:hAnsi="Times New Roman" w:cs="Times New Roman"/>
          <w:sz w:val="24"/>
          <w:szCs w:val="24"/>
        </w:rPr>
        <w:t>.</w:t>
      </w:r>
    </w:p>
    <w:p w14:paraId="0CC337E1" w14:textId="77777777" w:rsidR="00787F75" w:rsidRPr="00787F75" w:rsidRDefault="00787F75" w:rsidP="00787F75">
      <w:pPr>
        <w:pStyle w:val="EndNoteBibliography"/>
        <w:ind w:left="720" w:hanging="720"/>
        <w:rPr>
          <w:rFonts w:ascii="Times New Roman" w:hAnsi="Times New Roman" w:cs="Times New Roman"/>
          <w:sz w:val="24"/>
          <w:szCs w:val="24"/>
        </w:rPr>
      </w:pPr>
      <w:r w:rsidRPr="00787F75">
        <w:rPr>
          <w:rFonts w:ascii="Times New Roman" w:hAnsi="Times New Roman" w:cs="Times New Roman"/>
          <w:sz w:val="24"/>
          <w:szCs w:val="24"/>
        </w:rPr>
        <w:t xml:space="preserve">30. Franks P, Clancy CM, Nutting PA. Gatekeeping revisited—protecting patients from overtreatment. </w:t>
      </w:r>
      <w:r w:rsidRPr="00787F75">
        <w:rPr>
          <w:rFonts w:ascii="Times New Roman" w:hAnsi="Times New Roman" w:cs="Times New Roman"/>
          <w:i/>
          <w:sz w:val="24"/>
          <w:szCs w:val="24"/>
        </w:rPr>
        <w:t>New England Journal of Medicine</w:t>
      </w:r>
      <w:r w:rsidRPr="00787F75">
        <w:rPr>
          <w:rFonts w:ascii="Times New Roman" w:hAnsi="Times New Roman" w:cs="Times New Roman"/>
          <w:sz w:val="24"/>
          <w:szCs w:val="24"/>
        </w:rPr>
        <w:t xml:space="preserve"> 1992;327(6):424-29.</w:t>
      </w:r>
    </w:p>
    <w:p w14:paraId="3843585A" w14:textId="77777777" w:rsidR="00E25BDB" w:rsidRPr="00A861AD" w:rsidRDefault="00E25BDB" w:rsidP="00D73B69">
      <w:pPr>
        <w:pStyle w:val="NoSpacing"/>
        <w:rPr>
          <w:rFonts w:ascii="Times New Roman" w:hAnsi="Times New Roman" w:cs="Times New Roman"/>
          <w:sz w:val="24"/>
          <w:szCs w:val="24"/>
          <w:lang w:val="en-GB" w:eastAsia="nb-NO"/>
        </w:rPr>
      </w:pPr>
    </w:p>
    <w:p w14:paraId="0AA15595" w14:textId="77777777" w:rsidR="00E25BDB" w:rsidRPr="00E12733" w:rsidRDefault="00E25BDB" w:rsidP="00D73B69">
      <w:pPr>
        <w:pStyle w:val="EndNoteBibliography"/>
        <w:ind w:left="720" w:hanging="720"/>
        <w:jc w:val="both"/>
        <w:rPr>
          <w:rFonts w:ascii="Times New Roman" w:hAnsi="Times New Roman" w:cs="Times New Roman"/>
          <w:sz w:val="24"/>
          <w:szCs w:val="24"/>
          <w:lang w:val="en-GB"/>
        </w:rPr>
      </w:pPr>
    </w:p>
    <w:p w14:paraId="6A5CE348" w14:textId="77777777" w:rsidR="00E25BDB" w:rsidRDefault="00E25BDB">
      <w:pPr>
        <w:rPr>
          <w:rFonts w:ascii="Times New Roman" w:hAnsi="Times New Roman" w:cs="Times New Roman"/>
          <w:sz w:val="24"/>
          <w:szCs w:val="24"/>
          <w:lang w:val="en-GB"/>
        </w:rPr>
      </w:pPr>
      <w:r w:rsidRPr="00E12733">
        <w:rPr>
          <w:rFonts w:ascii="Times New Roman" w:hAnsi="Times New Roman" w:cs="Times New Roman"/>
          <w:sz w:val="24"/>
          <w:szCs w:val="24"/>
          <w:lang w:val="en-GB"/>
        </w:rPr>
        <w:br w:type="page"/>
      </w:r>
    </w:p>
    <w:p w14:paraId="08883D2B" w14:textId="77777777" w:rsidR="00E25BDB" w:rsidRPr="0079065E" w:rsidRDefault="00E25BDB" w:rsidP="00D73B69">
      <w:pPr>
        <w:pStyle w:val="NoSpacing"/>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 xml:space="preserve">Descriptive statistics for GP and specialist use </w:t>
      </w:r>
    </w:p>
    <w:p w14:paraId="6D9F3F55" w14:textId="77777777" w:rsidR="00E25BDB" w:rsidRDefault="00E25BDB" w:rsidP="00D73B69">
      <w:pPr>
        <w:pStyle w:val="NoSpacing"/>
        <w:rPr>
          <w:lang w:val="en-GB"/>
        </w:rPr>
      </w:pPr>
    </w:p>
    <w:p w14:paraId="114DA03C" w14:textId="77777777" w:rsidR="00E25BDB" w:rsidRPr="00482320" w:rsidRDefault="00E25BDB" w:rsidP="00D73B69">
      <w:pPr>
        <w:pStyle w:val="EndNoteBibliography"/>
        <w:rPr>
          <w:rFonts w:ascii="Times New Roman" w:hAnsi="Times New Roman" w:cs="Times New Roman"/>
          <w:sz w:val="24"/>
          <w:szCs w:val="24"/>
        </w:rPr>
      </w:pPr>
      <w:r w:rsidRPr="00482320">
        <w:rPr>
          <w:rFonts w:ascii="Times New Roman" w:hAnsi="Times New Roman" w:cs="Times New Roman"/>
          <w:i/>
          <w:sz w:val="24"/>
          <w:szCs w:val="24"/>
          <w:lang w:val="en-GB"/>
        </w:rPr>
        <w:t>Table 1: Descriptive statistics for the pooled sample</w:t>
      </w:r>
      <w:r>
        <w:rPr>
          <w:rFonts w:ascii="Times New Roman" w:hAnsi="Times New Roman" w:cs="Times New Roman"/>
          <w:i/>
          <w:sz w:val="24"/>
          <w:szCs w:val="24"/>
          <w:lang w:val="en-G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876"/>
        <w:gridCol w:w="989"/>
        <w:gridCol w:w="2009"/>
        <w:gridCol w:w="2216"/>
      </w:tblGrid>
      <w:tr w:rsidR="00E25BDB" w:rsidRPr="001963D0" w14:paraId="0237E768" w14:textId="77777777" w:rsidTr="00D73B69">
        <w:tc>
          <w:tcPr>
            <w:tcW w:w="0" w:type="auto"/>
            <w:tcBorders>
              <w:top w:val="single" w:sz="4" w:space="0" w:color="auto"/>
              <w:bottom w:val="single" w:sz="4" w:space="0" w:color="auto"/>
            </w:tcBorders>
          </w:tcPr>
          <w:p w14:paraId="6A08D71D" w14:textId="77777777" w:rsidR="00E25BDB" w:rsidRPr="00482320" w:rsidRDefault="00E25BDB" w:rsidP="00D73B69">
            <w:pPr>
              <w:pStyle w:val="EndNoteBibliography"/>
              <w:jc w:val="both"/>
              <w:rPr>
                <w:rFonts w:ascii="Times New Roman" w:hAnsi="Times New Roman" w:cs="Times New Roman"/>
                <w:b/>
                <w:sz w:val="24"/>
                <w:szCs w:val="24"/>
                <w:lang w:val="en-GB"/>
              </w:rPr>
            </w:pPr>
          </w:p>
        </w:tc>
        <w:tc>
          <w:tcPr>
            <w:tcW w:w="0" w:type="auto"/>
            <w:tcBorders>
              <w:top w:val="single" w:sz="4" w:space="0" w:color="auto"/>
              <w:bottom w:val="single" w:sz="4" w:space="0" w:color="auto"/>
            </w:tcBorders>
          </w:tcPr>
          <w:p w14:paraId="70317203" w14:textId="77777777" w:rsidR="00E25BDB" w:rsidRPr="00482320" w:rsidRDefault="00E25BDB" w:rsidP="00D73B69">
            <w:pPr>
              <w:pStyle w:val="EndNoteBibliography"/>
              <w:jc w:val="right"/>
              <w:rPr>
                <w:rFonts w:ascii="Times New Roman" w:hAnsi="Times New Roman" w:cs="Times New Roman"/>
                <w:b/>
                <w:sz w:val="24"/>
                <w:szCs w:val="24"/>
                <w:lang w:val="en-GB"/>
              </w:rPr>
            </w:pPr>
            <w:r w:rsidRPr="00482320">
              <w:rPr>
                <w:rFonts w:ascii="Times New Roman" w:hAnsi="Times New Roman" w:cs="Times New Roman"/>
                <w:b/>
                <w:sz w:val="24"/>
                <w:szCs w:val="24"/>
                <w:lang w:val="en-GB"/>
              </w:rPr>
              <w:t>N</w:t>
            </w:r>
          </w:p>
        </w:tc>
        <w:tc>
          <w:tcPr>
            <w:tcW w:w="0" w:type="auto"/>
            <w:tcBorders>
              <w:top w:val="single" w:sz="4" w:space="0" w:color="auto"/>
              <w:bottom w:val="single" w:sz="4" w:space="0" w:color="auto"/>
            </w:tcBorders>
          </w:tcPr>
          <w:p w14:paraId="33EFCE4F" w14:textId="77777777" w:rsidR="00E25BDB" w:rsidRPr="00482320" w:rsidRDefault="00E25BDB" w:rsidP="00D73B69">
            <w:pPr>
              <w:pStyle w:val="EndNoteBibliography"/>
              <w:jc w:val="right"/>
              <w:rPr>
                <w:rFonts w:ascii="Times New Roman" w:hAnsi="Times New Roman" w:cs="Times New Roman"/>
                <w:b/>
                <w:sz w:val="24"/>
                <w:szCs w:val="24"/>
                <w:lang w:val="en-GB"/>
              </w:rPr>
            </w:pPr>
            <w:r>
              <w:rPr>
                <w:rFonts w:ascii="Times New Roman" w:hAnsi="Times New Roman" w:cs="Times New Roman"/>
                <w:b/>
                <w:sz w:val="24"/>
                <w:szCs w:val="24"/>
                <w:lang w:val="en-GB"/>
              </w:rPr>
              <w:t>percent</w:t>
            </w:r>
          </w:p>
        </w:tc>
        <w:tc>
          <w:tcPr>
            <w:tcW w:w="0" w:type="auto"/>
            <w:tcBorders>
              <w:top w:val="single" w:sz="4" w:space="0" w:color="auto"/>
              <w:bottom w:val="single" w:sz="4" w:space="0" w:color="auto"/>
            </w:tcBorders>
          </w:tcPr>
          <w:p w14:paraId="11CA71DC" w14:textId="77777777" w:rsidR="00E25BDB" w:rsidRPr="00482320" w:rsidRDefault="00E25BDB" w:rsidP="00D73B69">
            <w:pPr>
              <w:pStyle w:val="EndNoteBibliography"/>
              <w:jc w:val="right"/>
              <w:rPr>
                <w:rFonts w:ascii="Times New Roman" w:hAnsi="Times New Roman" w:cs="Times New Roman"/>
                <w:b/>
                <w:sz w:val="24"/>
                <w:szCs w:val="24"/>
                <w:lang w:val="en-GB"/>
              </w:rPr>
            </w:pPr>
            <w:r>
              <w:rPr>
                <w:rFonts w:ascii="Times New Roman" w:hAnsi="Times New Roman" w:cs="Times New Roman"/>
                <w:b/>
                <w:sz w:val="24"/>
                <w:szCs w:val="24"/>
                <w:lang w:val="en-GB"/>
              </w:rPr>
              <w:t>(percent)</w:t>
            </w:r>
            <w:r w:rsidRPr="00482320">
              <w:rPr>
                <w:rFonts w:ascii="Times New Roman" w:hAnsi="Times New Roman" w:cs="Times New Roman"/>
                <w:b/>
                <w:sz w:val="24"/>
                <w:szCs w:val="24"/>
                <w:lang w:val="en-GB"/>
              </w:rPr>
              <w:t xml:space="preserve"> GP util.</w:t>
            </w:r>
          </w:p>
        </w:tc>
        <w:tc>
          <w:tcPr>
            <w:tcW w:w="0" w:type="auto"/>
            <w:tcBorders>
              <w:top w:val="single" w:sz="4" w:space="0" w:color="auto"/>
              <w:bottom w:val="single" w:sz="4" w:space="0" w:color="auto"/>
            </w:tcBorders>
          </w:tcPr>
          <w:p w14:paraId="1E7ED180" w14:textId="77777777" w:rsidR="00E25BDB" w:rsidRPr="00482320" w:rsidRDefault="00E25BDB" w:rsidP="00D73B69">
            <w:pPr>
              <w:pStyle w:val="EndNoteBibliography"/>
              <w:jc w:val="right"/>
              <w:rPr>
                <w:rFonts w:ascii="Times New Roman" w:hAnsi="Times New Roman" w:cs="Times New Roman"/>
                <w:b/>
                <w:sz w:val="24"/>
                <w:szCs w:val="24"/>
                <w:lang w:val="en-GB"/>
              </w:rPr>
            </w:pPr>
            <w:r>
              <w:rPr>
                <w:rFonts w:ascii="Times New Roman" w:hAnsi="Times New Roman" w:cs="Times New Roman"/>
                <w:b/>
                <w:sz w:val="24"/>
                <w:szCs w:val="24"/>
                <w:lang w:val="en-GB"/>
              </w:rPr>
              <w:t>(percent) Spec. util.</w:t>
            </w:r>
          </w:p>
        </w:tc>
      </w:tr>
      <w:tr w:rsidR="00E25BDB" w:rsidRPr="001963D0" w14:paraId="2C443F43" w14:textId="77777777" w:rsidTr="00D73B69">
        <w:tc>
          <w:tcPr>
            <w:tcW w:w="0" w:type="auto"/>
            <w:tcBorders>
              <w:top w:val="single" w:sz="4" w:space="0" w:color="auto"/>
              <w:bottom w:val="single" w:sz="4" w:space="0" w:color="auto"/>
            </w:tcBorders>
          </w:tcPr>
          <w:p w14:paraId="35B53455" w14:textId="77777777" w:rsidR="00E25BDB" w:rsidRPr="001963D0" w:rsidRDefault="00E25BDB" w:rsidP="00D73B69">
            <w:pPr>
              <w:pStyle w:val="EndNoteBibliography"/>
              <w:jc w:val="both"/>
              <w:rPr>
                <w:rFonts w:ascii="Times New Roman" w:hAnsi="Times New Roman" w:cs="Times New Roman"/>
                <w:i/>
                <w:sz w:val="24"/>
                <w:szCs w:val="24"/>
                <w:lang w:val="en-GB"/>
              </w:rPr>
            </w:pPr>
            <w:r w:rsidRPr="001963D0">
              <w:rPr>
                <w:rFonts w:ascii="Times New Roman" w:hAnsi="Times New Roman" w:cs="Times New Roman"/>
                <w:i/>
                <w:sz w:val="24"/>
                <w:szCs w:val="24"/>
                <w:lang w:val="en-GB"/>
              </w:rPr>
              <w:t>GP util.</w:t>
            </w:r>
          </w:p>
        </w:tc>
        <w:tc>
          <w:tcPr>
            <w:tcW w:w="0" w:type="auto"/>
            <w:tcBorders>
              <w:top w:val="single" w:sz="4" w:space="0" w:color="auto"/>
              <w:bottom w:val="single" w:sz="4" w:space="0" w:color="auto"/>
            </w:tcBorders>
          </w:tcPr>
          <w:p w14:paraId="03A57987" w14:textId="77777777" w:rsidR="00E25BDB" w:rsidRPr="00482320" w:rsidRDefault="00E25BDB" w:rsidP="00D73B69">
            <w:pPr>
              <w:pStyle w:val="EndNoteBibliography"/>
              <w:jc w:val="right"/>
              <w:rPr>
                <w:rFonts w:ascii="Times New Roman" w:hAnsi="Times New Roman" w:cs="Times New Roman"/>
                <w:sz w:val="24"/>
                <w:szCs w:val="24"/>
                <w:lang w:val="en-GB"/>
              </w:rPr>
            </w:pPr>
          </w:p>
        </w:tc>
        <w:tc>
          <w:tcPr>
            <w:tcW w:w="0" w:type="auto"/>
            <w:tcBorders>
              <w:top w:val="single" w:sz="4" w:space="0" w:color="auto"/>
              <w:bottom w:val="single" w:sz="4" w:space="0" w:color="auto"/>
            </w:tcBorders>
          </w:tcPr>
          <w:p w14:paraId="7E33CF96" w14:textId="77777777" w:rsidR="00E25BDB" w:rsidRPr="00482320" w:rsidRDefault="00E25BDB" w:rsidP="00D73B69">
            <w:pPr>
              <w:pStyle w:val="EndNoteBibliography"/>
              <w:jc w:val="right"/>
              <w:rPr>
                <w:rFonts w:ascii="Times New Roman" w:hAnsi="Times New Roman" w:cs="Times New Roman"/>
                <w:sz w:val="24"/>
                <w:szCs w:val="24"/>
                <w:lang w:val="en-GB"/>
              </w:rPr>
            </w:pPr>
          </w:p>
        </w:tc>
        <w:tc>
          <w:tcPr>
            <w:tcW w:w="0" w:type="auto"/>
            <w:tcBorders>
              <w:top w:val="single" w:sz="4" w:space="0" w:color="auto"/>
              <w:bottom w:val="single" w:sz="4" w:space="0" w:color="auto"/>
            </w:tcBorders>
          </w:tcPr>
          <w:p w14:paraId="24AF9964" w14:textId="77777777" w:rsidR="00E25BDB" w:rsidRPr="00482320" w:rsidRDefault="00E25BDB" w:rsidP="00D73B69">
            <w:pPr>
              <w:pStyle w:val="EndNoteBibliography"/>
              <w:jc w:val="right"/>
              <w:rPr>
                <w:rFonts w:ascii="Times New Roman" w:hAnsi="Times New Roman" w:cs="Times New Roman"/>
                <w:sz w:val="24"/>
                <w:szCs w:val="24"/>
                <w:lang w:val="en-GB"/>
              </w:rPr>
            </w:pPr>
          </w:p>
        </w:tc>
        <w:tc>
          <w:tcPr>
            <w:tcW w:w="0" w:type="auto"/>
            <w:tcBorders>
              <w:top w:val="single" w:sz="4" w:space="0" w:color="auto"/>
              <w:bottom w:val="single" w:sz="4" w:space="0" w:color="auto"/>
            </w:tcBorders>
          </w:tcPr>
          <w:p w14:paraId="7F9C5A61" w14:textId="77777777" w:rsidR="00E25BDB" w:rsidRPr="00482320" w:rsidRDefault="00E25BDB" w:rsidP="00D73B69">
            <w:pPr>
              <w:pStyle w:val="EndNoteBibliography"/>
              <w:jc w:val="right"/>
              <w:rPr>
                <w:rFonts w:ascii="Times New Roman" w:hAnsi="Times New Roman" w:cs="Times New Roman"/>
                <w:sz w:val="24"/>
                <w:szCs w:val="24"/>
                <w:lang w:val="en-GB"/>
              </w:rPr>
            </w:pPr>
          </w:p>
        </w:tc>
      </w:tr>
      <w:tr w:rsidR="00E25BDB" w:rsidRPr="001963D0" w14:paraId="60B2DDDC" w14:textId="77777777" w:rsidTr="00D73B69">
        <w:tc>
          <w:tcPr>
            <w:tcW w:w="0" w:type="auto"/>
            <w:tcBorders>
              <w:top w:val="single" w:sz="4" w:space="0" w:color="auto"/>
            </w:tcBorders>
          </w:tcPr>
          <w:p w14:paraId="513BC947"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Yes</w:t>
            </w:r>
          </w:p>
        </w:tc>
        <w:tc>
          <w:tcPr>
            <w:tcW w:w="0" w:type="auto"/>
            <w:tcBorders>
              <w:top w:val="single" w:sz="4" w:space="0" w:color="auto"/>
            </w:tcBorders>
          </w:tcPr>
          <w:p w14:paraId="7DA57DC2"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22 126</w:t>
            </w:r>
          </w:p>
        </w:tc>
        <w:tc>
          <w:tcPr>
            <w:tcW w:w="0" w:type="auto"/>
            <w:tcBorders>
              <w:top w:val="single" w:sz="4" w:space="0" w:color="auto"/>
            </w:tcBorders>
          </w:tcPr>
          <w:p w14:paraId="50D67AEE"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74,7</w:t>
            </w:r>
          </w:p>
        </w:tc>
        <w:tc>
          <w:tcPr>
            <w:tcW w:w="0" w:type="auto"/>
            <w:tcBorders>
              <w:top w:val="single" w:sz="4" w:space="0" w:color="auto"/>
            </w:tcBorders>
          </w:tcPr>
          <w:p w14:paraId="4F36D540" w14:textId="77777777" w:rsidR="00E25BDB" w:rsidRPr="00482320" w:rsidRDefault="00E25BDB" w:rsidP="00D73B69">
            <w:pPr>
              <w:pStyle w:val="EndNoteBibliography"/>
              <w:jc w:val="right"/>
              <w:rPr>
                <w:rFonts w:ascii="Times New Roman" w:hAnsi="Times New Roman" w:cs="Times New Roman"/>
                <w:sz w:val="24"/>
                <w:szCs w:val="24"/>
                <w:lang w:val="en-GB"/>
              </w:rPr>
            </w:pPr>
          </w:p>
        </w:tc>
        <w:tc>
          <w:tcPr>
            <w:tcW w:w="0" w:type="auto"/>
            <w:tcBorders>
              <w:top w:val="single" w:sz="4" w:space="0" w:color="auto"/>
            </w:tcBorders>
          </w:tcPr>
          <w:p w14:paraId="059FDB75" w14:textId="77777777" w:rsidR="00E25BDB" w:rsidRPr="00482320" w:rsidRDefault="00E25BDB" w:rsidP="00D73B69">
            <w:pPr>
              <w:pStyle w:val="EndNoteBibliography"/>
              <w:jc w:val="right"/>
              <w:rPr>
                <w:rFonts w:ascii="Times New Roman" w:hAnsi="Times New Roman" w:cs="Times New Roman"/>
                <w:sz w:val="24"/>
                <w:szCs w:val="24"/>
                <w:lang w:val="en-GB"/>
              </w:rPr>
            </w:pPr>
          </w:p>
        </w:tc>
      </w:tr>
      <w:tr w:rsidR="00E25BDB" w:rsidRPr="001963D0" w14:paraId="0308F1D6" w14:textId="77777777" w:rsidTr="00D73B69">
        <w:tc>
          <w:tcPr>
            <w:tcW w:w="0" w:type="auto"/>
            <w:tcBorders>
              <w:bottom w:val="single" w:sz="4" w:space="0" w:color="auto"/>
            </w:tcBorders>
          </w:tcPr>
          <w:p w14:paraId="48F63044"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No</w:t>
            </w:r>
          </w:p>
        </w:tc>
        <w:tc>
          <w:tcPr>
            <w:tcW w:w="0" w:type="auto"/>
            <w:tcBorders>
              <w:bottom w:val="single" w:sz="4" w:space="0" w:color="auto"/>
            </w:tcBorders>
          </w:tcPr>
          <w:p w14:paraId="27A67766"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7 511</w:t>
            </w:r>
          </w:p>
        </w:tc>
        <w:tc>
          <w:tcPr>
            <w:tcW w:w="0" w:type="auto"/>
            <w:tcBorders>
              <w:bottom w:val="single" w:sz="4" w:space="0" w:color="auto"/>
            </w:tcBorders>
          </w:tcPr>
          <w:p w14:paraId="383F3D9A"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25,3</w:t>
            </w:r>
          </w:p>
        </w:tc>
        <w:tc>
          <w:tcPr>
            <w:tcW w:w="0" w:type="auto"/>
            <w:tcBorders>
              <w:bottom w:val="single" w:sz="4" w:space="0" w:color="auto"/>
            </w:tcBorders>
          </w:tcPr>
          <w:p w14:paraId="6D2B039A" w14:textId="77777777" w:rsidR="00E25BDB" w:rsidRPr="00482320" w:rsidRDefault="00E25BDB" w:rsidP="00D73B69">
            <w:pPr>
              <w:pStyle w:val="EndNoteBibliography"/>
              <w:jc w:val="right"/>
              <w:rPr>
                <w:rFonts w:ascii="Times New Roman" w:hAnsi="Times New Roman" w:cs="Times New Roman"/>
                <w:sz w:val="24"/>
                <w:szCs w:val="24"/>
                <w:lang w:val="en-GB"/>
              </w:rPr>
            </w:pPr>
          </w:p>
        </w:tc>
        <w:tc>
          <w:tcPr>
            <w:tcW w:w="0" w:type="auto"/>
            <w:tcBorders>
              <w:bottom w:val="single" w:sz="4" w:space="0" w:color="auto"/>
            </w:tcBorders>
          </w:tcPr>
          <w:p w14:paraId="26360FCD" w14:textId="77777777" w:rsidR="00E25BDB" w:rsidRPr="00482320" w:rsidRDefault="00E25BDB" w:rsidP="00D73B69">
            <w:pPr>
              <w:pStyle w:val="EndNoteBibliography"/>
              <w:jc w:val="right"/>
              <w:rPr>
                <w:rFonts w:ascii="Times New Roman" w:hAnsi="Times New Roman" w:cs="Times New Roman"/>
                <w:sz w:val="24"/>
                <w:szCs w:val="24"/>
                <w:lang w:val="en-GB"/>
              </w:rPr>
            </w:pPr>
          </w:p>
        </w:tc>
      </w:tr>
      <w:tr w:rsidR="00E25BDB" w:rsidRPr="001963D0" w14:paraId="4842A16A" w14:textId="77777777" w:rsidTr="00D73B69">
        <w:tc>
          <w:tcPr>
            <w:tcW w:w="0" w:type="auto"/>
            <w:tcBorders>
              <w:top w:val="single" w:sz="4" w:space="0" w:color="auto"/>
              <w:bottom w:val="single" w:sz="4" w:space="0" w:color="auto"/>
            </w:tcBorders>
          </w:tcPr>
          <w:p w14:paraId="0932415D" w14:textId="77777777" w:rsidR="00E25BDB" w:rsidRPr="00482320" w:rsidRDefault="00E25BDB" w:rsidP="00D73B69">
            <w:pPr>
              <w:pStyle w:val="EndNoteBibliography"/>
              <w:jc w:val="both"/>
              <w:rPr>
                <w:rFonts w:ascii="Times New Roman" w:hAnsi="Times New Roman" w:cs="Times New Roman"/>
                <w:i/>
                <w:sz w:val="24"/>
                <w:szCs w:val="24"/>
                <w:lang w:val="en-GB"/>
              </w:rPr>
            </w:pPr>
            <w:r w:rsidRPr="00482320">
              <w:rPr>
                <w:rFonts w:ascii="Times New Roman" w:hAnsi="Times New Roman" w:cs="Times New Roman"/>
                <w:i/>
                <w:sz w:val="24"/>
                <w:szCs w:val="24"/>
                <w:lang w:val="en-GB"/>
              </w:rPr>
              <w:t>Specialist util.</w:t>
            </w:r>
          </w:p>
        </w:tc>
        <w:tc>
          <w:tcPr>
            <w:tcW w:w="0" w:type="auto"/>
            <w:tcBorders>
              <w:top w:val="single" w:sz="4" w:space="0" w:color="auto"/>
              <w:bottom w:val="single" w:sz="4" w:space="0" w:color="auto"/>
            </w:tcBorders>
          </w:tcPr>
          <w:p w14:paraId="68023D1D"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38EF7870"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55EC355B"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61C7C7A3" w14:textId="77777777" w:rsidR="00E25BDB" w:rsidRPr="00482320" w:rsidRDefault="00E25BDB" w:rsidP="00D73B69">
            <w:pPr>
              <w:pStyle w:val="EndNoteBibliography"/>
              <w:jc w:val="right"/>
              <w:rPr>
                <w:rFonts w:ascii="Times New Roman" w:hAnsi="Times New Roman" w:cs="Times New Roman"/>
                <w:i/>
                <w:sz w:val="24"/>
                <w:szCs w:val="24"/>
                <w:lang w:val="en-GB"/>
              </w:rPr>
            </w:pPr>
          </w:p>
        </w:tc>
      </w:tr>
      <w:tr w:rsidR="00E25BDB" w:rsidRPr="001963D0" w14:paraId="69E28B46" w14:textId="77777777" w:rsidTr="00D73B69">
        <w:tc>
          <w:tcPr>
            <w:tcW w:w="0" w:type="auto"/>
            <w:tcBorders>
              <w:top w:val="single" w:sz="4" w:space="0" w:color="auto"/>
            </w:tcBorders>
          </w:tcPr>
          <w:p w14:paraId="3F373A3F"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Yes</w:t>
            </w:r>
          </w:p>
        </w:tc>
        <w:tc>
          <w:tcPr>
            <w:tcW w:w="0" w:type="auto"/>
            <w:tcBorders>
              <w:top w:val="single" w:sz="4" w:space="0" w:color="auto"/>
            </w:tcBorders>
          </w:tcPr>
          <w:p w14:paraId="44C25B74"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12 690</w:t>
            </w:r>
          </w:p>
        </w:tc>
        <w:tc>
          <w:tcPr>
            <w:tcW w:w="0" w:type="auto"/>
            <w:tcBorders>
              <w:top w:val="single" w:sz="4" w:space="0" w:color="auto"/>
            </w:tcBorders>
          </w:tcPr>
          <w:p w14:paraId="6F3B3F70"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42,8</w:t>
            </w:r>
          </w:p>
        </w:tc>
        <w:tc>
          <w:tcPr>
            <w:tcW w:w="0" w:type="auto"/>
            <w:tcBorders>
              <w:top w:val="single" w:sz="4" w:space="0" w:color="auto"/>
            </w:tcBorders>
          </w:tcPr>
          <w:p w14:paraId="4EFDA4C5" w14:textId="77777777" w:rsidR="00E25BDB" w:rsidRPr="00482320" w:rsidRDefault="00E25BDB" w:rsidP="00D73B69">
            <w:pPr>
              <w:pStyle w:val="EndNoteBibliography"/>
              <w:jc w:val="right"/>
              <w:rPr>
                <w:rFonts w:ascii="Times New Roman" w:hAnsi="Times New Roman" w:cs="Times New Roman"/>
                <w:sz w:val="24"/>
                <w:szCs w:val="24"/>
                <w:lang w:val="en-GB"/>
              </w:rPr>
            </w:pPr>
          </w:p>
        </w:tc>
        <w:tc>
          <w:tcPr>
            <w:tcW w:w="0" w:type="auto"/>
            <w:tcBorders>
              <w:top w:val="single" w:sz="4" w:space="0" w:color="auto"/>
            </w:tcBorders>
          </w:tcPr>
          <w:p w14:paraId="73A707C8" w14:textId="77777777" w:rsidR="00E25BDB" w:rsidRPr="00482320" w:rsidRDefault="00E25BDB" w:rsidP="00D73B69">
            <w:pPr>
              <w:pStyle w:val="EndNoteBibliography"/>
              <w:jc w:val="right"/>
              <w:rPr>
                <w:rFonts w:ascii="Times New Roman" w:hAnsi="Times New Roman" w:cs="Times New Roman"/>
                <w:sz w:val="24"/>
                <w:szCs w:val="24"/>
                <w:lang w:val="en-GB"/>
              </w:rPr>
            </w:pPr>
          </w:p>
        </w:tc>
      </w:tr>
      <w:tr w:rsidR="00E25BDB" w:rsidRPr="001963D0" w14:paraId="09338BB3" w14:textId="77777777" w:rsidTr="00D73B69">
        <w:tc>
          <w:tcPr>
            <w:tcW w:w="0" w:type="auto"/>
            <w:tcBorders>
              <w:bottom w:val="single" w:sz="4" w:space="0" w:color="auto"/>
            </w:tcBorders>
          </w:tcPr>
          <w:p w14:paraId="3305F3F1"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No</w:t>
            </w:r>
          </w:p>
        </w:tc>
        <w:tc>
          <w:tcPr>
            <w:tcW w:w="0" w:type="auto"/>
            <w:tcBorders>
              <w:bottom w:val="single" w:sz="4" w:space="0" w:color="auto"/>
            </w:tcBorders>
          </w:tcPr>
          <w:p w14:paraId="066C3387"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16 947</w:t>
            </w:r>
          </w:p>
        </w:tc>
        <w:tc>
          <w:tcPr>
            <w:tcW w:w="0" w:type="auto"/>
            <w:tcBorders>
              <w:bottom w:val="single" w:sz="4" w:space="0" w:color="auto"/>
            </w:tcBorders>
          </w:tcPr>
          <w:p w14:paraId="000186C2"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57,2</w:t>
            </w:r>
          </w:p>
        </w:tc>
        <w:tc>
          <w:tcPr>
            <w:tcW w:w="0" w:type="auto"/>
            <w:tcBorders>
              <w:bottom w:val="single" w:sz="4" w:space="0" w:color="auto"/>
            </w:tcBorders>
          </w:tcPr>
          <w:p w14:paraId="559B633E" w14:textId="77777777" w:rsidR="00E25BDB" w:rsidRPr="00482320" w:rsidRDefault="00E25BDB" w:rsidP="00D73B69">
            <w:pPr>
              <w:pStyle w:val="EndNoteBibliography"/>
              <w:jc w:val="right"/>
              <w:rPr>
                <w:rFonts w:ascii="Times New Roman" w:hAnsi="Times New Roman" w:cs="Times New Roman"/>
                <w:sz w:val="24"/>
                <w:szCs w:val="24"/>
                <w:lang w:val="en-GB"/>
              </w:rPr>
            </w:pPr>
          </w:p>
        </w:tc>
        <w:tc>
          <w:tcPr>
            <w:tcW w:w="0" w:type="auto"/>
            <w:tcBorders>
              <w:bottom w:val="single" w:sz="4" w:space="0" w:color="auto"/>
            </w:tcBorders>
          </w:tcPr>
          <w:p w14:paraId="453B2627" w14:textId="77777777" w:rsidR="00E25BDB" w:rsidRPr="00482320" w:rsidRDefault="00E25BDB" w:rsidP="00D73B69">
            <w:pPr>
              <w:pStyle w:val="EndNoteBibliography"/>
              <w:jc w:val="right"/>
              <w:rPr>
                <w:rFonts w:ascii="Times New Roman" w:hAnsi="Times New Roman" w:cs="Times New Roman"/>
                <w:sz w:val="24"/>
                <w:szCs w:val="24"/>
                <w:lang w:val="en-GB"/>
              </w:rPr>
            </w:pPr>
          </w:p>
        </w:tc>
      </w:tr>
      <w:tr w:rsidR="00E25BDB" w:rsidRPr="001963D0" w14:paraId="038B408A" w14:textId="77777777" w:rsidTr="00D73B69">
        <w:tc>
          <w:tcPr>
            <w:tcW w:w="0" w:type="auto"/>
            <w:tcBorders>
              <w:top w:val="single" w:sz="4" w:space="0" w:color="auto"/>
              <w:bottom w:val="single" w:sz="4" w:space="0" w:color="auto"/>
            </w:tcBorders>
          </w:tcPr>
          <w:p w14:paraId="19830A3A" w14:textId="77777777" w:rsidR="00E25BDB" w:rsidRPr="00482320" w:rsidRDefault="00E25BDB" w:rsidP="00D73B69">
            <w:pPr>
              <w:pStyle w:val="EndNoteBibliography"/>
              <w:jc w:val="both"/>
              <w:rPr>
                <w:rFonts w:ascii="Times New Roman" w:hAnsi="Times New Roman" w:cs="Times New Roman"/>
                <w:i/>
                <w:sz w:val="24"/>
                <w:szCs w:val="24"/>
                <w:lang w:val="en-GB"/>
              </w:rPr>
            </w:pPr>
            <w:r w:rsidRPr="00482320">
              <w:rPr>
                <w:rFonts w:ascii="Times New Roman" w:hAnsi="Times New Roman" w:cs="Times New Roman"/>
                <w:i/>
                <w:sz w:val="24"/>
                <w:szCs w:val="24"/>
                <w:lang w:val="en-GB"/>
              </w:rPr>
              <w:t>Age</w:t>
            </w:r>
          </w:p>
        </w:tc>
        <w:tc>
          <w:tcPr>
            <w:tcW w:w="0" w:type="auto"/>
            <w:tcBorders>
              <w:top w:val="single" w:sz="4" w:space="0" w:color="auto"/>
              <w:bottom w:val="single" w:sz="4" w:space="0" w:color="auto"/>
            </w:tcBorders>
          </w:tcPr>
          <w:p w14:paraId="532C0F63"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5C572B45"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1723DBE6"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55B7B443" w14:textId="77777777" w:rsidR="00E25BDB" w:rsidRPr="00482320" w:rsidRDefault="00E25BDB" w:rsidP="00D73B69">
            <w:pPr>
              <w:pStyle w:val="EndNoteBibliography"/>
              <w:jc w:val="right"/>
              <w:rPr>
                <w:rFonts w:ascii="Times New Roman" w:hAnsi="Times New Roman" w:cs="Times New Roman"/>
                <w:i/>
                <w:sz w:val="24"/>
                <w:szCs w:val="24"/>
                <w:lang w:val="en-GB"/>
              </w:rPr>
            </w:pPr>
          </w:p>
        </w:tc>
      </w:tr>
      <w:tr w:rsidR="00E25BDB" w:rsidRPr="00482320" w14:paraId="4CB3E4FC" w14:textId="77777777" w:rsidTr="00D73B69">
        <w:tc>
          <w:tcPr>
            <w:tcW w:w="0" w:type="auto"/>
            <w:tcBorders>
              <w:top w:val="single" w:sz="4" w:space="0" w:color="auto"/>
            </w:tcBorders>
          </w:tcPr>
          <w:p w14:paraId="1037AB94"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25-59</w:t>
            </w:r>
          </w:p>
        </w:tc>
        <w:tc>
          <w:tcPr>
            <w:tcW w:w="0" w:type="auto"/>
            <w:tcBorders>
              <w:top w:val="single" w:sz="4" w:space="0" w:color="auto"/>
            </w:tcBorders>
          </w:tcPr>
          <w:p w14:paraId="42BDFE25"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20 777</w:t>
            </w:r>
          </w:p>
        </w:tc>
        <w:tc>
          <w:tcPr>
            <w:tcW w:w="0" w:type="auto"/>
            <w:tcBorders>
              <w:top w:val="single" w:sz="4" w:space="0" w:color="auto"/>
            </w:tcBorders>
          </w:tcPr>
          <w:p w14:paraId="0DCB9FD2"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70,1</w:t>
            </w:r>
          </w:p>
        </w:tc>
        <w:tc>
          <w:tcPr>
            <w:tcW w:w="0" w:type="auto"/>
            <w:tcBorders>
              <w:top w:val="single" w:sz="4" w:space="0" w:color="auto"/>
            </w:tcBorders>
          </w:tcPr>
          <w:p w14:paraId="57BEEE9D"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71,3</w:t>
            </w:r>
          </w:p>
        </w:tc>
        <w:tc>
          <w:tcPr>
            <w:tcW w:w="0" w:type="auto"/>
            <w:tcBorders>
              <w:top w:val="single" w:sz="4" w:space="0" w:color="auto"/>
            </w:tcBorders>
          </w:tcPr>
          <w:p w14:paraId="52D4E722"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39,1</w:t>
            </w:r>
          </w:p>
        </w:tc>
      </w:tr>
      <w:tr w:rsidR="00E25BDB" w:rsidRPr="00482320" w14:paraId="43FE8218" w14:textId="77777777" w:rsidTr="00D73B69">
        <w:tc>
          <w:tcPr>
            <w:tcW w:w="0" w:type="auto"/>
            <w:tcBorders>
              <w:bottom w:val="single" w:sz="4" w:space="0" w:color="auto"/>
            </w:tcBorders>
          </w:tcPr>
          <w:p w14:paraId="2C646506"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60-75</w:t>
            </w:r>
          </w:p>
        </w:tc>
        <w:tc>
          <w:tcPr>
            <w:tcW w:w="0" w:type="auto"/>
            <w:tcBorders>
              <w:bottom w:val="single" w:sz="4" w:space="0" w:color="auto"/>
            </w:tcBorders>
          </w:tcPr>
          <w:p w14:paraId="228469FA"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8 860</w:t>
            </w:r>
          </w:p>
        </w:tc>
        <w:tc>
          <w:tcPr>
            <w:tcW w:w="0" w:type="auto"/>
            <w:tcBorders>
              <w:bottom w:val="single" w:sz="4" w:space="0" w:color="auto"/>
            </w:tcBorders>
          </w:tcPr>
          <w:p w14:paraId="4CE26AA5"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29,9</w:t>
            </w:r>
          </w:p>
        </w:tc>
        <w:tc>
          <w:tcPr>
            <w:tcW w:w="0" w:type="auto"/>
            <w:tcBorders>
              <w:bottom w:val="single" w:sz="4" w:space="0" w:color="auto"/>
            </w:tcBorders>
          </w:tcPr>
          <w:p w14:paraId="25221914"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82,5</w:t>
            </w:r>
          </w:p>
        </w:tc>
        <w:tc>
          <w:tcPr>
            <w:tcW w:w="0" w:type="auto"/>
            <w:tcBorders>
              <w:bottom w:val="single" w:sz="4" w:space="0" w:color="auto"/>
            </w:tcBorders>
          </w:tcPr>
          <w:p w14:paraId="2828E5A4"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51,6</w:t>
            </w:r>
          </w:p>
        </w:tc>
      </w:tr>
      <w:tr w:rsidR="00E25BDB" w:rsidRPr="00482320" w14:paraId="055AB650" w14:textId="77777777" w:rsidTr="00D73B69">
        <w:tc>
          <w:tcPr>
            <w:tcW w:w="0" w:type="auto"/>
            <w:tcBorders>
              <w:top w:val="single" w:sz="4" w:space="0" w:color="auto"/>
              <w:bottom w:val="single" w:sz="4" w:space="0" w:color="auto"/>
            </w:tcBorders>
          </w:tcPr>
          <w:p w14:paraId="15D1B16E" w14:textId="77777777" w:rsidR="00E25BDB" w:rsidRPr="00482320" w:rsidRDefault="00E25BDB" w:rsidP="00D73B69">
            <w:pPr>
              <w:pStyle w:val="EndNoteBibliography"/>
              <w:jc w:val="both"/>
              <w:rPr>
                <w:rFonts w:ascii="Times New Roman" w:hAnsi="Times New Roman" w:cs="Times New Roman"/>
                <w:i/>
                <w:sz w:val="24"/>
                <w:szCs w:val="24"/>
                <w:lang w:val="en-GB"/>
              </w:rPr>
            </w:pPr>
            <w:r w:rsidRPr="00482320">
              <w:rPr>
                <w:rFonts w:ascii="Times New Roman" w:hAnsi="Times New Roman" w:cs="Times New Roman"/>
                <w:i/>
                <w:sz w:val="24"/>
                <w:szCs w:val="24"/>
                <w:lang w:val="en-GB"/>
              </w:rPr>
              <w:t>Gender</w:t>
            </w:r>
          </w:p>
        </w:tc>
        <w:tc>
          <w:tcPr>
            <w:tcW w:w="0" w:type="auto"/>
            <w:tcBorders>
              <w:top w:val="single" w:sz="4" w:space="0" w:color="auto"/>
              <w:bottom w:val="single" w:sz="4" w:space="0" w:color="auto"/>
            </w:tcBorders>
          </w:tcPr>
          <w:p w14:paraId="28909337"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4D6C7F0B"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5652AF92"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3D26676E" w14:textId="77777777" w:rsidR="00E25BDB" w:rsidRPr="00482320" w:rsidRDefault="00E25BDB" w:rsidP="00D73B69">
            <w:pPr>
              <w:pStyle w:val="EndNoteBibliography"/>
              <w:jc w:val="right"/>
              <w:rPr>
                <w:rFonts w:ascii="Times New Roman" w:hAnsi="Times New Roman" w:cs="Times New Roman"/>
                <w:i/>
                <w:sz w:val="24"/>
                <w:szCs w:val="24"/>
                <w:lang w:val="en-GB"/>
              </w:rPr>
            </w:pPr>
          </w:p>
        </w:tc>
      </w:tr>
      <w:tr w:rsidR="00E25BDB" w:rsidRPr="00482320" w14:paraId="257E56A5" w14:textId="77777777" w:rsidTr="00D73B69">
        <w:tc>
          <w:tcPr>
            <w:tcW w:w="0" w:type="auto"/>
            <w:tcBorders>
              <w:top w:val="single" w:sz="4" w:space="0" w:color="auto"/>
            </w:tcBorders>
          </w:tcPr>
          <w:p w14:paraId="0410DC41"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Female</w:t>
            </w:r>
          </w:p>
        </w:tc>
        <w:tc>
          <w:tcPr>
            <w:tcW w:w="0" w:type="auto"/>
            <w:tcBorders>
              <w:top w:val="single" w:sz="4" w:space="0" w:color="auto"/>
            </w:tcBorders>
          </w:tcPr>
          <w:p w14:paraId="15DE5E24"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15 357</w:t>
            </w:r>
          </w:p>
        </w:tc>
        <w:tc>
          <w:tcPr>
            <w:tcW w:w="0" w:type="auto"/>
            <w:tcBorders>
              <w:top w:val="single" w:sz="4" w:space="0" w:color="auto"/>
            </w:tcBorders>
          </w:tcPr>
          <w:p w14:paraId="0ECE4B38"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52,5</w:t>
            </w:r>
          </w:p>
        </w:tc>
        <w:tc>
          <w:tcPr>
            <w:tcW w:w="0" w:type="auto"/>
            <w:tcBorders>
              <w:top w:val="single" w:sz="4" w:space="0" w:color="auto"/>
            </w:tcBorders>
          </w:tcPr>
          <w:p w14:paraId="1B286967"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78,4</w:t>
            </w:r>
          </w:p>
        </w:tc>
        <w:tc>
          <w:tcPr>
            <w:tcW w:w="0" w:type="auto"/>
            <w:tcBorders>
              <w:top w:val="single" w:sz="4" w:space="0" w:color="auto"/>
            </w:tcBorders>
          </w:tcPr>
          <w:p w14:paraId="786067E3"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47,9</w:t>
            </w:r>
          </w:p>
        </w:tc>
      </w:tr>
      <w:tr w:rsidR="00E25BDB" w:rsidRPr="00482320" w14:paraId="0B116F44" w14:textId="77777777" w:rsidTr="00D73B69">
        <w:tc>
          <w:tcPr>
            <w:tcW w:w="0" w:type="auto"/>
            <w:tcBorders>
              <w:bottom w:val="single" w:sz="4" w:space="0" w:color="auto"/>
            </w:tcBorders>
          </w:tcPr>
          <w:p w14:paraId="7ACEB00F"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Male</w:t>
            </w:r>
          </w:p>
        </w:tc>
        <w:tc>
          <w:tcPr>
            <w:tcW w:w="0" w:type="auto"/>
            <w:tcBorders>
              <w:bottom w:val="single" w:sz="4" w:space="0" w:color="auto"/>
            </w:tcBorders>
          </w:tcPr>
          <w:p w14:paraId="66453186"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13 867</w:t>
            </w:r>
          </w:p>
        </w:tc>
        <w:tc>
          <w:tcPr>
            <w:tcW w:w="0" w:type="auto"/>
            <w:tcBorders>
              <w:bottom w:val="single" w:sz="4" w:space="0" w:color="auto"/>
            </w:tcBorders>
          </w:tcPr>
          <w:p w14:paraId="0789C81C"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47,5</w:t>
            </w:r>
          </w:p>
        </w:tc>
        <w:tc>
          <w:tcPr>
            <w:tcW w:w="0" w:type="auto"/>
            <w:tcBorders>
              <w:bottom w:val="single" w:sz="4" w:space="0" w:color="auto"/>
            </w:tcBorders>
          </w:tcPr>
          <w:p w14:paraId="4BCE9943"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70,5</w:t>
            </w:r>
          </w:p>
        </w:tc>
        <w:tc>
          <w:tcPr>
            <w:tcW w:w="0" w:type="auto"/>
            <w:tcBorders>
              <w:bottom w:val="single" w:sz="4" w:space="0" w:color="auto"/>
            </w:tcBorders>
          </w:tcPr>
          <w:p w14:paraId="4FDA76EE"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37,1</w:t>
            </w:r>
          </w:p>
        </w:tc>
      </w:tr>
      <w:tr w:rsidR="00E25BDB" w:rsidRPr="00482320" w14:paraId="7B6B0C7C" w14:textId="77777777" w:rsidTr="00D73B69">
        <w:tc>
          <w:tcPr>
            <w:tcW w:w="0" w:type="auto"/>
            <w:tcBorders>
              <w:top w:val="single" w:sz="4" w:space="0" w:color="auto"/>
              <w:bottom w:val="single" w:sz="4" w:space="0" w:color="auto"/>
            </w:tcBorders>
          </w:tcPr>
          <w:p w14:paraId="36E63F46" w14:textId="77777777" w:rsidR="00E25BDB" w:rsidRPr="00482320" w:rsidRDefault="00E25BDB" w:rsidP="00D73B69">
            <w:pPr>
              <w:pStyle w:val="EndNoteBibliography"/>
              <w:jc w:val="both"/>
              <w:rPr>
                <w:rFonts w:ascii="Times New Roman" w:hAnsi="Times New Roman" w:cs="Times New Roman"/>
                <w:i/>
                <w:sz w:val="24"/>
                <w:szCs w:val="24"/>
                <w:lang w:val="en-GB"/>
              </w:rPr>
            </w:pPr>
            <w:r w:rsidRPr="00482320">
              <w:rPr>
                <w:rFonts w:ascii="Times New Roman" w:hAnsi="Times New Roman" w:cs="Times New Roman"/>
                <w:i/>
                <w:sz w:val="24"/>
                <w:szCs w:val="24"/>
                <w:lang w:val="en-GB"/>
              </w:rPr>
              <w:t>Self-reported health</w:t>
            </w:r>
          </w:p>
        </w:tc>
        <w:tc>
          <w:tcPr>
            <w:tcW w:w="0" w:type="auto"/>
            <w:tcBorders>
              <w:top w:val="single" w:sz="4" w:space="0" w:color="auto"/>
              <w:bottom w:val="single" w:sz="4" w:space="0" w:color="auto"/>
            </w:tcBorders>
          </w:tcPr>
          <w:p w14:paraId="3A16236B"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7E59822E"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4AE41566"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2B15B91B" w14:textId="77777777" w:rsidR="00E25BDB" w:rsidRPr="00482320" w:rsidRDefault="00E25BDB" w:rsidP="00D73B69">
            <w:pPr>
              <w:pStyle w:val="EndNoteBibliography"/>
              <w:jc w:val="right"/>
              <w:rPr>
                <w:rFonts w:ascii="Times New Roman" w:hAnsi="Times New Roman" w:cs="Times New Roman"/>
                <w:i/>
                <w:sz w:val="24"/>
                <w:szCs w:val="24"/>
                <w:lang w:val="en-GB"/>
              </w:rPr>
            </w:pPr>
          </w:p>
        </w:tc>
      </w:tr>
      <w:tr w:rsidR="00E25BDB" w:rsidRPr="00482320" w14:paraId="077C7CA3" w14:textId="77777777" w:rsidTr="00D73B69">
        <w:trPr>
          <w:trHeight w:val="310"/>
        </w:trPr>
        <w:tc>
          <w:tcPr>
            <w:tcW w:w="0" w:type="auto"/>
            <w:tcBorders>
              <w:top w:val="single" w:sz="4" w:space="0" w:color="auto"/>
            </w:tcBorders>
          </w:tcPr>
          <w:p w14:paraId="54CADC6B"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Good</w:t>
            </w:r>
            <w:r>
              <w:rPr>
                <w:rFonts w:ascii="Times New Roman" w:hAnsi="Times New Roman" w:cs="Times New Roman"/>
                <w:sz w:val="24"/>
                <w:szCs w:val="24"/>
                <w:lang w:val="en-GB"/>
              </w:rPr>
              <w:t xml:space="preserve"> h</w:t>
            </w:r>
            <w:r w:rsidRPr="00482320">
              <w:rPr>
                <w:rFonts w:ascii="Times New Roman" w:hAnsi="Times New Roman" w:cs="Times New Roman"/>
                <w:sz w:val="24"/>
                <w:szCs w:val="24"/>
                <w:lang w:val="en-GB"/>
              </w:rPr>
              <w:t>ealth</w:t>
            </w:r>
          </w:p>
        </w:tc>
        <w:tc>
          <w:tcPr>
            <w:tcW w:w="0" w:type="auto"/>
            <w:tcBorders>
              <w:top w:val="single" w:sz="4" w:space="0" w:color="auto"/>
            </w:tcBorders>
          </w:tcPr>
          <w:p w14:paraId="0576D9F4"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rPr>
              <w:t>20 084</w:t>
            </w:r>
          </w:p>
        </w:tc>
        <w:tc>
          <w:tcPr>
            <w:tcW w:w="0" w:type="auto"/>
            <w:tcBorders>
              <w:top w:val="single" w:sz="4" w:space="0" w:color="auto"/>
            </w:tcBorders>
          </w:tcPr>
          <w:p w14:paraId="3B941A64"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rPr>
              <w:t xml:space="preserve">67.7 </w:t>
            </w:r>
          </w:p>
        </w:tc>
        <w:tc>
          <w:tcPr>
            <w:tcW w:w="0" w:type="auto"/>
            <w:tcBorders>
              <w:top w:val="single" w:sz="4" w:space="0" w:color="auto"/>
            </w:tcBorders>
          </w:tcPr>
          <w:p w14:paraId="3BC5435F"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69.6</w:t>
            </w:r>
          </w:p>
        </w:tc>
        <w:tc>
          <w:tcPr>
            <w:tcW w:w="0" w:type="auto"/>
            <w:tcBorders>
              <w:top w:val="single" w:sz="4" w:space="0" w:color="auto"/>
            </w:tcBorders>
          </w:tcPr>
          <w:p w14:paraId="19B67393"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35</w:t>
            </w:r>
          </w:p>
        </w:tc>
      </w:tr>
      <w:tr w:rsidR="00E25BDB" w:rsidRPr="00482320" w14:paraId="2EBDDC47" w14:textId="77777777" w:rsidTr="00D73B69">
        <w:tc>
          <w:tcPr>
            <w:tcW w:w="0" w:type="auto"/>
            <w:tcBorders>
              <w:bottom w:val="single" w:sz="4" w:space="0" w:color="auto"/>
            </w:tcBorders>
          </w:tcPr>
          <w:p w14:paraId="4DC62F76"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Poor health</w:t>
            </w:r>
          </w:p>
        </w:tc>
        <w:tc>
          <w:tcPr>
            <w:tcW w:w="0" w:type="auto"/>
            <w:tcBorders>
              <w:bottom w:val="single" w:sz="4" w:space="0" w:color="auto"/>
            </w:tcBorders>
          </w:tcPr>
          <w:p w14:paraId="4717AF30"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rPr>
              <w:t xml:space="preserve">9 553       </w:t>
            </w:r>
          </w:p>
        </w:tc>
        <w:tc>
          <w:tcPr>
            <w:tcW w:w="0" w:type="auto"/>
            <w:tcBorders>
              <w:bottom w:val="single" w:sz="4" w:space="0" w:color="auto"/>
            </w:tcBorders>
          </w:tcPr>
          <w:p w14:paraId="72A89ECC"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rPr>
              <w:t xml:space="preserve">32.2 </w:t>
            </w:r>
          </w:p>
        </w:tc>
        <w:tc>
          <w:tcPr>
            <w:tcW w:w="0" w:type="auto"/>
            <w:tcBorders>
              <w:bottom w:val="single" w:sz="4" w:space="0" w:color="auto"/>
            </w:tcBorders>
          </w:tcPr>
          <w:p w14:paraId="49E0FA8F"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85.4</w:t>
            </w:r>
          </w:p>
        </w:tc>
        <w:tc>
          <w:tcPr>
            <w:tcW w:w="0" w:type="auto"/>
            <w:tcBorders>
              <w:bottom w:val="single" w:sz="4" w:space="0" w:color="auto"/>
            </w:tcBorders>
          </w:tcPr>
          <w:p w14:paraId="56F922EE"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59,1</w:t>
            </w:r>
          </w:p>
        </w:tc>
      </w:tr>
      <w:tr w:rsidR="00E25BDB" w:rsidRPr="00482320" w14:paraId="4E13737C" w14:textId="77777777" w:rsidTr="00D73B69">
        <w:tc>
          <w:tcPr>
            <w:tcW w:w="0" w:type="auto"/>
            <w:tcBorders>
              <w:top w:val="single" w:sz="4" w:space="0" w:color="auto"/>
              <w:bottom w:val="single" w:sz="4" w:space="0" w:color="auto"/>
            </w:tcBorders>
          </w:tcPr>
          <w:p w14:paraId="44B86523" w14:textId="77777777" w:rsidR="00E25BDB" w:rsidRPr="00482320" w:rsidRDefault="00E25BDB" w:rsidP="00D73B69">
            <w:pPr>
              <w:pStyle w:val="EndNoteBibliography"/>
              <w:jc w:val="both"/>
              <w:rPr>
                <w:rFonts w:ascii="Times New Roman" w:hAnsi="Times New Roman" w:cs="Times New Roman"/>
                <w:i/>
                <w:sz w:val="24"/>
                <w:szCs w:val="24"/>
                <w:lang w:val="en-GB"/>
              </w:rPr>
            </w:pPr>
            <w:r w:rsidRPr="00482320">
              <w:rPr>
                <w:rFonts w:ascii="Times New Roman" w:hAnsi="Times New Roman" w:cs="Times New Roman"/>
                <w:i/>
                <w:sz w:val="24"/>
                <w:szCs w:val="24"/>
                <w:lang w:val="en-GB"/>
              </w:rPr>
              <w:t>Financial strain</w:t>
            </w:r>
          </w:p>
        </w:tc>
        <w:tc>
          <w:tcPr>
            <w:tcW w:w="0" w:type="auto"/>
            <w:tcBorders>
              <w:top w:val="single" w:sz="4" w:space="0" w:color="auto"/>
              <w:bottom w:val="single" w:sz="4" w:space="0" w:color="auto"/>
            </w:tcBorders>
          </w:tcPr>
          <w:p w14:paraId="710CC548"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11F945A2"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22F10FAD"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14F31FB1" w14:textId="77777777" w:rsidR="00E25BDB" w:rsidRPr="00482320" w:rsidRDefault="00E25BDB" w:rsidP="00D73B69">
            <w:pPr>
              <w:pStyle w:val="EndNoteBibliography"/>
              <w:jc w:val="right"/>
              <w:rPr>
                <w:rFonts w:ascii="Times New Roman" w:hAnsi="Times New Roman" w:cs="Times New Roman"/>
                <w:i/>
                <w:sz w:val="24"/>
                <w:szCs w:val="24"/>
                <w:lang w:val="en-GB"/>
              </w:rPr>
            </w:pPr>
          </w:p>
        </w:tc>
      </w:tr>
      <w:tr w:rsidR="00E25BDB" w:rsidRPr="00482320" w14:paraId="6A71D486" w14:textId="77777777" w:rsidTr="00D73B69">
        <w:tc>
          <w:tcPr>
            <w:tcW w:w="0" w:type="auto"/>
            <w:tcBorders>
              <w:top w:val="single" w:sz="4" w:space="0" w:color="auto"/>
            </w:tcBorders>
          </w:tcPr>
          <w:p w14:paraId="5B424000"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No</w:t>
            </w:r>
          </w:p>
        </w:tc>
        <w:tc>
          <w:tcPr>
            <w:tcW w:w="0" w:type="auto"/>
            <w:tcBorders>
              <w:top w:val="single" w:sz="4" w:space="0" w:color="auto"/>
            </w:tcBorders>
          </w:tcPr>
          <w:p w14:paraId="179E25AE"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23 348</w:t>
            </w:r>
          </w:p>
        </w:tc>
        <w:tc>
          <w:tcPr>
            <w:tcW w:w="0" w:type="auto"/>
            <w:tcBorders>
              <w:top w:val="single" w:sz="4" w:space="0" w:color="auto"/>
            </w:tcBorders>
          </w:tcPr>
          <w:p w14:paraId="29184A58"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78,8</w:t>
            </w:r>
          </w:p>
        </w:tc>
        <w:tc>
          <w:tcPr>
            <w:tcW w:w="0" w:type="auto"/>
            <w:tcBorders>
              <w:top w:val="single" w:sz="4" w:space="0" w:color="auto"/>
            </w:tcBorders>
          </w:tcPr>
          <w:p w14:paraId="23E8EC69"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73,8</w:t>
            </w:r>
          </w:p>
        </w:tc>
        <w:tc>
          <w:tcPr>
            <w:tcW w:w="0" w:type="auto"/>
            <w:tcBorders>
              <w:top w:val="single" w:sz="4" w:space="0" w:color="auto"/>
            </w:tcBorders>
          </w:tcPr>
          <w:p w14:paraId="39C234D6"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42,4</w:t>
            </w:r>
          </w:p>
        </w:tc>
      </w:tr>
      <w:tr w:rsidR="00E25BDB" w:rsidRPr="00482320" w14:paraId="595BE7FD" w14:textId="77777777" w:rsidTr="00D73B69">
        <w:tc>
          <w:tcPr>
            <w:tcW w:w="0" w:type="auto"/>
            <w:tcBorders>
              <w:bottom w:val="single" w:sz="4" w:space="0" w:color="auto"/>
            </w:tcBorders>
          </w:tcPr>
          <w:p w14:paraId="2BF31044"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Yes</w:t>
            </w:r>
          </w:p>
        </w:tc>
        <w:tc>
          <w:tcPr>
            <w:tcW w:w="0" w:type="auto"/>
            <w:tcBorders>
              <w:bottom w:val="single" w:sz="4" w:space="0" w:color="auto"/>
            </w:tcBorders>
          </w:tcPr>
          <w:p w14:paraId="26C3D6A6"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6 289</w:t>
            </w:r>
          </w:p>
        </w:tc>
        <w:tc>
          <w:tcPr>
            <w:tcW w:w="0" w:type="auto"/>
            <w:tcBorders>
              <w:bottom w:val="single" w:sz="4" w:space="0" w:color="auto"/>
            </w:tcBorders>
          </w:tcPr>
          <w:p w14:paraId="420E5EE5"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21,2</w:t>
            </w:r>
          </w:p>
        </w:tc>
        <w:tc>
          <w:tcPr>
            <w:tcW w:w="0" w:type="auto"/>
            <w:tcBorders>
              <w:bottom w:val="single" w:sz="4" w:space="0" w:color="auto"/>
            </w:tcBorders>
          </w:tcPr>
          <w:p w14:paraId="3C5B40B2"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77,8</w:t>
            </w:r>
          </w:p>
        </w:tc>
        <w:tc>
          <w:tcPr>
            <w:tcW w:w="0" w:type="auto"/>
            <w:tcBorders>
              <w:bottom w:val="single" w:sz="4" w:space="0" w:color="auto"/>
            </w:tcBorders>
          </w:tcPr>
          <w:p w14:paraId="13CDCDC6"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44,3</w:t>
            </w:r>
          </w:p>
        </w:tc>
      </w:tr>
      <w:tr w:rsidR="00E25BDB" w:rsidRPr="00482320" w14:paraId="5483CAAE" w14:textId="77777777" w:rsidTr="00D73B69">
        <w:tc>
          <w:tcPr>
            <w:tcW w:w="0" w:type="auto"/>
            <w:tcBorders>
              <w:top w:val="single" w:sz="4" w:space="0" w:color="auto"/>
              <w:bottom w:val="single" w:sz="4" w:space="0" w:color="auto"/>
            </w:tcBorders>
          </w:tcPr>
          <w:p w14:paraId="35DFC48E" w14:textId="77777777" w:rsidR="00E25BDB" w:rsidRPr="00482320" w:rsidRDefault="00E25BDB" w:rsidP="00D73B69">
            <w:pPr>
              <w:pStyle w:val="EndNoteBibliography"/>
              <w:jc w:val="both"/>
              <w:rPr>
                <w:rFonts w:ascii="Times New Roman" w:hAnsi="Times New Roman" w:cs="Times New Roman"/>
                <w:i/>
                <w:sz w:val="24"/>
                <w:szCs w:val="24"/>
                <w:lang w:val="en-GB"/>
              </w:rPr>
            </w:pPr>
            <w:r w:rsidRPr="00482320">
              <w:rPr>
                <w:rFonts w:ascii="Times New Roman" w:hAnsi="Times New Roman" w:cs="Times New Roman"/>
                <w:i/>
                <w:sz w:val="24"/>
                <w:szCs w:val="24"/>
                <w:lang w:val="en-GB"/>
              </w:rPr>
              <w:t>Education</w:t>
            </w:r>
          </w:p>
        </w:tc>
        <w:tc>
          <w:tcPr>
            <w:tcW w:w="0" w:type="auto"/>
            <w:tcBorders>
              <w:top w:val="single" w:sz="4" w:space="0" w:color="auto"/>
              <w:bottom w:val="single" w:sz="4" w:space="0" w:color="auto"/>
            </w:tcBorders>
          </w:tcPr>
          <w:p w14:paraId="648447C9"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41C2DFCF"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6C10D05A"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5C1609D3" w14:textId="77777777" w:rsidR="00E25BDB" w:rsidRPr="00482320" w:rsidRDefault="00E25BDB" w:rsidP="00D73B69">
            <w:pPr>
              <w:pStyle w:val="EndNoteBibliography"/>
              <w:jc w:val="right"/>
              <w:rPr>
                <w:rFonts w:ascii="Times New Roman" w:hAnsi="Times New Roman" w:cs="Times New Roman"/>
                <w:i/>
                <w:sz w:val="24"/>
                <w:szCs w:val="24"/>
                <w:lang w:val="en-GB"/>
              </w:rPr>
            </w:pPr>
          </w:p>
        </w:tc>
      </w:tr>
      <w:tr w:rsidR="00E25BDB" w:rsidRPr="00482320" w14:paraId="6F6104E2" w14:textId="77777777" w:rsidTr="00D73B69">
        <w:tc>
          <w:tcPr>
            <w:tcW w:w="0" w:type="auto"/>
            <w:tcBorders>
              <w:top w:val="single" w:sz="4" w:space="0" w:color="auto"/>
            </w:tcBorders>
          </w:tcPr>
          <w:p w14:paraId="5F0345AF"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High</w:t>
            </w:r>
          </w:p>
        </w:tc>
        <w:tc>
          <w:tcPr>
            <w:tcW w:w="0" w:type="auto"/>
            <w:tcBorders>
              <w:top w:val="single" w:sz="4" w:space="0" w:color="auto"/>
            </w:tcBorders>
          </w:tcPr>
          <w:p w14:paraId="1B952790"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7 923</w:t>
            </w:r>
          </w:p>
        </w:tc>
        <w:tc>
          <w:tcPr>
            <w:tcW w:w="0" w:type="auto"/>
            <w:tcBorders>
              <w:top w:val="single" w:sz="4" w:space="0" w:color="auto"/>
            </w:tcBorders>
          </w:tcPr>
          <w:p w14:paraId="441B82BF"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26,7</w:t>
            </w:r>
          </w:p>
        </w:tc>
        <w:tc>
          <w:tcPr>
            <w:tcW w:w="0" w:type="auto"/>
            <w:tcBorders>
              <w:top w:val="single" w:sz="4" w:space="0" w:color="auto"/>
            </w:tcBorders>
          </w:tcPr>
          <w:p w14:paraId="6E73C581"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72,4</w:t>
            </w:r>
          </w:p>
        </w:tc>
        <w:tc>
          <w:tcPr>
            <w:tcW w:w="0" w:type="auto"/>
            <w:tcBorders>
              <w:top w:val="single" w:sz="4" w:space="0" w:color="auto"/>
            </w:tcBorders>
          </w:tcPr>
          <w:p w14:paraId="6A6CEA2F"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46,4</w:t>
            </w:r>
          </w:p>
        </w:tc>
      </w:tr>
      <w:tr w:rsidR="00E25BDB" w:rsidRPr="00482320" w14:paraId="06BA5BB7" w14:textId="77777777" w:rsidTr="00D73B69">
        <w:tc>
          <w:tcPr>
            <w:tcW w:w="0" w:type="auto"/>
          </w:tcPr>
          <w:p w14:paraId="78053CF2"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Middle</w:t>
            </w:r>
          </w:p>
        </w:tc>
        <w:tc>
          <w:tcPr>
            <w:tcW w:w="0" w:type="auto"/>
          </w:tcPr>
          <w:p w14:paraId="7C001103"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 xml:space="preserve">15 553 </w:t>
            </w:r>
          </w:p>
        </w:tc>
        <w:tc>
          <w:tcPr>
            <w:tcW w:w="0" w:type="auto"/>
          </w:tcPr>
          <w:p w14:paraId="29999F18"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52,5</w:t>
            </w:r>
          </w:p>
        </w:tc>
        <w:tc>
          <w:tcPr>
            <w:tcW w:w="0" w:type="auto"/>
          </w:tcPr>
          <w:p w14:paraId="05793111"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74,4</w:t>
            </w:r>
          </w:p>
        </w:tc>
        <w:tc>
          <w:tcPr>
            <w:tcW w:w="0" w:type="auto"/>
          </w:tcPr>
          <w:p w14:paraId="155C0862"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42,2</w:t>
            </w:r>
          </w:p>
        </w:tc>
      </w:tr>
      <w:tr w:rsidR="00E25BDB" w:rsidRPr="00482320" w14:paraId="5E673F7D" w14:textId="77777777" w:rsidTr="00D73B69">
        <w:tc>
          <w:tcPr>
            <w:tcW w:w="0" w:type="auto"/>
            <w:tcBorders>
              <w:bottom w:val="single" w:sz="4" w:space="0" w:color="auto"/>
            </w:tcBorders>
          </w:tcPr>
          <w:p w14:paraId="365D333A"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Low</w:t>
            </w:r>
          </w:p>
        </w:tc>
        <w:tc>
          <w:tcPr>
            <w:tcW w:w="0" w:type="auto"/>
            <w:tcBorders>
              <w:bottom w:val="single" w:sz="4" w:space="0" w:color="auto"/>
            </w:tcBorders>
          </w:tcPr>
          <w:p w14:paraId="3083174E"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6 161</w:t>
            </w:r>
          </w:p>
        </w:tc>
        <w:tc>
          <w:tcPr>
            <w:tcW w:w="0" w:type="auto"/>
            <w:tcBorders>
              <w:bottom w:val="single" w:sz="4" w:space="0" w:color="auto"/>
            </w:tcBorders>
          </w:tcPr>
          <w:p w14:paraId="3021E002"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20,8</w:t>
            </w:r>
          </w:p>
        </w:tc>
        <w:tc>
          <w:tcPr>
            <w:tcW w:w="0" w:type="auto"/>
            <w:tcBorders>
              <w:bottom w:val="single" w:sz="4" w:space="0" w:color="auto"/>
            </w:tcBorders>
          </w:tcPr>
          <w:p w14:paraId="1E9B69F2"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78,3</w:t>
            </w:r>
          </w:p>
        </w:tc>
        <w:tc>
          <w:tcPr>
            <w:tcW w:w="0" w:type="auto"/>
            <w:tcBorders>
              <w:bottom w:val="single" w:sz="4" w:space="0" w:color="auto"/>
            </w:tcBorders>
          </w:tcPr>
          <w:p w14:paraId="4B3C2BC0"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39,8</w:t>
            </w:r>
          </w:p>
        </w:tc>
      </w:tr>
      <w:tr w:rsidR="00E25BDB" w:rsidRPr="00482320" w14:paraId="642ED6D8" w14:textId="77777777" w:rsidTr="00D73B69">
        <w:tc>
          <w:tcPr>
            <w:tcW w:w="0" w:type="auto"/>
            <w:tcBorders>
              <w:top w:val="single" w:sz="4" w:space="0" w:color="auto"/>
              <w:bottom w:val="single" w:sz="4" w:space="0" w:color="auto"/>
            </w:tcBorders>
          </w:tcPr>
          <w:p w14:paraId="39FB76FA" w14:textId="77777777" w:rsidR="00E25BDB" w:rsidRPr="00482320" w:rsidRDefault="00E25BDB" w:rsidP="00D73B69">
            <w:pPr>
              <w:pStyle w:val="EndNoteBibliography"/>
              <w:jc w:val="both"/>
              <w:rPr>
                <w:rFonts w:ascii="Times New Roman" w:hAnsi="Times New Roman" w:cs="Times New Roman"/>
                <w:i/>
                <w:sz w:val="24"/>
                <w:szCs w:val="24"/>
                <w:lang w:val="en-GB"/>
              </w:rPr>
            </w:pPr>
            <w:r w:rsidRPr="00482320">
              <w:rPr>
                <w:rFonts w:ascii="Times New Roman" w:hAnsi="Times New Roman" w:cs="Times New Roman"/>
                <w:i/>
                <w:sz w:val="24"/>
                <w:szCs w:val="24"/>
                <w:lang w:val="en-GB"/>
              </w:rPr>
              <w:t>Occupational class</w:t>
            </w:r>
          </w:p>
        </w:tc>
        <w:tc>
          <w:tcPr>
            <w:tcW w:w="0" w:type="auto"/>
            <w:tcBorders>
              <w:top w:val="single" w:sz="4" w:space="0" w:color="auto"/>
              <w:bottom w:val="single" w:sz="4" w:space="0" w:color="auto"/>
            </w:tcBorders>
          </w:tcPr>
          <w:p w14:paraId="7F10231E"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29202EFC"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52B74167"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5B54EDAC" w14:textId="77777777" w:rsidR="00E25BDB" w:rsidRPr="00482320" w:rsidRDefault="00E25BDB" w:rsidP="00D73B69">
            <w:pPr>
              <w:pStyle w:val="EndNoteBibliography"/>
              <w:jc w:val="right"/>
              <w:rPr>
                <w:rFonts w:ascii="Times New Roman" w:hAnsi="Times New Roman" w:cs="Times New Roman"/>
                <w:i/>
                <w:sz w:val="24"/>
                <w:szCs w:val="24"/>
                <w:lang w:val="en-GB"/>
              </w:rPr>
            </w:pPr>
          </w:p>
        </w:tc>
      </w:tr>
      <w:tr w:rsidR="00E25BDB" w:rsidRPr="00482320" w14:paraId="4851B567" w14:textId="77777777" w:rsidTr="00D73B69">
        <w:tc>
          <w:tcPr>
            <w:tcW w:w="0" w:type="auto"/>
            <w:tcBorders>
              <w:top w:val="single" w:sz="4" w:space="0" w:color="auto"/>
            </w:tcBorders>
          </w:tcPr>
          <w:p w14:paraId="73F503DE" w14:textId="77777777" w:rsidR="00E25BDB" w:rsidRPr="00482320" w:rsidRDefault="00E25BDB" w:rsidP="00D73B69">
            <w:pPr>
              <w:pStyle w:val="EndNoteBibliography"/>
              <w:jc w:val="both"/>
              <w:rPr>
                <w:rFonts w:ascii="Times New Roman" w:hAnsi="Times New Roman" w:cs="Times New Roman"/>
                <w:sz w:val="24"/>
                <w:szCs w:val="24"/>
                <w:lang w:val="en-GB"/>
              </w:rPr>
            </w:pPr>
            <w:r>
              <w:rPr>
                <w:rFonts w:ascii="Times New Roman" w:hAnsi="Times New Roman" w:cs="Times New Roman"/>
                <w:sz w:val="24"/>
                <w:szCs w:val="24"/>
                <w:lang w:val="en-GB"/>
              </w:rPr>
              <w:t>High</w:t>
            </w:r>
          </w:p>
        </w:tc>
        <w:tc>
          <w:tcPr>
            <w:tcW w:w="0" w:type="auto"/>
            <w:tcBorders>
              <w:top w:val="single" w:sz="4" w:space="0" w:color="auto"/>
            </w:tcBorders>
          </w:tcPr>
          <w:p w14:paraId="19A24EF7"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10 810</w:t>
            </w:r>
          </w:p>
        </w:tc>
        <w:tc>
          <w:tcPr>
            <w:tcW w:w="0" w:type="auto"/>
            <w:tcBorders>
              <w:top w:val="single" w:sz="4" w:space="0" w:color="auto"/>
            </w:tcBorders>
          </w:tcPr>
          <w:p w14:paraId="02BC2231"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36,5</w:t>
            </w:r>
          </w:p>
        </w:tc>
        <w:tc>
          <w:tcPr>
            <w:tcW w:w="0" w:type="auto"/>
            <w:tcBorders>
              <w:top w:val="single" w:sz="4" w:space="0" w:color="auto"/>
            </w:tcBorders>
          </w:tcPr>
          <w:p w14:paraId="067857B8"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74,1</w:t>
            </w:r>
          </w:p>
        </w:tc>
        <w:tc>
          <w:tcPr>
            <w:tcW w:w="0" w:type="auto"/>
            <w:tcBorders>
              <w:top w:val="single" w:sz="4" w:space="0" w:color="auto"/>
            </w:tcBorders>
          </w:tcPr>
          <w:p w14:paraId="51C9DDE0"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47</w:t>
            </w:r>
          </w:p>
        </w:tc>
      </w:tr>
      <w:tr w:rsidR="00E25BDB" w:rsidRPr="00482320" w14:paraId="61A5AC53" w14:textId="77777777" w:rsidTr="00D73B69">
        <w:tc>
          <w:tcPr>
            <w:tcW w:w="0" w:type="auto"/>
          </w:tcPr>
          <w:p w14:paraId="01A91593" w14:textId="77777777" w:rsidR="00E25BDB" w:rsidRPr="00482320" w:rsidRDefault="00E25BDB" w:rsidP="00D73B69">
            <w:pPr>
              <w:pStyle w:val="EndNoteBibliography"/>
              <w:jc w:val="both"/>
              <w:rPr>
                <w:rFonts w:ascii="Times New Roman" w:hAnsi="Times New Roman" w:cs="Times New Roman"/>
                <w:sz w:val="24"/>
                <w:szCs w:val="24"/>
                <w:lang w:val="en-GB"/>
              </w:rPr>
            </w:pPr>
            <w:r>
              <w:rPr>
                <w:rFonts w:ascii="Times New Roman" w:hAnsi="Times New Roman" w:cs="Times New Roman"/>
                <w:sz w:val="24"/>
                <w:szCs w:val="24"/>
                <w:lang w:val="en-GB"/>
              </w:rPr>
              <w:t>Middle</w:t>
            </w:r>
            <w:r w:rsidRPr="00482320">
              <w:rPr>
                <w:rFonts w:ascii="Times New Roman" w:hAnsi="Times New Roman" w:cs="Times New Roman"/>
                <w:sz w:val="24"/>
                <w:szCs w:val="24"/>
                <w:lang w:val="en-GB"/>
              </w:rPr>
              <w:t xml:space="preserve"> </w:t>
            </w:r>
          </w:p>
        </w:tc>
        <w:tc>
          <w:tcPr>
            <w:tcW w:w="0" w:type="auto"/>
          </w:tcPr>
          <w:p w14:paraId="4EAD641F"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7 893</w:t>
            </w:r>
          </w:p>
        </w:tc>
        <w:tc>
          <w:tcPr>
            <w:tcW w:w="0" w:type="auto"/>
          </w:tcPr>
          <w:p w14:paraId="6CE6CA2F"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26,6</w:t>
            </w:r>
          </w:p>
        </w:tc>
        <w:tc>
          <w:tcPr>
            <w:tcW w:w="0" w:type="auto"/>
          </w:tcPr>
          <w:p w14:paraId="6CE758F8"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74.2</w:t>
            </w:r>
          </w:p>
        </w:tc>
        <w:tc>
          <w:tcPr>
            <w:tcW w:w="0" w:type="auto"/>
          </w:tcPr>
          <w:p w14:paraId="024D1184"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42,9</w:t>
            </w:r>
          </w:p>
        </w:tc>
      </w:tr>
      <w:tr w:rsidR="00E25BDB" w:rsidRPr="00482320" w14:paraId="6A19294D" w14:textId="77777777" w:rsidTr="00D73B69">
        <w:tc>
          <w:tcPr>
            <w:tcW w:w="0" w:type="auto"/>
            <w:tcBorders>
              <w:bottom w:val="single" w:sz="4" w:space="0" w:color="auto"/>
            </w:tcBorders>
          </w:tcPr>
          <w:p w14:paraId="2BD0CEE9"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Working class</w:t>
            </w:r>
          </w:p>
        </w:tc>
        <w:tc>
          <w:tcPr>
            <w:tcW w:w="0" w:type="auto"/>
            <w:tcBorders>
              <w:bottom w:val="single" w:sz="4" w:space="0" w:color="auto"/>
            </w:tcBorders>
          </w:tcPr>
          <w:p w14:paraId="049E9A90"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10 934</w:t>
            </w:r>
          </w:p>
        </w:tc>
        <w:tc>
          <w:tcPr>
            <w:tcW w:w="0" w:type="auto"/>
            <w:tcBorders>
              <w:bottom w:val="single" w:sz="4" w:space="0" w:color="auto"/>
            </w:tcBorders>
          </w:tcPr>
          <w:p w14:paraId="539C3897"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39,9</w:t>
            </w:r>
          </w:p>
        </w:tc>
        <w:tc>
          <w:tcPr>
            <w:tcW w:w="0" w:type="auto"/>
            <w:tcBorders>
              <w:bottom w:val="single" w:sz="4" w:space="0" w:color="auto"/>
            </w:tcBorders>
          </w:tcPr>
          <w:p w14:paraId="2B33CE20"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75.6</w:t>
            </w:r>
          </w:p>
        </w:tc>
        <w:tc>
          <w:tcPr>
            <w:tcW w:w="0" w:type="auto"/>
            <w:tcBorders>
              <w:bottom w:val="single" w:sz="4" w:space="0" w:color="auto"/>
            </w:tcBorders>
          </w:tcPr>
          <w:p w14:paraId="7D777039"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38,6</w:t>
            </w:r>
          </w:p>
        </w:tc>
      </w:tr>
      <w:tr w:rsidR="00E25BDB" w:rsidRPr="00482320" w14:paraId="5327B4C7" w14:textId="77777777" w:rsidTr="00D73B69">
        <w:tc>
          <w:tcPr>
            <w:tcW w:w="0" w:type="auto"/>
            <w:tcBorders>
              <w:top w:val="single" w:sz="4" w:space="0" w:color="auto"/>
              <w:bottom w:val="single" w:sz="4" w:space="0" w:color="auto"/>
            </w:tcBorders>
          </w:tcPr>
          <w:p w14:paraId="62524CB5" w14:textId="77777777" w:rsidR="00E25BDB" w:rsidRPr="00482320" w:rsidRDefault="00E25BDB" w:rsidP="00D73B69">
            <w:pPr>
              <w:pStyle w:val="EndNoteBibliography"/>
              <w:jc w:val="both"/>
              <w:rPr>
                <w:rFonts w:ascii="Times New Roman" w:hAnsi="Times New Roman" w:cs="Times New Roman"/>
                <w:i/>
                <w:sz w:val="24"/>
                <w:szCs w:val="24"/>
                <w:lang w:val="en-GB"/>
              </w:rPr>
            </w:pPr>
            <w:r w:rsidRPr="00482320">
              <w:rPr>
                <w:rFonts w:ascii="Times New Roman" w:hAnsi="Times New Roman" w:cs="Times New Roman"/>
                <w:i/>
                <w:sz w:val="24"/>
                <w:szCs w:val="24"/>
                <w:lang w:val="en-GB"/>
              </w:rPr>
              <w:t>Social network</w:t>
            </w:r>
            <w:r>
              <w:rPr>
                <w:rFonts w:ascii="Times New Roman" w:hAnsi="Times New Roman" w:cs="Times New Roman"/>
                <w:i/>
                <w:sz w:val="24"/>
                <w:szCs w:val="24"/>
                <w:lang w:val="en-GB"/>
              </w:rPr>
              <w:t>s</w:t>
            </w:r>
          </w:p>
        </w:tc>
        <w:tc>
          <w:tcPr>
            <w:tcW w:w="0" w:type="auto"/>
            <w:tcBorders>
              <w:top w:val="single" w:sz="4" w:space="0" w:color="auto"/>
              <w:bottom w:val="single" w:sz="4" w:space="0" w:color="auto"/>
            </w:tcBorders>
          </w:tcPr>
          <w:p w14:paraId="0A559E83"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11AECA81"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799B7234" w14:textId="77777777" w:rsidR="00E25BDB" w:rsidRPr="00482320" w:rsidRDefault="00E25BDB" w:rsidP="00D73B69">
            <w:pPr>
              <w:pStyle w:val="EndNoteBibliography"/>
              <w:jc w:val="right"/>
              <w:rPr>
                <w:rFonts w:ascii="Times New Roman" w:hAnsi="Times New Roman" w:cs="Times New Roman"/>
                <w:i/>
                <w:sz w:val="24"/>
                <w:szCs w:val="24"/>
                <w:lang w:val="en-GB"/>
              </w:rPr>
            </w:pPr>
          </w:p>
        </w:tc>
        <w:tc>
          <w:tcPr>
            <w:tcW w:w="0" w:type="auto"/>
            <w:tcBorders>
              <w:top w:val="single" w:sz="4" w:space="0" w:color="auto"/>
              <w:bottom w:val="single" w:sz="4" w:space="0" w:color="auto"/>
            </w:tcBorders>
          </w:tcPr>
          <w:p w14:paraId="5B792FB2" w14:textId="77777777" w:rsidR="00E25BDB" w:rsidRPr="00482320" w:rsidRDefault="00E25BDB" w:rsidP="00D73B69">
            <w:pPr>
              <w:pStyle w:val="EndNoteBibliography"/>
              <w:jc w:val="right"/>
              <w:rPr>
                <w:rFonts w:ascii="Times New Roman" w:hAnsi="Times New Roman" w:cs="Times New Roman"/>
                <w:i/>
                <w:sz w:val="24"/>
                <w:szCs w:val="24"/>
                <w:lang w:val="en-GB"/>
              </w:rPr>
            </w:pPr>
          </w:p>
        </w:tc>
      </w:tr>
      <w:tr w:rsidR="00E25BDB" w:rsidRPr="00482320" w14:paraId="04F00E12" w14:textId="77777777" w:rsidTr="00D73B69">
        <w:tc>
          <w:tcPr>
            <w:tcW w:w="0" w:type="auto"/>
            <w:tcBorders>
              <w:top w:val="single" w:sz="4" w:space="0" w:color="auto"/>
            </w:tcBorders>
          </w:tcPr>
          <w:p w14:paraId="354F0C76"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High level</w:t>
            </w:r>
          </w:p>
        </w:tc>
        <w:tc>
          <w:tcPr>
            <w:tcW w:w="0" w:type="auto"/>
            <w:tcBorders>
              <w:top w:val="single" w:sz="4" w:space="0" w:color="auto"/>
            </w:tcBorders>
          </w:tcPr>
          <w:p w14:paraId="349DE05D"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7 138</w:t>
            </w:r>
          </w:p>
        </w:tc>
        <w:tc>
          <w:tcPr>
            <w:tcW w:w="0" w:type="auto"/>
            <w:tcBorders>
              <w:top w:val="single" w:sz="4" w:space="0" w:color="auto"/>
            </w:tcBorders>
          </w:tcPr>
          <w:p w14:paraId="27B50CEE"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 xml:space="preserve">24,1 </w:t>
            </w:r>
          </w:p>
        </w:tc>
        <w:tc>
          <w:tcPr>
            <w:tcW w:w="0" w:type="auto"/>
            <w:tcBorders>
              <w:top w:val="single" w:sz="4" w:space="0" w:color="auto"/>
            </w:tcBorders>
          </w:tcPr>
          <w:p w14:paraId="67BDC254"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74,1</w:t>
            </w:r>
          </w:p>
        </w:tc>
        <w:tc>
          <w:tcPr>
            <w:tcW w:w="0" w:type="auto"/>
            <w:tcBorders>
              <w:top w:val="single" w:sz="4" w:space="0" w:color="auto"/>
            </w:tcBorders>
          </w:tcPr>
          <w:p w14:paraId="75D4EF5F"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46,5</w:t>
            </w:r>
          </w:p>
        </w:tc>
      </w:tr>
      <w:tr w:rsidR="00E25BDB" w:rsidRPr="00482320" w14:paraId="66BA009F" w14:textId="77777777" w:rsidTr="00D73B69">
        <w:tc>
          <w:tcPr>
            <w:tcW w:w="0" w:type="auto"/>
          </w:tcPr>
          <w:p w14:paraId="08587413"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Moderate level</w:t>
            </w:r>
          </w:p>
        </w:tc>
        <w:tc>
          <w:tcPr>
            <w:tcW w:w="0" w:type="auto"/>
          </w:tcPr>
          <w:p w14:paraId="4469C4D5"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12 863</w:t>
            </w:r>
          </w:p>
        </w:tc>
        <w:tc>
          <w:tcPr>
            <w:tcW w:w="0" w:type="auto"/>
          </w:tcPr>
          <w:p w14:paraId="28B1079B"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43,4</w:t>
            </w:r>
          </w:p>
        </w:tc>
        <w:tc>
          <w:tcPr>
            <w:tcW w:w="0" w:type="auto"/>
          </w:tcPr>
          <w:p w14:paraId="2A7D9230"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75,1</w:t>
            </w:r>
          </w:p>
        </w:tc>
        <w:tc>
          <w:tcPr>
            <w:tcW w:w="0" w:type="auto"/>
          </w:tcPr>
          <w:p w14:paraId="2E5DFCDA"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43</w:t>
            </w:r>
          </w:p>
        </w:tc>
      </w:tr>
      <w:tr w:rsidR="00E25BDB" w:rsidRPr="00482320" w14:paraId="1CC2A04D" w14:textId="77777777" w:rsidTr="00D73B69">
        <w:tc>
          <w:tcPr>
            <w:tcW w:w="0" w:type="auto"/>
            <w:tcBorders>
              <w:bottom w:val="single" w:sz="4" w:space="0" w:color="auto"/>
            </w:tcBorders>
          </w:tcPr>
          <w:p w14:paraId="08B6D444" w14:textId="77777777" w:rsidR="00E25BDB" w:rsidRPr="00482320" w:rsidRDefault="00E25BDB" w:rsidP="00D73B69">
            <w:pPr>
              <w:pStyle w:val="EndNoteBibliography"/>
              <w:jc w:val="both"/>
              <w:rPr>
                <w:rFonts w:ascii="Times New Roman" w:hAnsi="Times New Roman" w:cs="Times New Roman"/>
                <w:sz w:val="24"/>
                <w:szCs w:val="24"/>
                <w:lang w:val="en-GB"/>
              </w:rPr>
            </w:pPr>
            <w:r w:rsidRPr="00482320">
              <w:rPr>
                <w:rFonts w:ascii="Times New Roman" w:hAnsi="Times New Roman" w:cs="Times New Roman"/>
                <w:sz w:val="24"/>
                <w:szCs w:val="24"/>
                <w:lang w:val="en-GB"/>
              </w:rPr>
              <w:t>Low level</w:t>
            </w:r>
          </w:p>
        </w:tc>
        <w:tc>
          <w:tcPr>
            <w:tcW w:w="0" w:type="auto"/>
            <w:tcBorders>
              <w:bottom w:val="single" w:sz="4" w:space="0" w:color="auto"/>
            </w:tcBorders>
          </w:tcPr>
          <w:p w14:paraId="68F9FBE2"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 xml:space="preserve">9 636 </w:t>
            </w:r>
          </w:p>
        </w:tc>
        <w:tc>
          <w:tcPr>
            <w:tcW w:w="0" w:type="auto"/>
            <w:tcBorders>
              <w:bottom w:val="single" w:sz="4" w:space="0" w:color="auto"/>
            </w:tcBorders>
          </w:tcPr>
          <w:p w14:paraId="5940FC5E"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32,5</w:t>
            </w:r>
          </w:p>
        </w:tc>
        <w:tc>
          <w:tcPr>
            <w:tcW w:w="0" w:type="auto"/>
            <w:tcBorders>
              <w:bottom w:val="single" w:sz="4" w:space="0" w:color="auto"/>
            </w:tcBorders>
          </w:tcPr>
          <w:p w14:paraId="2D1E983D"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74,6</w:t>
            </w:r>
          </w:p>
        </w:tc>
        <w:tc>
          <w:tcPr>
            <w:tcW w:w="0" w:type="auto"/>
            <w:tcBorders>
              <w:bottom w:val="single" w:sz="4" w:space="0" w:color="auto"/>
            </w:tcBorders>
          </w:tcPr>
          <w:p w14:paraId="09C319D4" w14:textId="77777777" w:rsidR="00E25BDB" w:rsidRPr="00482320" w:rsidRDefault="00E25BDB" w:rsidP="00D73B69">
            <w:pPr>
              <w:pStyle w:val="EndNoteBibliography"/>
              <w:jc w:val="right"/>
              <w:rPr>
                <w:rFonts w:ascii="Times New Roman" w:hAnsi="Times New Roman" w:cs="Times New Roman"/>
                <w:sz w:val="24"/>
                <w:szCs w:val="24"/>
                <w:lang w:val="en-GB"/>
              </w:rPr>
            </w:pPr>
            <w:r w:rsidRPr="00482320">
              <w:rPr>
                <w:rFonts w:ascii="Times New Roman" w:hAnsi="Times New Roman" w:cs="Times New Roman"/>
                <w:sz w:val="24"/>
                <w:szCs w:val="24"/>
                <w:lang w:val="en-GB"/>
              </w:rPr>
              <w:t>39,9</w:t>
            </w:r>
          </w:p>
        </w:tc>
      </w:tr>
    </w:tbl>
    <w:p w14:paraId="718C6BFB" w14:textId="77777777" w:rsidR="00E25BDB" w:rsidRDefault="00E25BDB" w:rsidP="00D73B69">
      <w:pPr>
        <w:pStyle w:val="ListParagraph"/>
        <w:rPr>
          <w:rFonts w:ascii="Times New Roman" w:hAnsi="Times New Roman" w:cs="Times New Roman"/>
          <w:i/>
          <w:sz w:val="24"/>
          <w:szCs w:val="24"/>
          <w:lang w:val="en-GB"/>
        </w:rPr>
      </w:pPr>
    </w:p>
    <w:p w14:paraId="33177D5C" w14:textId="67651970" w:rsidR="00E25BDB" w:rsidRDefault="00E25BDB" w:rsidP="00D73B69">
      <w:pPr>
        <w:pStyle w:val="ListParagraph"/>
        <w:rPr>
          <w:rFonts w:ascii="Times New Roman" w:hAnsi="Times New Roman" w:cs="Times New Roman"/>
          <w:i/>
          <w:sz w:val="24"/>
          <w:szCs w:val="24"/>
          <w:lang w:val="en-GB"/>
        </w:rPr>
      </w:pPr>
    </w:p>
    <w:p w14:paraId="273111F5" w14:textId="77777777" w:rsidR="00E25BDB" w:rsidRDefault="00E25BDB" w:rsidP="00D73B69">
      <w:pPr>
        <w:pStyle w:val="EndNoteBibliography"/>
        <w:rPr>
          <w:rFonts w:ascii="Times New Roman" w:hAnsi="Times New Roman" w:cs="Times New Roman"/>
          <w:i/>
          <w:sz w:val="24"/>
          <w:szCs w:val="24"/>
          <w:lang w:val="en-GB"/>
        </w:rPr>
      </w:pPr>
    </w:p>
    <w:p w14:paraId="208AAE2F" w14:textId="77777777" w:rsidR="00E25BDB" w:rsidRDefault="00E25BDB" w:rsidP="00D73B69">
      <w:pPr>
        <w:rPr>
          <w:lang w:val="en-GB"/>
        </w:rPr>
      </w:pPr>
    </w:p>
    <w:p w14:paraId="0349142C" w14:textId="77777777" w:rsidR="00E25BDB" w:rsidRDefault="00E25BDB" w:rsidP="00D73B69">
      <w:pPr>
        <w:rPr>
          <w:lang w:val="en-GB"/>
        </w:rPr>
      </w:pPr>
    </w:p>
    <w:p w14:paraId="2597A052" w14:textId="77777777" w:rsidR="00E25BDB" w:rsidRDefault="00E25BDB" w:rsidP="00D73B69">
      <w:pPr>
        <w:rPr>
          <w:lang w:val="en-GB"/>
        </w:rPr>
      </w:pPr>
    </w:p>
    <w:p w14:paraId="44EE3671" w14:textId="77777777" w:rsidR="00E25BDB" w:rsidRDefault="00E25BDB" w:rsidP="00D73B69">
      <w:pPr>
        <w:rPr>
          <w:lang w:val="en-GB"/>
        </w:rPr>
      </w:pPr>
    </w:p>
    <w:p w14:paraId="01AB76EE" w14:textId="77777777" w:rsidR="0000412A" w:rsidRDefault="0000412A">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29FE2ED3" w14:textId="77777777" w:rsidR="00E25BDB" w:rsidRPr="009C69EB" w:rsidRDefault="00E25BDB" w:rsidP="00D73B69">
      <w:pPr>
        <w:pStyle w:val="NoSpacing"/>
        <w:rPr>
          <w:rFonts w:ascii="Times New Roman" w:hAnsi="Times New Roman" w:cs="Times New Roman"/>
          <w:b/>
          <w:sz w:val="28"/>
          <w:szCs w:val="28"/>
          <w:lang w:val="en-GB"/>
        </w:rPr>
      </w:pPr>
      <w:r w:rsidRPr="009C69EB">
        <w:rPr>
          <w:rFonts w:ascii="Times New Roman" w:hAnsi="Times New Roman" w:cs="Times New Roman"/>
          <w:b/>
          <w:sz w:val="28"/>
          <w:szCs w:val="28"/>
          <w:lang w:val="en-GB"/>
        </w:rPr>
        <w:lastRenderedPageBreak/>
        <w:t xml:space="preserve">Descriptive statistics for GP and specialist use </w:t>
      </w:r>
    </w:p>
    <w:p w14:paraId="17572E7F" w14:textId="77777777" w:rsidR="00E25BDB" w:rsidRPr="009C69EB" w:rsidRDefault="00E25BDB" w:rsidP="00D73B69">
      <w:pPr>
        <w:pStyle w:val="NoSpacing"/>
        <w:rPr>
          <w:lang w:val="en-GB"/>
        </w:rPr>
      </w:pPr>
    </w:p>
    <w:p w14:paraId="069F8074" w14:textId="77777777" w:rsidR="00E25BDB" w:rsidRPr="009C69EB" w:rsidRDefault="00E25BDB" w:rsidP="00D73B69">
      <w:pPr>
        <w:pStyle w:val="EndNoteBibliography"/>
        <w:rPr>
          <w:rFonts w:ascii="Times New Roman" w:hAnsi="Times New Roman" w:cs="Times New Roman"/>
          <w:i/>
          <w:sz w:val="24"/>
          <w:szCs w:val="24"/>
          <w:lang w:val="en-GB"/>
        </w:rPr>
      </w:pPr>
      <w:r w:rsidRPr="009C69EB">
        <w:rPr>
          <w:rFonts w:ascii="Times New Roman" w:hAnsi="Times New Roman" w:cs="Times New Roman"/>
          <w:i/>
          <w:sz w:val="24"/>
          <w:szCs w:val="24"/>
          <w:lang w:val="en-GB"/>
        </w:rPr>
        <w:t>Table 2: National prevalences of GP and specialist 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850"/>
        <w:gridCol w:w="2056"/>
      </w:tblGrid>
      <w:tr w:rsidR="00E25BDB" w:rsidRPr="009C69EB" w14:paraId="09BCCDF0" w14:textId="77777777" w:rsidTr="00D73B69">
        <w:trPr>
          <w:jc w:val="center"/>
        </w:trPr>
        <w:tc>
          <w:tcPr>
            <w:tcW w:w="0" w:type="auto"/>
            <w:tcBorders>
              <w:top w:val="single" w:sz="4" w:space="0" w:color="auto"/>
              <w:bottom w:val="single" w:sz="4" w:space="0" w:color="auto"/>
            </w:tcBorders>
          </w:tcPr>
          <w:p w14:paraId="300F8C1A" w14:textId="77777777" w:rsidR="00E25BDB" w:rsidRPr="009C69EB" w:rsidRDefault="00E25BDB" w:rsidP="00D73B69">
            <w:pPr>
              <w:pStyle w:val="EndNoteBibliography"/>
              <w:rPr>
                <w:rFonts w:ascii="Times New Roman" w:hAnsi="Times New Roman" w:cs="Times New Roman"/>
                <w:b/>
                <w:sz w:val="24"/>
                <w:szCs w:val="24"/>
                <w:lang w:val="en-GB"/>
              </w:rPr>
            </w:pPr>
          </w:p>
        </w:tc>
        <w:tc>
          <w:tcPr>
            <w:tcW w:w="0" w:type="auto"/>
            <w:tcBorders>
              <w:top w:val="single" w:sz="4" w:space="0" w:color="auto"/>
              <w:bottom w:val="single" w:sz="4" w:space="0" w:color="auto"/>
            </w:tcBorders>
          </w:tcPr>
          <w:p w14:paraId="5F7E907E" w14:textId="77777777" w:rsidR="00E25BDB" w:rsidRPr="009C69EB" w:rsidRDefault="00E25BDB" w:rsidP="00D73B69">
            <w:pPr>
              <w:pStyle w:val="EndNoteBibliography"/>
              <w:jc w:val="right"/>
              <w:rPr>
                <w:rFonts w:ascii="Times New Roman" w:hAnsi="Times New Roman" w:cs="Times New Roman"/>
                <w:b/>
                <w:sz w:val="24"/>
                <w:szCs w:val="24"/>
                <w:lang w:val="en-GB"/>
              </w:rPr>
            </w:pPr>
            <w:r w:rsidRPr="009C69EB">
              <w:rPr>
                <w:rFonts w:ascii="Times New Roman" w:hAnsi="Times New Roman" w:cs="Times New Roman"/>
                <w:b/>
                <w:sz w:val="24"/>
                <w:szCs w:val="24"/>
                <w:lang w:val="en-GB"/>
              </w:rPr>
              <w:t>GP util. percent</w:t>
            </w:r>
          </w:p>
        </w:tc>
        <w:tc>
          <w:tcPr>
            <w:tcW w:w="0" w:type="auto"/>
            <w:tcBorders>
              <w:top w:val="single" w:sz="4" w:space="0" w:color="auto"/>
              <w:bottom w:val="single" w:sz="4" w:space="0" w:color="auto"/>
            </w:tcBorders>
          </w:tcPr>
          <w:p w14:paraId="157A23D1" w14:textId="77777777" w:rsidR="00E25BDB" w:rsidRPr="009C69EB" w:rsidRDefault="00E25BDB" w:rsidP="00D73B69">
            <w:pPr>
              <w:pStyle w:val="EndNoteBibliography"/>
              <w:jc w:val="right"/>
              <w:rPr>
                <w:rFonts w:ascii="Times New Roman" w:hAnsi="Times New Roman" w:cs="Times New Roman"/>
                <w:b/>
                <w:sz w:val="24"/>
                <w:szCs w:val="24"/>
                <w:lang w:val="en-GB"/>
              </w:rPr>
            </w:pPr>
            <w:r w:rsidRPr="009C69EB">
              <w:rPr>
                <w:rFonts w:ascii="Times New Roman" w:hAnsi="Times New Roman" w:cs="Times New Roman"/>
                <w:b/>
                <w:sz w:val="24"/>
                <w:szCs w:val="24"/>
                <w:lang w:val="en-GB"/>
              </w:rPr>
              <w:t>Spec. util. percent</w:t>
            </w:r>
          </w:p>
        </w:tc>
      </w:tr>
      <w:tr w:rsidR="00E25BDB" w:rsidRPr="009C69EB" w14:paraId="7A9C6C21" w14:textId="77777777" w:rsidTr="00D73B69">
        <w:trPr>
          <w:jc w:val="center"/>
        </w:trPr>
        <w:tc>
          <w:tcPr>
            <w:tcW w:w="0" w:type="auto"/>
            <w:tcBorders>
              <w:top w:val="single" w:sz="4" w:space="0" w:color="auto"/>
            </w:tcBorders>
          </w:tcPr>
          <w:p w14:paraId="2B352ED4"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Austria</w:t>
            </w:r>
          </w:p>
        </w:tc>
        <w:tc>
          <w:tcPr>
            <w:tcW w:w="0" w:type="auto"/>
            <w:tcBorders>
              <w:top w:val="nil"/>
              <w:left w:val="nil"/>
              <w:bottom w:val="nil"/>
              <w:right w:val="nil"/>
            </w:tcBorders>
            <w:shd w:val="clear" w:color="auto" w:fill="auto"/>
            <w:vAlign w:val="bottom"/>
          </w:tcPr>
          <w:p w14:paraId="32524F29"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78,1</w:t>
            </w:r>
          </w:p>
        </w:tc>
        <w:tc>
          <w:tcPr>
            <w:tcW w:w="0" w:type="auto"/>
            <w:tcBorders>
              <w:top w:val="nil"/>
              <w:left w:val="nil"/>
              <w:bottom w:val="nil"/>
              <w:right w:val="nil"/>
            </w:tcBorders>
            <w:shd w:val="clear" w:color="auto" w:fill="auto"/>
            <w:vAlign w:val="bottom"/>
          </w:tcPr>
          <w:p w14:paraId="1AB3B110"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49,7</w:t>
            </w:r>
          </w:p>
        </w:tc>
      </w:tr>
      <w:tr w:rsidR="00E25BDB" w:rsidRPr="009C69EB" w14:paraId="0A6D360C" w14:textId="77777777" w:rsidTr="00D73B69">
        <w:trPr>
          <w:jc w:val="center"/>
        </w:trPr>
        <w:tc>
          <w:tcPr>
            <w:tcW w:w="0" w:type="auto"/>
          </w:tcPr>
          <w:p w14:paraId="5DED2C77"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Belgium</w:t>
            </w:r>
          </w:p>
        </w:tc>
        <w:tc>
          <w:tcPr>
            <w:tcW w:w="0" w:type="auto"/>
            <w:tcBorders>
              <w:top w:val="nil"/>
              <w:left w:val="nil"/>
              <w:bottom w:val="nil"/>
              <w:right w:val="nil"/>
            </w:tcBorders>
            <w:shd w:val="clear" w:color="auto" w:fill="auto"/>
            <w:vAlign w:val="bottom"/>
          </w:tcPr>
          <w:p w14:paraId="6ECFC272"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82,0</w:t>
            </w:r>
          </w:p>
        </w:tc>
        <w:tc>
          <w:tcPr>
            <w:tcW w:w="0" w:type="auto"/>
            <w:tcBorders>
              <w:top w:val="nil"/>
              <w:left w:val="nil"/>
              <w:bottom w:val="nil"/>
              <w:right w:val="nil"/>
            </w:tcBorders>
            <w:shd w:val="clear" w:color="auto" w:fill="auto"/>
            <w:vAlign w:val="bottom"/>
          </w:tcPr>
          <w:p w14:paraId="33637ADD"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45,9</w:t>
            </w:r>
          </w:p>
        </w:tc>
      </w:tr>
      <w:tr w:rsidR="00E25BDB" w:rsidRPr="009C69EB" w14:paraId="7FFF3BEE" w14:textId="77777777" w:rsidTr="00D73B69">
        <w:trPr>
          <w:jc w:val="center"/>
        </w:trPr>
        <w:tc>
          <w:tcPr>
            <w:tcW w:w="0" w:type="auto"/>
          </w:tcPr>
          <w:p w14:paraId="1ABF21F5"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Czech Rep</w:t>
            </w:r>
          </w:p>
        </w:tc>
        <w:tc>
          <w:tcPr>
            <w:tcW w:w="0" w:type="auto"/>
            <w:tcBorders>
              <w:top w:val="nil"/>
              <w:left w:val="nil"/>
              <w:bottom w:val="nil"/>
              <w:right w:val="nil"/>
            </w:tcBorders>
            <w:shd w:val="clear" w:color="auto" w:fill="auto"/>
            <w:vAlign w:val="bottom"/>
          </w:tcPr>
          <w:p w14:paraId="3186854D"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74,6</w:t>
            </w:r>
          </w:p>
        </w:tc>
        <w:tc>
          <w:tcPr>
            <w:tcW w:w="0" w:type="auto"/>
            <w:tcBorders>
              <w:top w:val="nil"/>
              <w:left w:val="nil"/>
              <w:bottom w:val="nil"/>
              <w:right w:val="nil"/>
            </w:tcBorders>
            <w:shd w:val="clear" w:color="auto" w:fill="auto"/>
            <w:vAlign w:val="bottom"/>
          </w:tcPr>
          <w:p w14:paraId="10B4B7E3"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35,7</w:t>
            </w:r>
          </w:p>
        </w:tc>
      </w:tr>
      <w:tr w:rsidR="00E25BDB" w:rsidRPr="009C69EB" w14:paraId="33C08462" w14:textId="77777777" w:rsidTr="00D73B69">
        <w:trPr>
          <w:jc w:val="center"/>
        </w:trPr>
        <w:tc>
          <w:tcPr>
            <w:tcW w:w="0" w:type="auto"/>
          </w:tcPr>
          <w:p w14:paraId="7DAB09B3"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Denmark</w:t>
            </w:r>
          </w:p>
        </w:tc>
        <w:tc>
          <w:tcPr>
            <w:tcW w:w="0" w:type="auto"/>
            <w:tcBorders>
              <w:top w:val="nil"/>
              <w:left w:val="nil"/>
              <w:bottom w:val="nil"/>
              <w:right w:val="nil"/>
            </w:tcBorders>
            <w:shd w:val="clear" w:color="auto" w:fill="auto"/>
            <w:vAlign w:val="bottom"/>
          </w:tcPr>
          <w:p w14:paraId="25A01C21"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78,6</w:t>
            </w:r>
          </w:p>
        </w:tc>
        <w:tc>
          <w:tcPr>
            <w:tcW w:w="0" w:type="auto"/>
            <w:tcBorders>
              <w:top w:val="nil"/>
              <w:left w:val="nil"/>
              <w:bottom w:val="nil"/>
              <w:right w:val="nil"/>
            </w:tcBorders>
            <w:shd w:val="clear" w:color="auto" w:fill="auto"/>
            <w:vAlign w:val="bottom"/>
          </w:tcPr>
          <w:p w14:paraId="0A63DA76"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40,56</w:t>
            </w:r>
          </w:p>
        </w:tc>
      </w:tr>
      <w:tr w:rsidR="00E25BDB" w:rsidRPr="009C69EB" w14:paraId="4F69A0F2" w14:textId="77777777" w:rsidTr="00D73B69">
        <w:trPr>
          <w:jc w:val="center"/>
        </w:trPr>
        <w:tc>
          <w:tcPr>
            <w:tcW w:w="0" w:type="auto"/>
          </w:tcPr>
          <w:p w14:paraId="7BA3812F"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Estonia</w:t>
            </w:r>
          </w:p>
        </w:tc>
        <w:tc>
          <w:tcPr>
            <w:tcW w:w="0" w:type="auto"/>
            <w:tcBorders>
              <w:top w:val="nil"/>
              <w:left w:val="nil"/>
              <w:bottom w:val="nil"/>
              <w:right w:val="nil"/>
            </w:tcBorders>
            <w:shd w:val="clear" w:color="auto" w:fill="auto"/>
            <w:vAlign w:val="bottom"/>
          </w:tcPr>
          <w:p w14:paraId="4A9FE342"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72,6</w:t>
            </w:r>
          </w:p>
        </w:tc>
        <w:tc>
          <w:tcPr>
            <w:tcW w:w="0" w:type="auto"/>
            <w:tcBorders>
              <w:top w:val="nil"/>
              <w:left w:val="nil"/>
              <w:bottom w:val="nil"/>
              <w:right w:val="nil"/>
            </w:tcBorders>
            <w:shd w:val="clear" w:color="auto" w:fill="auto"/>
            <w:vAlign w:val="bottom"/>
          </w:tcPr>
          <w:p w14:paraId="72DE2620"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51,3</w:t>
            </w:r>
          </w:p>
        </w:tc>
      </w:tr>
      <w:tr w:rsidR="00E25BDB" w:rsidRPr="009C69EB" w14:paraId="7337BD4F" w14:textId="77777777" w:rsidTr="00D73B69">
        <w:trPr>
          <w:jc w:val="center"/>
        </w:trPr>
        <w:tc>
          <w:tcPr>
            <w:tcW w:w="0" w:type="auto"/>
          </w:tcPr>
          <w:p w14:paraId="22503F8E"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Finland</w:t>
            </w:r>
          </w:p>
        </w:tc>
        <w:tc>
          <w:tcPr>
            <w:tcW w:w="0" w:type="auto"/>
            <w:tcBorders>
              <w:top w:val="nil"/>
              <w:left w:val="nil"/>
              <w:bottom w:val="nil"/>
              <w:right w:val="nil"/>
            </w:tcBorders>
            <w:shd w:val="clear" w:color="auto" w:fill="auto"/>
            <w:vAlign w:val="bottom"/>
          </w:tcPr>
          <w:p w14:paraId="7BA2E3AE"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68,4</w:t>
            </w:r>
          </w:p>
        </w:tc>
        <w:tc>
          <w:tcPr>
            <w:tcW w:w="0" w:type="auto"/>
            <w:tcBorders>
              <w:top w:val="nil"/>
              <w:left w:val="nil"/>
              <w:bottom w:val="nil"/>
              <w:right w:val="nil"/>
            </w:tcBorders>
            <w:shd w:val="clear" w:color="auto" w:fill="auto"/>
            <w:vAlign w:val="bottom"/>
          </w:tcPr>
          <w:p w14:paraId="330573C9"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42,3</w:t>
            </w:r>
          </w:p>
        </w:tc>
      </w:tr>
      <w:tr w:rsidR="00E25BDB" w:rsidRPr="009C69EB" w14:paraId="472CDAC3" w14:textId="77777777" w:rsidTr="00D73B69">
        <w:trPr>
          <w:jc w:val="center"/>
        </w:trPr>
        <w:tc>
          <w:tcPr>
            <w:tcW w:w="0" w:type="auto"/>
          </w:tcPr>
          <w:p w14:paraId="3C6670FE"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France</w:t>
            </w:r>
          </w:p>
        </w:tc>
        <w:tc>
          <w:tcPr>
            <w:tcW w:w="0" w:type="auto"/>
            <w:tcBorders>
              <w:top w:val="nil"/>
              <w:left w:val="nil"/>
              <w:bottom w:val="nil"/>
              <w:right w:val="nil"/>
            </w:tcBorders>
            <w:shd w:val="clear" w:color="auto" w:fill="auto"/>
            <w:vAlign w:val="bottom"/>
          </w:tcPr>
          <w:p w14:paraId="41098C53"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83</w:t>
            </w:r>
          </w:p>
        </w:tc>
        <w:tc>
          <w:tcPr>
            <w:tcW w:w="0" w:type="auto"/>
            <w:tcBorders>
              <w:top w:val="nil"/>
              <w:left w:val="nil"/>
              <w:bottom w:val="nil"/>
              <w:right w:val="nil"/>
            </w:tcBorders>
            <w:shd w:val="clear" w:color="auto" w:fill="auto"/>
            <w:vAlign w:val="bottom"/>
          </w:tcPr>
          <w:p w14:paraId="26593401"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49,9</w:t>
            </w:r>
          </w:p>
        </w:tc>
      </w:tr>
      <w:tr w:rsidR="00E25BDB" w:rsidRPr="009C69EB" w14:paraId="092188A9" w14:textId="77777777" w:rsidTr="00D73B69">
        <w:trPr>
          <w:jc w:val="center"/>
        </w:trPr>
        <w:tc>
          <w:tcPr>
            <w:tcW w:w="0" w:type="auto"/>
          </w:tcPr>
          <w:p w14:paraId="1ED140DC"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Germany</w:t>
            </w:r>
          </w:p>
        </w:tc>
        <w:tc>
          <w:tcPr>
            <w:tcW w:w="0" w:type="auto"/>
            <w:tcBorders>
              <w:top w:val="nil"/>
              <w:left w:val="nil"/>
              <w:bottom w:val="nil"/>
              <w:right w:val="nil"/>
            </w:tcBorders>
            <w:shd w:val="clear" w:color="auto" w:fill="auto"/>
            <w:vAlign w:val="bottom"/>
          </w:tcPr>
          <w:p w14:paraId="5CB1FF7A"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81,7</w:t>
            </w:r>
          </w:p>
        </w:tc>
        <w:tc>
          <w:tcPr>
            <w:tcW w:w="0" w:type="auto"/>
            <w:tcBorders>
              <w:top w:val="nil"/>
              <w:left w:val="nil"/>
              <w:bottom w:val="nil"/>
              <w:right w:val="nil"/>
            </w:tcBorders>
            <w:shd w:val="clear" w:color="auto" w:fill="auto"/>
            <w:vAlign w:val="bottom"/>
          </w:tcPr>
          <w:p w14:paraId="33A2D711"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64,1</w:t>
            </w:r>
          </w:p>
        </w:tc>
      </w:tr>
      <w:tr w:rsidR="00E25BDB" w:rsidRPr="009C69EB" w14:paraId="362D0E9A" w14:textId="77777777" w:rsidTr="00D73B69">
        <w:trPr>
          <w:jc w:val="center"/>
        </w:trPr>
        <w:tc>
          <w:tcPr>
            <w:tcW w:w="0" w:type="auto"/>
          </w:tcPr>
          <w:p w14:paraId="66847AEF"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Hungary</w:t>
            </w:r>
          </w:p>
        </w:tc>
        <w:tc>
          <w:tcPr>
            <w:tcW w:w="0" w:type="auto"/>
            <w:tcBorders>
              <w:top w:val="nil"/>
              <w:left w:val="nil"/>
              <w:bottom w:val="nil"/>
              <w:right w:val="nil"/>
            </w:tcBorders>
            <w:shd w:val="clear" w:color="auto" w:fill="auto"/>
            <w:vAlign w:val="bottom"/>
          </w:tcPr>
          <w:p w14:paraId="036CFDDE"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66,5</w:t>
            </w:r>
          </w:p>
        </w:tc>
        <w:tc>
          <w:tcPr>
            <w:tcW w:w="0" w:type="auto"/>
            <w:tcBorders>
              <w:top w:val="nil"/>
              <w:left w:val="nil"/>
              <w:bottom w:val="nil"/>
              <w:right w:val="nil"/>
            </w:tcBorders>
            <w:shd w:val="clear" w:color="auto" w:fill="auto"/>
            <w:vAlign w:val="bottom"/>
          </w:tcPr>
          <w:p w14:paraId="0753D55D"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32,2</w:t>
            </w:r>
          </w:p>
        </w:tc>
      </w:tr>
      <w:tr w:rsidR="00E25BDB" w:rsidRPr="009C69EB" w14:paraId="7C62B730" w14:textId="77777777" w:rsidTr="00D73B69">
        <w:trPr>
          <w:jc w:val="center"/>
        </w:trPr>
        <w:tc>
          <w:tcPr>
            <w:tcW w:w="0" w:type="auto"/>
          </w:tcPr>
          <w:p w14:paraId="7995FE29"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Ireland</w:t>
            </w:r>
          </w:p>
        </w:tc>
        <w:tc>
          <w:tcPr>
            <w:tcW w:w="0" w:type="auto"/>
            <w:tcBorders>
              <w:top w:val="nil"/>
              <w:left w:val="nil"/>
              <w:bottom w:val="nil"/>
              <w:right w:val="nil"/>
            </w:tcBorders>
            <w:shd w:val="clear" w:color="auto" w:fill="auto"/>
            <w:vAlign w:val="bottom"/>
          </w:tcPr>
          <w:p w14:paraId="0A447165"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70,8</w:t>
            </w:r>
          </w:p>
        </w:tc>
        <w:tc>
          <w:tcPr>
            <w:tcW w:w="0" w:type="auto"/>
            <w:tcBorders>
              <w:top w:val="nil"/>
              <w:left w:val="nil"/>
              <w:bottom w:val="nil"/>
              <w:right w:val="nil"/>
            </w:tcBorders>
            <w:shd w:val="clear" w:color="auto" w:fill="auto"/>
            <w:vAlign w:val="bottom"/>
          </w:tcPr>
          <w:p w14:paraId="7EBEE4F6"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19,3</w:t>
            </w:r>
          </w:p>
        </w:tc>
      </w:tr>
      <w:tr w:rsidR="00E25BDB" w:rsidRPr="009C69EB" w14:paraId="739A07BC" w14:textId="77777777" w:rsidTr="00D73B69">
        <w:trPr>
          <w:jc w:val="center"/>
        </w:trPr>
        <w:tc>
          <w:tcPr>
            <w:tcW w:w="0" w:type="auto"/>
          </w:tcPr>
          <w:p w14:paraId="721A9629"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Israel</w:t>
            </w:r>
          </w:p>
        </w:tc>
        <w:tc>
          <w:tcPr>
            <w:tcW w:w="0" w:type="auto"/>
            <w:tcBorders>
              <w:top w:val="nil"/>
              <w:left w:val="nil"/>
              <w:bottom w:val="nil"/>
              <w:right w:val="nil"/>
            </w:tcBorders>
            <w:shd w:val="clear" w:color="auto" w:fill="auto"/>
            <w:vAlign w:val="bottom"/>
          </w:tcPr>
          <w:p w14:paraId="00FF8820"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82,2</w:t>
            </w:r>
          </w:p>
        </w:tc>
        <w:tc>
          <w:tcPr>
            <w:tcW w:w="0" w:type="auto"/>
            <w:tcBorders>
              <w:top w:val="nil"/>
              <w:left w:val="nil"/>
              <w:bottom w:val="nil"/>
              <w:right w:val="nil"/>
            </w:tcBorders>
            <w:shd w:val="clear" w:color="auto" w:fill="auto"/>
            <w:vAlign w:val="bottom"/>
          </w:tcPr>
          <w:p w14:paraId="6615F662"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61,9</w:t>
            </w:r>
          </w:p>
        </w:tc>
      </w:tr>
      <w:tr w:rsidR="00E25BDB" w:rsidRPr="009C69EB" w14:paraId="29AEF3AA" w14:textId="77777777" w:rsidTr="00D73B69">
        <w:trPr>
          <w:jc w:val="center"/>
        </w:trPr>
        <w:tc>
          <w:tcPr>
            <w:tcW w:w="0" w:type="auto"/>
          </w:tcPr>
          <w:p w14:paraId="77279F72"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Lithuania</w:t>
            </w:r>
          </w:p>
        </w:tc>
        <w:tc>
          <w:tcPr>
            <w:tcW w:w="0" w:type="auto"/>
            <w:tcBorders>
              <w:top w:val="nil"/>
              <w:left w:val="nil"/>
              <w:bottom w:val="nil"/>
              <w:right w:val="nil"/>
            </w:tcBorders>
            <w:shd w:val="clear" w:color="auto" w:fill="auto"/>
            <w:vAlign w:val="bottom"/>
          </w:tcPr>
          <w:p w14:paraId="461CC4D6"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69,3</w:t>
            </w:r>
          </w:p>
        </w:tc>
        <w:tc>
          <w:tcPr>
            <w:tcW w:w="0" w:type="auto"/>
            <w:tcBorders>
              <w:top w:val="nil"/>
              <w:left w:val="nil"/>
              <w:bottom w:val="nil"/>
              <w:right w:val="nil"/>
            </w:tcBorders>
            <w:shd w:val="clear" w:color="auto" w:fill="auto"/>
            <w:vAlign w:val="bottom"/>
          </w:tcPr>
          <w:p w14:paraId="58B81949"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27,8</w:t>
            </w:r>
          </w:p>
        </w:tc>
      </w:tr>
      <w:tr w:rsidR="00E25BDB" w:rsidRPr="009C69EB" w14:paraId="41BAA9CE" w14:textId="77777777" w:rsidTr="00D73B69">
        <w:trPr>
          <w:jc w:val="center"/>
        </w:trPr>
        <w:tc>
          <w:tcPr>
            <w:tcW w:w="0" w:type="auto"/>
          </w:tcPr>
          <w:p w14:paraId="37C69B0C"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Netherlands</w:t>
            </w:r>
          </w:p>
        </w:tc>
        <w:tc>
          <w:tcPr>
            <w:tcW w:w="0" w:type="auto"/>
            <w:tcBorders>
              <w:top w:val="nil"/>
              <w:left w:val="nil"/>
              <w:bottom w:val="nil"/>
              <w:right w:val="nil"/>
            </w:tcBorders>
            <w:shd w:val="clear" w:color="auto" w:fill="auto"/>
            <w:vAlign w:val="bottom"/>
          </w:tcPr>
          <w:p w14:paraId="5936F07A"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72,1</w:t>
            </w:r>
          </w:p>
        </w:tc>
        <w:tc>
          <w:tcPr>
            <w:tcW w:w="0" w:type="auto"/>
            <w:tcBorders>
              <w:top w:val="nil"/>
              <w:left w:val="nil"/>
              <w:bottom w:val="nil"/>
              <w:right w:val="nil"/>
            </w:tcBorders>
            <w:shd w:val="clear" w:color="auto" w:fill="auto"/>
            <w:vAlign w:val="bottom"/>
          </w:tcPr>
          <w:p w14:paraId="2BB45F59"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44,6</w:t>
            </w:r>
          </w:p>
        </w:tc>
      </w:tr>
      <w:tr w:rsidR="00E25BDB" w:rsidRPr="009C69EB" w14:paraId="46CE2092" w14:textId="77777777" w:rsidTr="00D73B69">
        <w:trPr>
          <w:jc w:val="center"/>
        </w:trPr>
        <w:tc>
          <w:tcPr>
            <w:tcW w:w="0" w:type="auto"/>
          </w:tcPr>
          <w:p w14:paraId="311120D3"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Norway</w:t>
            </w:r>
          </w:p>
        </w:tc>
        <w:tc>
          <w:tcPr>
            <w:tcW w:w="0" w:type="auto"/>
            <w:tcBorders>
              <w:top w:val="nil"/>
              <w:left w:val="nil"/>
              <w:bottom w:val="nil"/>
              <w:right w:val="nil"/>
            </w:tcBorders>
            <w:shd w:val="clear" w:color="auto" w:fill="auto"/>
            <w:vAlign w:val="bottom"/>
          </w:tcPr>
          <w:p w14:paraId="79250216"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79</w:t>
            </w:r>
          </w:p>
        </w:tc>
        <w:tc>
          <w:tcPr>
            <w:tcW w:w="0" w:type="auto"/>
            <w:tcBorders>
              <w:top w:val="nil"/>
              <w:left w:val="nil"/>
              <w:bottom w:val="nil"/>
              <w:right w:val="nil"/>
            </w:tcBorders>
            <w:shd w:val="clear" w:color="auto" w:fill="auto"/>
            <w:vAlign w:val="bottom"/>
          </w:tcPr>
          <w:p w14:paraId="1BCDF21E"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29,8</w:t>
            </w:r>
          </w:p>
        </w:tc>
      </w:tr>
      <w:tr w:rsidR="00E25BDB" w:rsidRPr="009C69EB" w14:paraId="0B36159C" w14:textId="77777777" w:rsidTr="00D73B69">
        <w:trPr>
          <w:jc w:val="center"/>
        </w:trPr>
        <w:tc>
          <w:tcPr>
            <w:tcW w:w="0" w:type="auto"/>
          </w:tcPr>
          <w:p w14:paraId="6CC4594D"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Poland</w:t>
            </w:r>
          </w:p>
        </w:tc>
        <w:tc>
          <w:tcPr>
            <w:tcW w:w="0" w:type="auto"/>
            <w:tcBorders>
              <w:top w:val="nil"/>
              <w:left w:val="nil"/>
              <w:bottom w:val="nil"/>
              <w:right w:val="nil"/>
            </w:tcBorders>
            <w:shd w:val="clear" w:color="auto" w:fill="auto"/>
            <w:vAlign w:val="bottom"/>
          </w:tcPr>
          <w:p w14:paraId="43A2DE20"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70,4</w:t>
            </w:r>
          </w:p>
        </w:tc>
        <w:tc>
          <w:tcPr>
            <w:tcW w:w="0" w:type="auto"/>
            <w:tcBorders>
              <w:top w:val="nil"/>
              <w:left w:val="nil"/>
              <w:bottom w:val="nil"/>
              <w:right w:val="nil"/>
            </w:tcBorders>
            <w:shd w:val="clear" w:color="auto" w:fill="auto"/>
            <w:vAlign w:val="bottom"/>
          </w:tcPr>
          <w:p w14:paraId="5A3054E7"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47,9</w:t>
            </w:r>
          </w:p>
        </w:tc>
      </w:tr>
      <w:tr w:rsidR="00E25BDB" w:rsidRPr="009C69EB" w14:paraId="77B42462" w14:textId="77777777" w:rsidTr="00D73B69">
        <w:trPr>
          <w:jc w:val="center"/>
        </w:trPr>
        <w:tc>
          <w:tcPr>
            <w:tcW w:w="0" w:type="auto"/>
          </w:tcPr>
          <w:p w14:paraId="34E7C688"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Portugal</w:t>
            </w:r>
          </w:p>
        </w:tc>
        <w:tc>
          <w:tcPr>
            <w:tcW w:w="0" w:type="auto"/>
            <w:tcBorders>
              <w:top w:val="nil"/>
              <w:left w:val="nil"/>
              <w:bottom w:val="nil"/>
              <w:right w:val="nil"/>
            </w:tcBorders>
            <w:shd w:val="clear" w:color="auto" w:fill="auto"/>
            <w:vAlign w:val="bottom"/>
          </w:tcPr>
          <w:p w14:paraId="3AB82679"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81,6</w:t>
            </w:r>
          </w:p>
        </w:tc>
        <w:tc>
          <w:tcPr>
            <w:tcW w:w="0" w:type="auto"/>
            <w:tcBorders>
              <w:top w:val="nil"/>
              <w:left w:val="nil"/>
              <w:bottom w:val="nil"/>
              <w:right w:val="nil"/>
            </w:tcBorders>
            <w:shd w:val="clear" w:color="auto" w:fill="auto"/>
            <w:vAlign w:val="bottom"/>
          </w:tcPr>
          <w:p w14:paraId="45A8CC58"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42</w:t>
            </w:r>
          </w:p>
        </w:tc>
      </w:tr>
      <w:tr w:rsidR="00E25BDB" w:rsidRPr="009C69EB" w14:paraId="4F53E393" w14:textId="77777777" w:rsidTr="00D73B69">
        <w:trPr>
          <w:jc w:val="center"/>
        </w:trPr>
        <w:tc>
          <w:tcPr>
            <w:tcW w:w="0" w:type="auto"/>
          </w:tcPr>
          <w:p w14:paraId="54E4AA54"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Slovenia</w:t>
            </w:r>
          </w:p>
        </w:tc>
        <w:tc>
          <w:tcPr>
            <w:tcW w:w="0" w:type="auto"/>
            <w:tcBorders>
              <w:top w:val="nil"/>
              <w:left w:val="nil"/>
              <w:bottom w:val="nil"/>
              <w:right w:val="nil"/>
            </w:tcBorders>
            <w:shd w:val="clear" w:color="auto" w:fill="auto"/>
            <w:vAlign w:val="bottom"/>
          </w:tcPr>
          <w:p w14:paraId="6367338D"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79,2</w:t>
            </w:r>
          </w:p>
        </w:tc>
        <w:tc>
          <w:tcPr>
            <w:tcW w:w="0" w:type="auto"/>
            <w:tcBorders>
              <w:top w:val="nil"/>
              <w:left w:val="nil"/>
              <w:bottom w:val="nil"/>
              <w:right w:val="nil"/>
            </w:tcBorders>
            <w:shd w:val="clear" w:color="auto" w:fill="auto"/>
            <w:vAlign w:val="bottom"/>
          </w:tcPr>
          <w:p w14:paraId="09319CAA"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43,2</w:t>
            </w:r>
          </w:p>
        </w:tc>
      </w:tr>
      <w:tr w:rsidR="00E25BDB" w:rsidRPr="009C69EB" w14:paraId="1863E59B" w14:textId="77777777" w:rsidTr="00D73B69">
        <w:trPr>
          <w:jc w:val="center"/>
        </w:trPr>
        <w:tc>
          <w:tcPr>
            <w:tcW w:w="0" w:type="auto"/>
          </w:tcPr>
          <w:p w14:paraId="604E529F"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Spain</w:t>
            </w:r>
          </w:p>
        </w:tc>
        <w:tc>
          <w:tcPr>
            <w:tcW w:w="0" w:type="auto"/>
            <w:tcBorders>
              <w:top w:val="nil"/>
              <w:left w:val="nil"/>
              <w:bottom w:val="nil"/>
              <w:right w:val="nil"/>
            </w:tcBorders>
            <w:shd w:val="clear" w:color="auto" w:fill="auto"/>
            <w:vAlign w:val="bottom"/>
          </w:tcPr>
          <w:p w14:paraId="37C47DE5"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78</w:t>
            </w:r>
          </w:p>
        </w:tc>
        <w:tc>
          <w:tcPr>
            <w:tcW w:w="0" w:type="auto"/>
            <w:tcBorders>
              <w:top w:val="nil"/>
              <w:left w:val="nil"/>
              <w:bottom w:val="nil"/>
              <w:right w:val="nil"/>
            </w:tcBorders>
            <w:shd w:val="clear" w:color="auto" w:fill="auto"/>
            <w:vAlign w:val="bottom"/>
          </w:tcPr>
          <w:p w14:paraId="081E95C2"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48,8</w:t>
            </w:r>
          </w:p>
        </w:tc>
      </w:tr>
      <w:tr w:rsidR="00E25BDB" w:rsidRPr="009C69EB" w14:paraId="7D00E341" w14:textId="77777777" w:rsidTr="00D73B69">
        <w:trPr>
          <w:jc w:val="center"/>
        </w:trPr>
        <w:tc>
          <w:tcPr>
            <w:tcW w:w="0" w:type="auto"/>
          </w:tcPr>
          <w:p w14:paraId="4B6C32A4"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Sweden</w:t>
            </w:r>
          </w:p>
        </w:tc>
        <w:tc>
          <w:tcPr>
            <w:tcW w:w="0" w:type="auto"/>
            <w:tcBorders>
              <w:top w:val="nil"/>
              <w:left w:val="nil"/>
              <w:bottom w:val="nil"/>
              <w:right w:val="nil"/>
            </w:tcBorders>
            <w:shd w:val="clear" w:color="auto" w:fill="auto"/>
            <w:vAlign w:val="bottom"/>
          </w:tcPr>
          <w:p w14:paraId="10DF946C"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56</w:t>
            </w:r>
          </w:p>
        </w:tc>
        <w:tc>
          <w:tcPr>
            <w:tcW w:w="0" w:type="auto"/>
            <w:tcBorders>
              <w:top w:val="nil"/>
              <w:left w:val="nil"/>
              <w:bottom w:val="nil"/>
              <w:right w:val="nil"/>
            </w:tcBorders>
            <w:shd w:val="clear" w:color="auto" w:fill="auto"/>
            <w:vAlign w:val="bottom"/>
          </w:tcPr>
          <w:p w14:paraId="6C4DBAB7"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35,6</w:t>
            </w:r>
          </w:p>
        </w:tc>
      </w:tr>
      <w:tr w:rsidR="00E25BDB" w:rsidRPr="009C69EB" w14:paraId="219B759D" w14:textId="77777777" w:rsidTr="00D73B69">
        <w:trPr>
          <w:jc w:val="center"/>
        </w:trPr>
        <w:tc>
          <w:tcPr>
            <w:tcW w:w="0" w:type="auto"/>
          </w:tcPr>
          <w:p w14:paraId="261B40A8"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Switzerland</w:t>
            </w:r>
          </w:p>
        </w:tc>
        <w:tc>
          <w:tcPr>
            <w:tcW w:w="0" w:type="auto"/>
            <w:tcBorders>
              <w:top w:val="nil"/>
              <w:left w:val="nil"/>
              <w:bottom w:val="nil"/>
              <w:right w:val="nil"/>
            </w:tcBorders>
            <w:shd w:val="clear" w:color="auto" w:fill="auto"/>
            <w:vAlign w:val="bottom"/>
          </w:tcPr>
          <w:p w14:paraId="7E8C333C"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68,7</w:t>
            </w:r>
          </w:p>
        </w:tc>
        <w:tc>
          <w:tcPr>
            <w:tcW w:w="0" w:type="auto"/>
            <w:tcBorders>
              <w:top w:val="nil"/>
              <w:left w:val="nil"/>
              <w:bottom w:val="nil"/>
              <w:right w:val="nil"/>
            </w:tcBorders>
            <w:shd w:val="clear" w:color="auto" w:fill="auto"/>
            <w:vAlign w:val="bottom"/>
          </w:tcPr>
          <w:p w14:paraId="63968C91"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41,4</w:t>
            </w:r>
          </w:p>
        </w:tc>
      </w:tr>
      <w:tr w:rsidR="00E25BDB" w:rsidRPr="009C69EB" w14:paraId="0FB97B8F" w14:textId="77777777" w:rsidTr="00D73B69">
        <w:trPr>
          <w:jc w:val="center"/>
        </w:trPr>
        <w:tc>
          <w:tcPr>
            <w:tcW w:w="0" w:type="auto"/>
            <w:tcBorders>
              <w:bottom w:val="single" w:sz="4" w:space="0" w:color="auto"/>
            </w:tcBorders>
          </w:tcPr>
          <w:p w14:paraId="63FBC0D4" w14:textId="77777777" w:rsidR="00E25BDB" w:rsidRPr="009C69EB" w:rsidRDefault="00E25BDB" w:rsidP="00D73B69">
            <w:pPr>
              <w:pStyle w:val="EndNoteBibliography"/>
              <w:rPr>
                <w:rFonts w:ascii="Times New Roman" w:hAnsi="Times New Roman" w:cs="Times New Roman"/>
                <w:sz w:val="24"/>
                <w:szCs w:val="24"/>
                <w:lang w:val="en-GB"/>
              </w:rPr>
            </w:pPr>
            <w:r w:rsidRPr="009C69EB">
              <w:rPr>
                <w:rFonts w:ascii="Times New Roman" w:hAnsi="Times New Roman" w:cs="Times New Roman"/>
                <w:sz w:val="24"/>
                <w:szCs w:val="24"/>
                <w:lang w:val="en-GB"/>
              </w:rPr>
              <w:t>UK</w:t>
            </w:r>
          </w:p>
        </w:tc>
        <w:tc>
          <w:tcPr>
            <w:tcW w:w="0" w:type="auto"/>
            <w:tcBorders>
              <w:top w:val="nil"/>
              <w:left w:val="nil"/>
              <w:bottom w:val="nil"/>
              <w:right w:val="nil"/>
            </w:tcBorders>
            <w:shd w:val="clear" w:color="auto" w:fill="auto"/>
            <w:vAlign w:val="bottom"/>
          </w:tcPr>
          <w:p w14:paraId="4C217914"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75,6</w:t>
            </w:r>
          </w:p>
        </w:tc>
        <w:tc>
          <w:tcPr>
            <w:tcW w:w="0" w:type="auto"/>
            <w:tcBorders>
              <w:top w:val="nil"/>
              <w:left w:val="nil"/>
              <w:bottom w:val="nil"/>
              <w:right w:val="nil"/>
            </w:tcBorders>
            <w:shd w:val="clear" w:color="auto" w:fill="auto"/>
            <w:vAlign w:val="bottom"/>
          </w:tcPr>
          <w:p w14:paraId="3B2EDBF8" w14:textId="77777777" w:rsidR="00E25BDB" w:rsidRPr="009C69EB" w:rsidRDefault="00E25BDB" w:rsidP="00D73B69">
            <w:pPr>
              <w:pStyle w:val="EndNoteBibliography"/>
              <w:jc w:val="right"/>
              <w:rPr>
                <w:rFonts w:ascii="Times New Roman" w:hAnsi="Times New Roman" w:cs="Times New Roman"/>
                <w:sz w:val="24"/>
                <w:szCs w:val="24"/>
                <w:lang w:val="en-GB"/>
              </w:rPr>
            </w:pPr>
            <w:r w:rsidRPr="009C69EB">
              <w:rPr>
                <w:rFonts w:ascii="Times New Roman" w:hAnsi="Times New Roman" w:cs="Times New Roman"/>
                <w:sz w:val="24"/>
                <w:szCs w:val="24"/>
                <w:lang w:val="en-GB"/>
              </w:rPr>
              <w:t>34,3</w:t>
            </w:r>
          </w:p>
        </w:tc>
      </w:tr>
      <w:tr w:rsidR="00E25BDB" w:rsidRPr="009C69EB" w14:paraId="4A4CF1B1" w14:textId="77777777" w:rsidTr="00D73B69">
        <w:trPr>
          <w:jc w:val="center"/>
        </w:trPr>
        <w:tc>
          <w:tcPr>
            <w:tcW w:w="0" w:type="auto"/>
            <w:tcBorders>
              <w:top w:val="single" w:sz="4" w:space="0" w:color="auto"/>
              <w:bottom w:val="single" w:sz="4" w:space="0" w:color="auto"/>
            </w:tcBorders>
          </w:tcPr>
          <w:p w14:paraId="59C5D4D8" w14:textId="77777777" w:rsidR="00E25BDB" w:rsidRPr="009C69EB" w:rsidRDefault="00E25BDB" w:rsidP="00D73B69">
            <w:pPr>
              <w:pStyle w:val="EndNoteBibliography"/>
              <w:rPr>
                <w:rFonts w:ascii="Times New Roman" w:hAnsi="Times New Roman" w:cs="Times New Roman"/>
                <w:i/>
                <w:sz w:val="24"/>
                <w:szCs w:val="24"/>
                <w:lang w:val="en-GB"/>
              </w:rPr>
            </w:pPr>
            <w:r w:rsidRPr="009C69EB">
              <w:rPr>
                <w:rFonts w:ascii="Times New Roman" w:hAnsi="Times New Roman" w:cs="Times New Roman"/>
                <w:i/>
                <w:sz w:val="24"/>
                <w:szCs w:val="24"/>
                <w:lang w:val="en-GB"/>
              </w:rPr>
              <w:t>Pooled</w:t>
            </w:r>
          </w:p>
        </w:tc>
        <w:tc>
          <w:tcPr>
            <w:tcW w:w="0" w:type="auto"/>
            <w:tcBorders>
              <w:top w:val="single" w:sz="4" w:space="0" w:color="auto"/>
              <w:bottom w:val="single" w:sz="4" w:space="0" w:color="auto"/>
            </w:tcBorders>
          </w:tcPr>
          <w:p w14:paraId="15834FA4" w14:textId="77777777" w:rsidR="00E25BDB" w:rsidRPr="009C69EB" w:rsidRDefault="00E25BDB" w:rsidP="00D73B69">
            <w:pPr>
              <w:pStyle w:val="EndNoteBibliography"/>
              <w:jc w:val="right"/>
              <w:rPr>
                <w:rFonts w:ascii="Times New Roman" w:hAnsi="Times New Roman" w:cs="Times New Roman"/>
                <w:i/>
                <w:sz w:val="24"/>
                <w:szCs w:val="24"/>
                <w:lang w:val="en-GB"/>
              </w:rPr>
            </w:pPr>
            <w:r w:rsidRPr="009C69EB">
              <w:rPr>
                <w:rFonts w:ascii="Times New Roman" w:hAnsi="Times New Roman" w:cs="Times New Roman"/>
                <w:i/>
                <w:sz w:val="24"/>
                <w:szCs w:val="24"/>
                <w:lang w:val="en-GB"/>
              </w:rPr>
              <w:t>74,7</w:t>
            </w:r>
          </w:p>
        </w:tc>
        <w:tc>
          <w:tcPr>
            <w:tcW w:w="0" w:type="auto"/>
            <w:tcBorders>
              <w:top w:val="single" w:sz="4" w:space="0" w:color="auto"/>
              <w:bottom w:val="single" w:sz="4" w:space="0" w:color="auto"/>
            </w:tcBorders>
          </w:tcPr>
          <w:p w14:paraId="69931301" w14:textId="77777777" w:rsidR="00E25BDB" w:rsidRPr="009C69EB" w:rsidRDefault="00E25BDB" w:rsidP="00D73B69">
            <w:pPr>
              <w:pStyle w:val="EndNoteBibliography"/>
              <w:jc w:val="right"/>
              <w:rPr>
                <w:rFonts w:ascii="Times New Roman" w:hAnsi="Times New Roman" w:cs="Times New Roman"/>
                <w:i/>
                <w:sz w:val="24"/>
                <w:szCs w:val="24"/>
                <w:lang w:val="en-GB"/>
              </w:rPr>
            </w:pPr>
            <w:r w:rsidRPr="009C69EB">
              <w:rPr>
                <w:rFonts w:ascii="Times New Roman" w:hAnsi="Times New Roman" w:cs="Times New Roman"/>
                <w:i/>
                <w:sz w:val="24"/>
                <w:szCs w:val="24"/>
                <w:lang w:val="en-GB"/>
              </w:rPr>
              <w:t>42,8</w:t>
            </w:r>
          </w:p>
        </w:tc>
      </w:tr>
    </w:tbl>
    <w:p w14:paraId="04E0F576" w14:textId="77777777" w:rsidR="00E25BDB" w:rsidRPr="009C69EB" w:rsidRDefault="00E25BDB" w:rsidP="00D73B69">
      <w:pPr>
        <w:rPr>
          <w:lang w:val="en-GB"/>
        </w:rPr>
        <w:sectPr w:rsidR="00E25BDB" w:rsidRPr="009C69EB">
          <w:headerReference w:type="default" r:id="rId7"/>
          <w:footerReference w:type="default" r:id="rId8"/>
          <w:pgSz w:w="11906" w:h="16838"/>
          <w:pgMar w:top="1417" w:right="1417" w:bottom="1417" w:left="1417" w:header="708" w:footer="708" w:gutter="0"/>
          <w:cols w:space="708"/>
          <w:docGrid w:linePitch="360"/>
        </w:sectPr>
      </w:pPr>
    </w:p>
    <w:tbl>
      <w:tblPr>
        <w:tblStyle w:val="TableGrid"/>
        <w:tblW w:w="0" w:type="auto"/>
        <w:tblInd w:w="720" w:type="dxa"/>
        <w:tblCellMar>
          <w:left w:w="70" w:type="dxa"/>
          <w:right w:w="70" w:type="dxa"/>
        </w:tblCellMar>
        <w:tblLook w:val="04A0" w:firstRow="1" w:lastRow="0" w:firstColumn="1" w:lastColumn="0" w:noHBand="0" w:noVBand="1"/>
      </w:tblPr>
      <w:tblGrid>
        <w:gridCol w:w="6744"/>
        <w:gridCol w:w="6540"/>
      </w:tblGrid>
      <w:tr w:rsidR="00505269" w:rsidRPr="00D11394" w14:paraId="4650C731" w14:textId="77777777" w:rsidTr="00505269">
        <w:tc>
          <w:tcPr>
            <w:tcW w:w="6803" w:type="dxa"/>
            <w:tcBorders>
              <w:left w:val="nil"/>
              <w:right w:val="nil"/>
            </w:tcBorders>
          </w:tcPr>
          <w:p w14:paraId="390948A0" w14:textId="555671DA" w:rsidR="00505269" w:rsidRPr="00D11394" w:rsidRDefault="00505269" w:rsidP="007500AC">
            <w:pPr>
              <w:pStyle w:val="EndNoteBibliography"/>
              <w:jc w:val="both"/>
              <w:rPr>
                <w:rFonts w:ascii="Times New Roman" w:hAnsi="Times New Roman" w:cs="Times New Roman"/>
                <w:sz w:val="24"/>
                <w:szCs w:val="24"/>
                <w:lang w:val="en-GB"/>
              </w:rPr>
            </w:pPr>
            <w:r>
              <w:rPr>
                <w:rFonts w:ascii="Times New Roman" w:hAnsi="Times New Roman" w:cs="Times New Roman"/>
                <w:b/>
                <w:sz w:val="28"/>
                <w:szCs w:val="28"/>
                <w:lang w:val="en-GB"/>
              </w:rPr>
              <w:lastRenderedPageBreak/>
              <w:br w:type="page"/>
            </w:r>
            <w:r>
              <w:drawing>
                <wp:inline distT="0" distB="0" distL="0" distR="0" wp14:anchorId="705A8DB0" wp14:editId="2D20710B">
                  <wp:extent cx="4124325" cy="2514600"/>
                  <wp:effectExtent l="0" t="0" r="9525"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6621" w:type="dxa"/>
            <w:tcBorders>
              <w:left w:val="nil"/>
              <w:right w:val="nil"/>
            </w:tcBorders>
          </w:tcPr>
          <w:p w14:paraId="3433E7CF" w14:textId="70B8282D" w:rsidR="00505269" w:rsidRPr="00D11394" w:rsidRDefault="00505269" w:rsidP="007500AC">
            <w:pPr>
              <w:pStyle w:val="EndNoteBibliography"/>
              <w:jc w:val="both"/>
              <w:rPr>
                <w:rFonts w:ascii="Times New Roman" w:hAnsi="Times New Roman" w:cs="Times New Roman"/>
                <w:sz w:val="24"/>
                <w:szCs w:val="24"/>
                <w:lang w:val="en-GB"/>
              </w:rPr>
            </w:pPr>
            <w:r>
              <w:drawing>
                <wp:inline distT="0" distB="0" distL="0" distR="0" wp14:anchorId="63EA3CBC" wp14:editId="23400299">
                  <wp:extent cx="3971925" cy="2552700"/>
                  <wp:effectExtent l="0" t="0" r="9525" b="190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505269" w:rsidRPr="00D11394" w14:paraId="54831617" w14:textId="77777777" w:rsidTr="00505269">
        <w:tc>
          <w:tcPr>
            <w:tcW w:w="6803" w:type="dxa"/>
            <w:tcBorders>
              <w:left w:val="nil"/>
              <w:right w:val="nil"/>
            </w:tcBorders>
          </w:tcPr>
          <w:p w14:paraId="23F67839" w14:textId="0C31F610" w:rsidR="00505269" w:rsidRPr="00D11394" w:rsidRDefault="00505269" w:rsidP="007500AC">
            <w:pPr>
              <w:pStyle w:val="EndNoteBibliography"/>
              <w:jc w:val="both"/>
              <w:rPr>
                <w:rFonts w:ascii="Times New Roman" w:hAnsi="Times New Roman" w:cs="Times New Roman"/>
                <w:sz w:val="24"/>
                <w:szCs w:val="24"/>
                <w:lang w:val="en-GB"/>
              </w:rPr>
            </w:pPr>
            <w:r>
              <w:drawing>
                <wp:inline distT="0" distB="0" distL="0" distR="0" wp14:anchorId="73B977BC" wp14:editId="333C9CC0">
                  <wp:extent cx="4124325" cy="2514600"/>
                  <wp:effectExtent l="0" t="0" r="9525" b="1905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6621" w:type="dxa"/>
            <w:tcBorders>
              <w:left w:val="nil"/>
              <w:right w:val="nil"/>
            </w:tcBorders>
          </w:tcPr>
          <w:p w14:paraId="416ED8E1" w14:textId="24ED914C" w:rsidR="00505269" w:rsidRPr="00D11394" w:rsidRDefault="00505269" w:rsidP="007500AC">
            <w:pPr>
              <w:pStyle w:val="EndNoteBibliography"/>
              <w:jc w:val="both"/>
              <w:rPr>
                <w:rFonts w:ascii="Times New Roman" w:hAnsi="Times New Roman" w:cs="Times New Roman"/>
                <w:sz w:val="24"/>
                <w:szCs w:val="24"/>
                <w:lang w:val="en-GB"/>
              </w:rPr>
            </w:pPr>
            <w:r>
              <w:drawing>
                <wp:inline distT="0" distB="0" distL="0" distR="0" wp14:anchorId="48EBE055" wp14:editId="677DFCF5">
                  <wp:extent cx="3971925" cy="2590800"/>
                  <wp:effectExtent l="0" t="0" r="9525" b="1905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B8C0DA1" w14:textId="77777777" w:rsidR="00036B8B" w:rsidRDefault="00036B8B" w:rsidP="00C153E9">
      <w:pPr>
        <w:pStyle w:val="NoSpacing"/>
        <w:rPr>
          <w:lang w:val="en-GB" w:eastAsia="nb-NO"/>
        </w:rPr>
      </w:pPr>
      <w:r>
        <w:rPr>
          <w:lang w:val="en-GB" w:eastAsia="nb-NO"/>
        </w:rPr>
        <w:t>Figure 1</w:t>
      </w:r>
      <w:r w:rsidRPr="0046782C">
        <w:rPr>
          <w:lang w:val="en-GB" w:eastAsia="nb-NO"/>
        </w:rPr>
        <w:t>: Inequalities (ARRs) in GP and speciali</w:t>
      </w:r>
      <w:r>
        <w:rPr>
          <w:lang w:val="en-GB" w:eastAsia="nb-NO"/>
        </w:rPr>
        <w:t>st use by financial strain, occupation, education and</w:t>
      </w:r>
      <w:r w:rsidRPr="0046782C">
        <w:rPr>
          <w:lang w:val="en-GB" w:eastAsia="nb-NO"/>
        </w:rPr>
        <w:t xml:space="preserve"> soci</w:t>
      </w:r>
      <w:r>
        <w:rPr>
          <w:lang w:val="en-GB" w:eastAsia="nb-NO"/>
        </w:rPr>
        <w:t>al networks</w:t>
      </w:r>
      <w:r w:rsidRPr="0046782C">
        <w:rPr>
          <w:lang w:val="en-GB" w:eastAsia="nb-NO"/>
        </w:rPr>
        <w:t>. Significant estimates marked (p &lt; 0.1).</w:t>
      </w:r>
      <w:r>
        <w:rPr>
          <w:lang w:val="en-GB" w:eastAsia="nb-NO"/>
        </w:rPr>
        <w:t xml:space="preserve"> </w:t>
      </w:r>
    </w:p>
    <w:p w14:paraId="66F39C66" w14:textId="77777777" w:rsidR="00036B8B" w:rsidRDefault="00036B8B" w:rsidP="00C153E9">
      <w:pPr>
        <w:pStyle w:val="NoSpacing"/>
        <w:rPr>
          <w:lang w:val="en-GB" w:eastAsia="nb-NO"/>
        </w:rPr>
      </w:pPr>
      <w:r>
        <w:rPr>
          <w:lang w:val="en-GB" w:eastAsia="nb-NO"/>
        </w:rPr>
        <w:t xml:space="preserve">(*) Significant results for GP use. * Significant results for specialist use. </w:t>
      </w:r>
    </w:p>
    <w:p w14:paraId="552D5F55" w14:textId="6007A7E1" w:rsidR="00E25BDB" w:rsidRPr="003675B8" w:rsidRDefault="00E25BDB" w:rsidP="00C153E9">
      <w:pPr>
        <w:pStyle w:val="NoSpacing"/>
        <w:rPr>
          <w:lang w:val="en-GB"/>
        </w:rPr>
        <w:sectPr w:rsidR="00E25BDB" w:rsidRPr="003675B8" w:rsidSect="00496E9D">
          <w:pgSz w:w="16838" w:h="11906" w:orient="landscape"/>
          <w:pgMar w:top="1417" w:right="1417" w:bottom="1417" w:left="1417" w:header="708" w:footer="708" w:gutter="0"/>
          <w:cols w:space="708"/>
          <w:docGrid w:linePitch="360"/>
        </w:sectPr>
      </w:pPr>
    </w:p>
    <w:p w14:paraId="72B27E17" w14:textId="77777777" w:rsidR="00E25BDB" w:rsidRPr="009C69EB" w:rsidRDefault="00E25BDB" w:rsidP="00D73B69">
      <w:pPr>
        <w:pStyle w:val="NoSpacing"/>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Appendix</w:t>
      </w:r>
      <w:r w:rsidR="009B2E33">
        <w:rPr>
          <w:rFonts w:ascii="Times New Roman" w:hAnsi="Times New Roman" w:cs="Times New Roman"/>
          <w:b/>
          <w:sz w:val="28"/>
          <w:szCs w:val="28"/>
          <w:lang w:val="en-GB"/>
        </w:rPr>
        <w:t xml:space="preserve"> 1</w:t>
      </w:r>
      <w:r>
        <w:rPr>
          <w:rFonts w:ascii="Times New Roman" w:hAnsi="Times New Roman" w:cs="Times New Roman"/>
          <w:b/>
          <w:sz w:val="28"/>
          <w:szCs w:val="28"/>
          <w:lang w:val="en-GB"/>
        </w:rPr>
        <w:t xml:space="preserve">: </w:t>
      </w:r>
      <w:r w:rsidRPr="009C69EB">
        <w:rPr>
          <w:rFonts w:ascii="Times New Roman" w:hAnsi="Times New Roman" w:cs="Times New Roman"/>
          <w:b/>
          <w:sz w:val="28"/>
          <w:szCs w:val="28"/>
          <w:lang w:val="en-GB"/>
        </w:rPr>
        <w:t>Adjusted risk ratios (ARRs)</w:t>
      </w:r>
    </w:p>
    <w:p w14:paraId="449C1C16" w14:textId="77777777" w:rsidR="00E25BDB" w:rsidRPr="009C69EB" w:rsidRDefault="00E25BDB" w:rsidP="00D73B69">
      <w:pPr>
        <w:pStyle w:val="NoSpacing"/>
        <w:rPr>
          <w:rFonts w:ascii="Times New Roman" w:hAnsi="Times New Roman" w:cs="Times New Roman"/>
          <w:i/>
          <w:sz w:val="24"/>
          <w:szCs w:val="24"/>
          <w:lang w:val="en-GB"/>
        </w:rPr>
      </w:pPr>
    </w:p>
    <w:p w14:paraId="33EE48D7" w14:textId="77777777" w:rsidR="00E25BDB" w:rsidRDefault="00E25BDB" w:rsidP="00D73B69">
      <w:pPr>
        <w:pStyle w:val="NoSpacing"/>
        <w:rPr>
          <w:rFonts w:ascii="Times New Roman" w:hAnsi="Times New Roman" w:cs="Times New Roman"/>
          <w:i/>
          <w:sz w:val="24"/>
          <w:szCs w:val="24"/>
          <w:lang w:val="en-GB"/>
        </w:rPr>
      </w:pPr>
      <w:r w:rsidRPr="009C69EB">
        <w:rPr>
          <w:rFonts w:ascii="Times New Roman" w:hAnsi="Times New Roman" w:cs="Times New Roman"/>
          <w:i/>
          <w:sz w:val="24"/>
          <w:szCs w:val="24"/>
          <w:lang w:val="en-GB"/>
        </w:rPr>
        <w:t>Table 3: Inequalities (ARRs) in GP use by financial strain, occupation, education and social network</w:t>
      </w:r>
      <w:r>
        <w:rPr>
          <w:rFonts w:ascii="Times New Roman" w:hAnsi="Times New Roman" w:cs="Times New Roman"/>
          <w:i/>
          <w:sz w:val="24"/>
          <w:szCs w:val="24"/>
          <w:lang w:val="en-GB"/>
        </w:rPr>
        <w:t>s</w:t>
      </w:r>
      <w:r w:rsidRPr="009C69EB">
        <w:rPr>
          <w:rFonts w:ascii="Times New Roman" w:hAnsi="Times New Roman" w:cs="Times New Roman"/>
          <w:i/>
          <w:sz w:val="24"/>
          <w:szCs w:val="24"/>
          <w:lang w:val="en-GB"/>
        </w:rPr>
        <w:t xml:space="preserve">. </w:t>
      </w:r>
    </w:p>
    <w:p w14:paraId="576D3992" w14:textId="77777777" w:rsidR="00CB49ED" w:rsidRDefault="00CB49ED" w:rsidP="00D73B69">
      <w:pPr>
        <w:pStyle w:val="NoSpacing"/>
        <w:rPr>
          <w:rFonts w:ascii="Times New Roman" w:hAnsi="Times New Roman" w:cs="Times New Roman"/>
          <w:i/>
          <w:sz w:val="24"/>
          <w:szCs w:val="24"/>
          <w:lang w:val="en-GB"/>
        </w:rPr>
      </w:pPr>
    </w:p>
    <w:p w14:paraId="14466B3C" w14:textId="77777777" w:rsidR="00CB49ED" w:rsidRDefault="00CB49ED" w:rsidP="00CB49ED">
      <w:pPr>
        <w:pStyle w:val="NoSpacing"/>
        <w:rPr>
          <w:rFonts w:ascii="Times New Roman" w:hAnsi="Times New Roman" w:cs="Times New Roman"/>
          <w:sz w:val="24"/>
          <w:szCs w:val="24"/>
          <w:lang w:val="en-GB"/>
        </w:rPr>
      </w:pPr>
    </w:p>
    <w:tbl>
      <w:tblPr>
        <w:tblW w:w="8809" w:type="dxa"/>
        <w:tblInd w:w="55" w:type="dxa"/>
        <w:tblCellMar>
          <w:left w:w="70" w:type="dxa"/>
          <w:right w:w="70" w:type="dxa"/>
        </w:tblCellMar>
        <w:tblLook w:val="04A0" w:firstRow="1" w:lastRow="0" w:firstColumn="1" w:lastColumn="0" w:noHBand="0" w:noVBand="1"/>
      </w:tblPr>
      <w:tblGrid>
        <w:gridCol w:w="1107"/>
        <w:gridCol w:w="1200"/>
        <w:gridCol w:w="400"/>
        <w:gridCol w:w="400"/>
        <w:gridCol w:w="1062"/>
        <w:gridCol w:w="400"/>
        <w:gridCol w:w="400"/>
        <w:gridCol w:w="1040"/>
        <w:gridCol w:w="400"/>
        <w:gridCol w:w="400"/>
        <w:gridCol w:w="1200"/>
        <w:gridCol w:w="400"/>
        <w:gridCol w:w="400"/>
      </w:tblGrid>
      <w:tr w:rsidR="00CB49ED" w:rsidRPr="002D7DCB" w14:paraId="3180123E" w14:textId="77777777" w:rsidTr="009C4E41">
        <w:trPr>
          <w:trHeight w:val="300"/>
        </w:trPr>
        <w:tc>
          <w:tcPr>
            <w:tcW w:w="1107" w:type="dxa"/>
            <w:tcBorders>
              <w:top w:val="single" w:sz="4" w:space="0" w:color="auto"/>
              <w:left w:val="nil"/>
              <w:bottom w:val="single" w:sz="4" w:space="0" w:color="auto"/>
              <w:right w:val="nil"/>
            </w:tcBorders>
            <w:shd w:val="clear" w:color="auto" w:fill="auto"/>
            <w:noWrap/>
            <w:vAlign w:val="bottom"/>
            <w:hideMark/>
          </w:tcPr>
          <w:p w14:paraId="6C8CA46D" w14:textId="77777777" w:rsidR="00CB49ED" w:rsidRPr="006874F2" w:rsidRDefault="00CB49ED" w:rsidP="009C4E41">
            <w:pPr>
              <w:spacing w:after="0" w:line="240" w:lineRule="auto"/>
              <w:rPr>
                <w:rFonts w:ascii="Times New Roman" w:eastAsia="Times New Roman" w:hAnsi="Times New Roman" w:cs="Times New Roman"/>
                <w:sz w:val="20"/>
                <w:szCs w:val="20"/>
                <w:lang w:val="en-US" w:eastAsia="nb-NO"/>
              </w:rPr>
            </w:pPr>
            <w:r w:rsidRPr="006874F2">
              <w:rPr>
                <w:rFonts w:ascii="Times New Roman" w:eastAsia="Times New Roman" w:hAnsi="Times New Roman" w:cs="Times New Roman"/>
                <w:sz w:val="20"/>
                <w:szCs w:val="20"/>
                <w:lang w:val="en-US" w:eastAsia="nb-NO"/>
              </w:rPr>
              <w:t> </w:t>
            </w:r>
          </w:p>
        </w:tc>
        <w:tc>
          <w:tcPr>
            <w:tcW w:w="1200" w:type="dxa"/>
            <w:tcBorders>
              <w:top w:val="single" w:sz="4" w:space="0" w:color="auto"/>
              <w:left w:val="nil"/>
              <w:bottom w:val="single" w:sz="4" w:space="0" w:color="auto"/>
              <w:right w:val="nil"/>
            </w:tcBorders>
            <w:shd w:val="clear" w:color="auto" w:fill="auto"/>
            <w:noWrap/>
            <w:vAlign w:val="bottom"/>
            <w:hideMark/>
          </w:tcPr>
          <w:p w14:paraId="6A8CDC50" w14:textId="77777777" w:rsidR="00CB49ED" w:rsidRPr="002D7DCB" w:rsidRDefault="00CB49ED" w:rsidP="009C4E41">
            <w:pPr>
              <w:spacing w:after="0" w:line="240" w:lineRule="auto"/>
              <w:jc w:val="center"/>
              <w:rPr>
                <w:rFonts w:ascii="Times New Roman" w:eastAsia="Times New Roman" w:hAnsi="Times New Roman" w:cs="Times New Roman"/>
                <w:sz w:val="20"/>
                <w:szCs w:val="20"/>
                <w:lang w:eastAsia="nb-NO"/>
              </w:rPr>
            </w:pPr>
            <w:r w:rsidRPr="002D7DCB">
              <w:rPr>
                <w:rFonts w:ascii="Times New Roman" w:eastAsia="Times New Roman" w:hAnsi="Times New Roman" w:cs="Times New Roman"/>
                <w:sz w:val="20"/>
                <w:szCs w:val="20"/>
                <w:lang w:eastAsia="nb-NO"/>
              </w:rPr>
              <w:t>Financial strain</w:t>
            </w:r>
          </w:p>
        </w:tc>
        <w:tc>
          <w:tcPr>
            <w:tcW w:w="400" w:type="dxa"/>
            <w:tcBorders>
              <w:top w:val="single" w:sz="4" w:space="0" w:color="auto"/>
              <w:left w:val="nil"/>
              <w:bottom w:val="single" w:sz="4" w:space="0" w:color="auto"/>
              <w:right w:val="nil"/>
            </w:tcBorders>
            <w:shd w:val="clear" w:color="auto" w:fill="auto"/>
            <w:noWrap/>
            <w:vAlign w:val="bottom"/>
            <w:hideMark/>
          </w:tcPr>
          <w:p w14:paraId="38ECC680" w14:textId="77777777" w:rsidR="00CB49ED" w:rsidRPr="002D7DCB"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2D7DCB">
              <w:rPr>
                <w:rFonts w:ascii="Times New Roman" w:eastAsia="Times New Roman" w:hAnsi="Times New Roman" w:cs="Times New Roman"/>
                <w:color w:val="000000"/>
                <w:sz w:val="20"/>
                <w:szCs w:val="20"/>
                <w:lang w:eastAsia="nb-NO"/>
              </w:rPr>
              <w:t>CI</w:t>
            </w:r>
          </w:p>
        </w:tc>
        <w:tc>
          <w:tcPr>
            <w:tcW w:w="400" w:type="dxa"/>
            <w:tcBorders>
              <w:top w:val="single" w:sz="4" w:space="0" w:color="auto"/>
              <w:left w:val="nil"/>
              <w:bottom w:val="single" w:sz="4" w:space="0" w:color="auto"/>
              <w:right w:val="nil"/>
            </w:tcBorders>
            <w:shd w:val="clear" w:color="auto" w:fill="auto"/>
            <w:noWrap/>
            <w:vAlign w:val="bottom"/>
            <w:hideMark/>
          </w:tcPr>
          <w:p w14:paraId="6E87E361" w14:textId="77777777" w:rsidR="00CB49ED" w:rsidRPr="002D7DCB"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2D7DCB">
              <w:rPr>
                <w:rFonts w:ascii="Times New Roman" w:eastAsia="Times New Roman" w:hAnsi="Times New Roman" w:cs="Times New Roman"/>
                <w:color w:val="000000"/>
                <w:sz w:val="20"/>
                <w:szCs w:val="20"/>
                <w:lang w:eastAsia="nb-NO"/>
              </w:rPr>
              <w:t>CI</w:t>
            </w:r>
          </w:p>
        </w:tc>
        <w:tc>
          <w:tcPr>
            <w:tcW w:w="1062" w:type="dxa"/>
            <w:tcBorders>
              <w:top w:val="single" w:sz="4" w:space="0" w:color="auto"/>
              <w:left w:val="nil"/>
              <w:bottom w:val="single" w:sz="4" w:space="0" w:color="auto"/>
              <w:right w:val="nil"/>
            </w:tcBorders>
            <w:shd w:val="clear" w:color="auto" w:fill="auto"/>
            <w:noWrap/>
            <w:vAlign w:val="bottom"/>
            <w:hideMark/>
          </w:tcPr>
          <w:p w14:paraId="6E2AF9FF" w14:textId="77777777" w:rsidR="00CB49ED" w:rsidRPr="002D7DCB" w:rsidRDefault="00CB49ED" w:rsidP="009C4E41">
            <w:pPr>
              <w:spacing w:after="0" w:line="240" w:lineRule="auto"/>
              <w:jc w:val="center"/>
              <w:rPr>
                <w:rFonts w:ascii="Times New Roman" w:eastAsia="Times New Roman" w:hAnsi="Times New Roman" w:cs="Times New Roman"/>
                <w:sz w:val="20"/>
                <w:szCs w:val="20"/>
                <w:lang w:eastAsia="nb-NO"/>
              </w:rPr>
            </w:pPr>
            <w:r w:rsidRPr="002D7DCB">
              <w:rPr>
                <w:rFonts w:ascii="Times New Roman" w:eastAsia="Times New Roman" w:hAnsi="Times New Roman" w:cs="Times New Roman"/>
                <w:sz w:val="20"/>
                <w:szCs w:val="20"/>
                <w:lang w:eastAsia="nb-NO"/>
              </w:rPr>
              <w:t>Occupation</w:t>
            </w:r>
          </w:p>
        </w:tc>
        <w:tc>
          <w:tcPr>
            <w:tcW w:w="400" w:type="dxa"/>
            <w:tcBorders>
              <w:top w:val="single" w:sz="4" w:space="0" w:color="auto"/>
              <w:left w:val="nil"/>
              <w:bottom w:val="single" w:sz="4" w:space="0" w:color="auto"/>
              <w:right w:val="nil"/>
            </w:tcBorders>
            <w:shd w:val="clear" w:color="auto" w:fill="auto"/>
            <w:noWrap/>
            <w:vAlign w:val="bottom"/>
            <w:hideMark/>
          </w:tcPr>
          <w:p w14:paraId="01C58BEC" w14:textId="77777777" w:rsidR="00CB49ED" w:rsidRPr="002D7DCB"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2D7DCB">
              <w:rPr>
                <w:rFonts w:ascii="Times New Roman" w:eastAsia="Times New Roman" w:hAnsi="Times New Roman" w:cs="Times New Roman"/>
                <w:color w:val="000000"/>
                <w:sz w:val="20"/>
                <w:szCs w:val="20"/>
                <w:lang w:eastAsia="nb-NO"/>
              </w:rPr>
              <w:t>CI</w:t>
            </w:r>
          </w:p>
        </w:tc>
        <w:tc>
          <w:tcPr>
            <w:tcW w:w="400" w:type="dxa"/>
            <w:tcBorders>
              <w:top w:val="single" w:sz="4" w:space="0" w:color="auto"/>
              <w:left w:val="nil"/>
              <w:bottom w:val="single" w:sz="4" w:space="0" w:color="auto"/>
              <w:right w:val="nil"/>
            </w:tcBorders>
            <w:shd w:val="clear" w:color="auto" w:fill="auto"/>
            <w:noWrap/>
            <w:vAlign w:val="bottom"/>
            <w:hideMark/>
          </w:tcPr>
          <w:p w14:paraId="12959FF3" w14:textId="77777777" w:rsidR="00CB49ED" w:rsidRPr="002D7DCB"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2D7DCB">
              <w:rPr>
                <w:rFonts w:ascii="Times New Roman" w:eastAsia="Times New Roman" w:hAnsi="Times New Roman" w:cs="Times New Roman"/>
                <w:color w:val="000000"/>
                <w:sz w:val="20"/>
                <w:szCs w:val="20"/>
                <w:lang w:eastAsia="nb-NO"/>
              </w:rPr>
              <w:t>CI</w:t>
            </w:r>
          </w:p>
        </w:tc>
        <w:tc>
          <w:tcPr>
            <w:tcW w:w="1040" w:type="dxa"/>
            <w:tcBorders>
              <w:top w:val="single" w:sz="4" w:space="0" w:color="auto"/>
              <w:left w:val="nil"/>
              <w:bottom w:val="single" w:sz="4" w:space="0" w:color="auto"/>
              <w:right w:val="nil"/>
            </w:tcBorders>
            <w:shd w:val="clear" w:color="auto" w:fill="auto"/>
            <w:noWrap/>
            <w:vAlign w:val="bottom"/>
            <w:hideMark/>
          </w:tcPr>
          <w:p w14:paraId="1125DE23" w14:textId="77777777" w:rsidR="00CB49ED" w:rsidRPr="002D7DCB" w:rsidRDefault="00CB49ED" w:rsidP="009C4E41">
            <w:pPr>
              <w:spacing w:after="0" w:line="240" w:lineRule="auto"/>
              <w:jc w:val="center"/>
              <w:rPr>
                <w:rFonts w:ascii="Times New Roman" w:eastAsia="Times New Roman" w:hAnsi="Times New Roman" w:cs="Times New Roman"/>
                <w:sz w:val="20"/>
                <w:szCs w:val="20"/>
                <w:lang w:eastAsia="nb-NO"/>
              </w:rPr>
            </w:pPr>
            <w:r w:rsidRPr="002D7DCB">
              <w:rPr>
                <w:rFonts w:ascii="Times New Roman" w:eastAsia="Times New Roman" w:hAnsi="Times New Roman" w:cs="Times New Roman"/>
                <w:sz w:val="20"/>
                <w:szCs w:val="20"/>
                <w:lang w:eastAsia="nb-NO"/>
              </w:rPr>
              <w:t>Education</w:t>
            </w:r>
          </w:p>
        </w:tc>
        <w:tc>
          <w:tcPr>
            <w:tcW w:w="400" w:type="dxa"/>
            <w:tcBorders>
              <w:top w:val="single" w:sz="4" w:space="0" w:color="auto"/>
              <w:left w:val="nil"/>
              <w:bottom w:val="single" w:sz="4" w:space="0" w:color="auto"/>
              <w:right w:val="nil"/>
            </w:tcBorders>
            <w:shd w:val="clear" w:color="auto" w:fill="auto"/>
            <w:noWrap/>
            <w:vAlign w:val="bottom"/>
            <w:hideMark/>
          </w:tcPr>
          <w:p w14:paraId="74C79950" w14:textId="77777777" w:rsidR="00CB49ED" w:rsidRPr="002D7DCB"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2D7DCB">
              <w:rPr>
                <w:rFonts w:ascii="Times New Roman" w:eastAsia="Times New Roman" w:hAnsi="Times New Roman" w:cs="Times New Roman"/>
                <w:color w:val="000000"/>
                <w:sz w:val="20"/>
                <w:szCs w:val="20"/>
                <w:lang w:eastAsia="nb-NO"/>
              </w:rPr>
              <w:t>CI</w:t>
            </w:r>
          </w:p>
        </w:tc>
        <w:tc>
          <w:tcPr>
            <w:tcW w:w="400" w:type="dxa"/>
            <w:tcBorders>
              <w:top w:val="single" w:sz="4" w:space="0" w:color="auto"/>
              <w:left w:val="nil"/>
              <w:bottom w:val="single" w:sz="4" w:space="0" w:color="auto"/>
              <w:right w:val="nil"/>
            </w:tcBorders>
            <w:shd w:val="clear" w:color="auto" w:fill="auto"/>
            <w:noWrap/>
            <w:vAlign w:val="bottom"/>
            <w:hideMark/>
          </w:tcPr>
          <w:p w14:paraId="28517F89" w14:textId="77777777" w:rsidR="00CB49ED" w:rsidRPr="002D7DCB"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2D7DCB">
              <w:rPr>
                <w:rFonts w:ascii="Times New Roman" w:eastAsia="Times New Roman" w:hAnsi="Times New Roman" w:cs="Times New Roman"/>
                <w:color w:val="000000"/>
                <w:sz w:val="20"/>
                <w:szCs w:val="20"/>
                <w:lang w:eastAsia="nb-NO"/>
              </w:rPr>
              <w:t>CI</w:t>
            </w:r>
          </w:p>
        </w:tc>
        <w:tc>
          <w:tcPr>
            <w:tcW w:w="1200" w:type="dxa"/>
            <w:tcBorders>
              <w:top w:val="single" w:sz="4" w:space="0" w:color="auto"/>
              <w:left w:val="nil"/>
              <w:bottom w:val="single" w:sz="4" w:space="0" w:color="auto"/>
              <w:right w:val="nil"/>
            </w:tcBorders>
            <w:shd w:val="clear" w:color="auto" w:fill="auto"/>
            <w:noWrap/>
            <w:vAlign w:val="bottom"/>
            <w:hideMark/>
          </w:tcPr>
          <w:p w14:paraId="59966CC8" w14:textId="77777777" w:rsidR="00CB49ED" w:rsidRPr="002D7DCB" w:rsidRDefault="00CB49ED" w:rsidP="009C4E41">
            <w:pPr>
              <w:spacing w:after="0" w:line="240" w:lineRule="auto"/>
              <w:jc w:val="center"/>
              <w:rPr>
                <w:rFonts w:ascii="Times New Roman" w:eastAsia="Times New Roman" w:hAnsi="Times New Roman" w:cs="Times New Roman"/>
                <w:sz w:val="20"/>
                <w:szCs w:val="20"/>
                <w:lang w:eastAsia="nb-NO"/>
              </w:rPr>
            </w:pPr>
            <w:r w:rsidRPr="002D7DCB">
              <w:rPr>
                <w:rFonts w:ascii="Times New Roman" w:eastAsia="Times New Roman" w:hAnsi="Times New Roman" w:cs="Times New Roman"/>
                <w:sz w:val="20"/>
                <w:szCs w:val="20"/>
                <w:lang w:eastAsia="nb-NO"/>
              </w:rPr>
              <w:t>Social networks</w:t>
            </w:r>
          </w:p>
        </w:tc>
        <w:tc>
          <w:tcPr>
            <w:tcW w:w="400" w:type="dxa"/>
            <w:tcBorders>
              <w:top w:val="single" w:sz="4" w:space="0" w:color="auto"/>
              <w:left w:val="nil"/>
              <w:bottom w:val="single" w:sz="4" w:space="0" w:color="auto"/>
              <w:right w:val="nil"/>
            </w:tcBorders>
            <w:shd w:val="clear" w:color="auto" w:fill="auto"/>
            <w:noWrap/>
            <w:vAlign w:val="bottom"/>
            <w:hideMark/>
          </w:tcPr>
          <w:p w14:paraId="7AD80F77" w14:textId="77777777" w:rsidR="00CB49ED" w:rsidRPr="002D7DCB"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2D7DCB">
              <w:rPr>
                <w:rFonts w:ascii="Times New Roman" w:eastAsia="Times New Roman" w:hAnsi="Times New Roman" w:cs="Times New Roman"/>
                <w:color w:val="000000"/>
                <w:sz w:val="20"/>
                <w:szCs w:val="20"/>
                <w:lang w:eastAsia="nb-NO"/>
              </w:rPr>
              <w:t>CI</w:t>
            </w:r>
          </w:p>
        </w:tc>
        <w:tc>
          <w:tcPr>
            <w:tcW w:w="400" w:type="dxa"/>
            <w:tcBorders>
              <w:top w:val="single" w:sz="4" w:space="0" w:color="auto"/>
              <w:left w:val="nil"/>
              <w:bottom w:val="single" w:sz="4" w:space="0" w:color="auto"/>
              <w:right w:val="nil"/>
            </w:tcBorders>
            <w:shd w:val="clear" w:color="auto" w:fill="auto"/>
            <w:noWrap/>
            <w:vAlign w:val="bottom"/>
            <w:hideMark/>
          </w:tcPr>
          <w:p w14:paraId="4DD64E20" w14:textId="77777777" w:rsidR="00CB49ED" w:rsidRPr="002D7DCB"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2D7DCB">
              <w:rPr>
                <w:rFonts w:ascii="Times New Roman" w:eastAsia="Times New Roman" w:hAnsi="Times New Roman" w:cs="Times New Roman"/>
                <w:color w:val="000000"/>
                <w:sz w:val="20"/>
                <w:szCs w:val="20"/>
                <w:lang w:eastAsia="nb-NO"/>
              </w:rPr>
              <w:t>CI</w:t>
            </w:r>
          </w:p>
        </w:tc>
      </w:tr>
      <w:tr w:rsidR="00CB49ED" w:rsidRPr="002D7DCB" w14:paraId="381FD61E" w14:textId="77777777" w:rsidTr="009C4E41">
        <w:trPr>
          <w:trHeight w:val="300"/>
        </w:trPr>
        <w:tc>
          <w:tcPr>
            <w:tcW w:w="1107" w:type="dxa"/>
            <w:tcBorders>
              <w:top w:val="nil"/>
              <w:left w:val="nil"/>
              <w:bottom w:val="nil"/>
              <w:right w:val="nil"/>
            </w:tcBorders>
            <w:shd w:val="clear" w:color="auto" w:fill="auto"/>
            <w:noWrap/>
            <w:vAlign w:val="bottom"/>
            <w:hideMark/>
          </w:tcPr>
          <w:p w14:paraId="1948AE97"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Austria</w:t>
            </w:r>
          </w:p>
        </w:tc>
        <w:tc>
          <w:tcPr>
            <w:tcW w:w="1200" w:type="dxa"/>
            <w:tcBorders>
              <w:top w:val="nil"/>
              <w:left w:val="nil"/>
              <w:bottom w:val="nil"/>
              <w:right w:val="nil"/>
            </w:tcBorders>
            <w:shd w:val="clear" w:color="auto" w:fill="auto"/>
            <w:noWrap/>
            <w:vAlign w:val="bottom"/>
            <w:hideMark/>
          </w:tcPr>
          <w:p w14:paraId="145E9712"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nil"/>
              <w:right w:val="nil"/>
            </w:tcBorders>
            <w:shd w:val="clear" w:color="auto" w:fill="auto"/>
            <w:noWrap/>
            <w:vAlign w:val="bottom"/>
            <w:hideMark/>
          </w:tcPr>
          <w:p w14:paraId="0BD65A9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395D3C0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1.6</w:t>
            </w:r>
          </w:p>
        </w:tc>
        <w:tc>
          <w:tcPr>
            <w:tcW w:w="1062" w:type="dxa"/>
            <w:tcBorders>
              <w:top w:val="nil"/>
              <w:left w:val="nil"/>
              <w:bottom w:val="nil"/>
              <w:right w:val="nil"/>
            </w:tcBorders>
            <w:shd w:val="clear" w:color="auto" w:fill="auto"/>
            <w:noWrap/>
            <w:vAlign w:val="bottom"/>
            <w:hideMark/>
          </w:tcPr>
          <w:p w14:paraId="48D499B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1F1A75D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5526DFC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40" w:type="dxa"/>
            <w:tcBorders>
              <w:top w:val="nil"/>
              <w:left w:val="nil"/>
              <w:bottom w:val="nil"/>
              <w:right w:val="nil"/>
            </w:tcBorders>
            <w:shd w:val="clear" w:color="auto" w:fill="auto"/>
            <w:noWrap/>
            <w:vAlign w:val="bottom"/>
            <w:hideMark/>
          </w:tcPr>
          <w:p w14:paraId="4F6434CE"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0.8</w:t>
            </w:r>
          </w:p>
        </w:tc>
        <w:tc>
          <w:tcPr>
            <w:tcW w:w="400" w:type="dxa"/>
            <w:tcBorders>
              <w:top w:val="nil"/>
              <w:left w:val="nil"/>
              <w:bottom w:val="nil"/>
              <w:right w:val="nil"/>
            </w:tcBorders>
            <w:shd w:val="clear" w:color="auto" w:fill="auto"/>
            <w:noWrap/>
            <w:vAlign w:val="bottom"/>
            <w:hideMark/>
          </w:tcPr>
          <w:p w14:paraId="524A964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0.5</w:t>
            </w:r>
          </w:p>
        </w:tc>
        <w:tc>
          <w:tcPr>
            <w:tcW w:w="400" w:type="dxa"/>
            <w:tcBorders>
              <w:top w:val="nil"/>
              <w:left w:val="nil"/>
              <w:bottom w:val="nil"/>
              <w:right w:val="nil"/>
            </w:tcBorders>
            <w:shd w:val="clear" w:color="auto" w:fill="auto"/>
            <w:noWrap/>
            <w:vAlign w:val="bottom"/>
            <w:hideMark/>
          </w:tcPr>
          <w:p w14:paraId="1275158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200" w:type="dxa"/>
            <w:tcBorders>
              <w:top w:val="nil"/>
              <w:left w:val="nil"/>
              <w:bottom w:val="nil"/>
              <w:right w:val="nil"/>
            </w:tcBorders>
            <w:shd w:val="clear" w:color="auto" w:fill="auto"/>
            <w:noWrap/>
            <w:vAlign w:val="bottom"/>
            <w:hideMark/>
          </w:tcPr>
          <w:p w14:paraId="30C72100"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6249D1B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4500509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r>
      <w:tr w:rsidR="00CB49ED" w:rsidRPr="002D7DCB" w14:paraId="51215151" w14:textId="77777777" w:rsidTr="009C4E41">
        <w:trPr>
          <w:trHeight w:val="300"/>
        </w:trPr>
        <w:tc>
          <w:tcPr>
            <w:tcW w:w="1107" w:type="dxa"/>
            <w:tcBorders>
              <w:top w:val="nil"/>
              <w:left w:val="nil"/>
              <w:bottom w:val="nil"/>
              <w:right w:val="nil"/>
            </w:tcBorders>
            <w:shd w:val="clear" w:color="auto" w:fill="auto"/>
            <w:noWrap/>
            <w:vAlign w:val="bottom"/>
            <w:hideMark/>
          </w:tcPr>
          <w:p w14:paraId="38661803"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Belgium</w:t>
            </w:r>
          </w:p>
        </w:tc>
        <w:tc>
          <w:tcPr>
            <w:tcW w:w="1200" w:type="dxa"/>
            <w:tcBorders>
              <w:top w:val="nil"/>
              <w:left w:val="nil"/>
              <w:bottom w:val="nil"/>
              <w:right w:val="nil"/>
            </w:tcBorders>
            <w:shd w:val="clear" w:color="auto" w:fill="auto"/>
            <w:noWrap/>
            <w:vAlign w:val="bottom"/>
            <w:hideMark/>
          </w:tcPr>
          <w:p w14:paraId="3FB40022"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1.4*</w:t>
            </w:r>
          </w:p>
        </w:tc>
        <w:tc>
          <w:tcPr>
            <w:tcW w:w="400" w:type="dxa"/>
            <w:tcBorders>
              <w:top w:val="nil"/>
              <w:left w:val="nil"/>
              <w:bottom w:val="nil"/>
              <w:right w:val="nil"/>
            </w:tcBorders>
            <w:shd w:val="clear" w:color="auto" w:fill="auto"/>
            <w:noWrap/>
            <w:vAlign w:val="bottom"/>
            <w:hideMark/>
          </w:tcPr>
          <w:p w14:paraId="7775F86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400" w:type="dxa"/>
            <w:tcBorders>
              <w:top w:val="nil"/>
              <w:left w:val="nil"/>
              <w:bottom w:val="nil"/>
              <w:right w:val="nil"/>
            </w:tcBorders>
            <w:shd w:val="clear" w:color="auto" w:fill="auto"/>
            <w:noWrap/>
            <w:vAlign w:val="bottom"/>
            <w:hideMark/>
          </w:tcPr>
          <w:p w14:paraId="03C7A8B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1.8</w:t>
            </w:r>
          </w:p>
        </w:tc>
        <w:tc>
          <w:tcPr>
            <w:tcW w:w="1062" w:type="dxa"/>
            <w:tcBorders>
              <w:top w:val="nil"/>
              <w:left w:val="nil"/>
              <w:bottom w:val="nil"/>
              <w:right w:val="nil"/>
            </w:tcBorders>
            <w:shd w:val="clear" w:color="auto" w:fill="auto"/>
            <w:noWrap/>
            <w:vAlign w:val="bottom"/>
            <w:hideMark/>
          </w:tcPr>
          <w:p w14:paraId="1DA13759"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4CD51F4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271CFD3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c>
          <w:tcPr>
            <w:tcW w:w="1040" w:type="dxa"/>
            <w:tcBorders>
              <w:top w:val="nil"/>
              <w:left w:val="nil"/>
              <w:bottom w:val="nil"/>
              <w:right w:val="nil"/>
            </w:tcBorders>
            <w:shd w:val="clear" w:color="auto" w:fill="auto"/>
            <w:noWrap/>
            <w:vAlign w:val="bottom"/>
            <w:hideMark/>
          </w:tcPr>
          <w:p w14:paraId="1E2B29CF"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78EFA33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1C557DF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1.6</w:t>
            </w:r>
          </w:p>
        </w:tc>
        <w:tc>
          <w:tcPr>
            <w:tcW w:w="1200" w:type="dxa"/>
            <w:tcBorders>
              <w:top w:val="nil"/>
              <w:left w:val="nil"/>
              <w:bottom w:val="nil"/>
              <w:right w:val="nil"/>
            </w:tcBorders>
            <w:shd w:val="clear" w:color="auto" w:fill="auto"/>
            <w:noWrap/>
            <w:vAlign w:val="bottom"/>
            <w:hideMark/>
          </w:tcPr>
          <w:p w14:paraId="16CDAE9E"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0.8</w:t>
            </w:r>
          </w:p>
        </w:tc>
        <w:tc>
          <w:tcPr>
            <w:tcW w:w="400" w:type="dxa"/>
            <w:tcBorders>
              <w:top w:val="nil"/>
              <w:left w:val="nil"/>
              <w:bottom w:val="nil"/>
              <w:right w:val="nil"/>
            </w:tcBorders>
            <w:shd w:val="clear" w:color="auto" w:fill="auto"/>
            <w:noWrap/>
            <w:vAlign w:val="bottom"/>
            <w:hideMark/>
          </w:tcPr>
          <w:p w14:paraId="6BB0A6F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7302E53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r>
      <w:tr w:rsidR="00CB49ED" w:rsidRPr="002D7DCB" w14:paraId="40955ADB" w14:textId="77777777" w:rsidTr="009C4E41">
        <w:trPr>
          <w:trHeight w:val="300"/>
        </w:trPr>
        <w:tc>
          <w:tcPr>
            <w:tcW w:w="1107" w:type="dxa"/>
            <w:tcBorders>
              <w:top w:val="nil"/>
              <w:left w:val="nil"/>
              <w:bottom w:val="nil"/>
              <w:right w:val="nil"/>
            </w:tcBorders>
            <w:shd w:val="clear" w:color="auto" w:fill="auto"/>
            <w:noWrap/>
            <w:vAlign w:val="bottom"/>
            <w:hideMark/>
          </w:tcPr>
          <w:p w14:paraId="06396985"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Czech Rep</w:t>
            </w:r>
          </w:p>
        </w:tc>
        <w:tc>
          <w:tcPr>
            <w:tcW w:w="1200" w:type="dxa"/>
            <w:tcBorders>
              <w:top w:val="nil"/>
              <w:left w:val="nil"/>
              <w:bottom w:val="nil"/>
              <w:right w:val="nil"/>
            </w:tcBorders>
            <w:shd w:val="clear" w:color="auto" w:fill="auto"/>
            <w:noWrap/>
            <w:vAlign w:val="bottom"/>
            <w:hideMark/>
          </w:tcPr>
          <w:p w14:paraId="6391C5A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6A590D5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5624CE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62" w:type="dxa"/>
            <w:tcBorders>
              <w:top w:val="nil"/>
              <w:left w:val="nil"/>
              <w:bottom w:val="nil"/>
              <w:right w:val="nil"/>
            </w:tcBorders>
            <w:shd w:val="clear" w:color="auto" w:fill="auto"/>
            <w:noWrap/>
            <w:vAlign w:val="bottom"/>
            <w:hideMark/>
          </w:tcPr>
          <w:p w14:paraId="572D028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74C6A8F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044D073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40" w:type="dxa"/>
            <w:tcBorders>
              <w:top w:val="nil"/>
              <w:left w:val="nil"/>
              <w:bottom w:val="nil"/>
              <w:right w:val="nil"/>
            </w:tcBorders>
            <w:shd w:val="clear" w:color="auto" w:fill="auto"/>
            <w:noWrap/>
            <w:vAlign w:val="bottom"/>
            <w:hideMark/>
          </w:tcPr>
          <w:p w14:paraId="1A1A89A5"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0.7</w:t>
            </w:r>
          </w:p>
        </w:tc>
        <w:tc>
          <w:tcPr>
            <w:tcW w:w="400" w:type="dxa"/>
            <w:tcBorders>
              <w:top w:val="nil"/>
              <w:left w:val="nil"/>
              <w:bottom w:val="nil"/>
              <w:right w:val="nil"/>
            </w:tcBorders>
            <w:shd w:val="clear" w:color="auto" w:fill="auto"/>
            <w:noWrap/>
            <w:vAlign w:val="bottom"/>
            <w:hideMark/>
          </w:tcPr>
          <w:p w14:paraId="071F4F6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0.4</w:t>
            </w:r>
          </w:p>
        </w:tc>
        <w:tc>
          <w:tcPr>
            <w:tcW w:w="400" w:type="dxa"/>
            <w:tcBorders>
              <w:top w:val="nil"/>
              <w:left w:val="nil"/>
              <w:bottom w:val="nil"/>
              <w:right w:val="nil"/>
            </w:tcBorders>
            <w:shd w:val="clear" w:color="auto" w:fill="auto"/>
            <w:noWrap/>
            <w:vAlign w:val="bottom"/>
            <w:hideMark/>
          </w:tcPr>
          <w:p w14:paraId="5736727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200" w:type="dxa"/>
            <w:tcBorders>
              <w:top w:val="nil"/>
              <w:left w:val="nil"/>
              <w:bottom w:val="nil"/>
              <w:right w:val="nil"/>
            </w:tcBorders>
            <w:shd w:val="clear" w:color="auto" w:fill="auto"/>
            <w:noWrap/>
            <w:vAlign w:val="bottom"/>
            <w:hideMark/>
          </w:tcPr>
          <w:p w14:paraId="5ED33592"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67BB0E2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0E1B18D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r w:rsidR="00CB49ED" w:rsidRPr="002D7DCB" w14:paraId="2353455E" w14:textId="77777777" w:rsidTr="009C4E41">
        <w:trPr>
          <w:trHeight w:val="300"/>
        </w:trPr>
        <w:tc>
          <w:tcPr>
            <w:tcW w:w="1107" w:type="dxa"/>
            <w:tcBorders>
              <w:top w:val="nil"/>
              <w:left w:val="nil"/>
              <w:bottom w:val="nil"/>
              <w:right w:val="nil"/>
            </w:tcBorders>
            <w:shd w:val="clear" w:color="auto" w:fill="auto"/>
            <w:noWrap/>
            <w:vAlign w:val="bottom"/>
            <w:hideMark/>
          </w:tcPr>
          <w:p w14:paraId="3CCB6078"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Denmark</w:t>
            </w:r>
          </w:p>
        </w:tc>
        <w:tc>
          <w:tcPr>
            <w:tcW w:w="1200" w:type="dxa"/>
            <w:tcBorders>
              <w:top w:val="nil"/>
              <w:left w:val="nil"/>
              <w:bottom w:val="nil"/>
              <w:right w:val="nil"/>
            </w:tcBorders>
            <w:shd w:val="clear" w:color="auto" w:fill="auto"/>
            <w:noWrap/>
            <w:vAlign w:val="bottom"/>
            <w:hideMark/>
          </w:tcPr>
          <w:p w14:paraId="6140BE6C"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0.6</w:t>
            </w:r>
          </w:p>
        </w:tc>
        <w:tc>
          <w:tcPr>
            <w:tcW w:w="400" w:type="dxa"/>
            <w:tcBorders>
              <w:top w:val="nil"/>
              <w:left w:val="nil"/>
              <w:bottom w:val="nil"/>
              <w:right w:val="nil"/>
            </w:tcBorders>
            <w:shd w:val="clear" w:color="auto" w:fill="auto"/>
            <w:noWrap/>
            <w:vAlign w:val="bottom"/>
            <w:hideMark/>
          </w:tcPr>
          <w:p w14:paraId="0BD6257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0.3</w:t>
            </w:r>
          </w:p>
        </w:tc>
        <w:tc>
          <w:tcPr>
            <w:tcW w:w="400" w:type="dxa"/>
            <w:tcBorders>
              <w:top w:val="nil"/>
              <w:left w:val="nil"/>
              <w:bottom w:val="nil"/>
              <w:right w:val="nil"/>
            </w:tcBorders>
            <w:shd w:val="clear" w:color="auto" w:fill="auto"/>
            <w:noWrap/>
            <w:vAlign w:val="bottom"/>
            <w:hideMark/>
          </w:tcPr>
          <w:p w14:paraId="316896E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62" w:type="dxa"/>
            <w:tcBorders>
              <w:top w:val="nil"/>
              <w:left w:val="nil"/>
              <w:bottom w:val="nil"/>
              <w:right w:val="nil"/>
            </w:tcBorders>
            <w:shd w:val="clear" w:color="auto" w:fill="auto"/>
            <w:noWrap/>
            <w:vAlign w:val="bottom"/>
            <w:hideMark/>
          </w:tcPr>
          <w:p w14:paraId="1472171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77ED0B9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5BE2CD8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1.6</w:t>
            </w:r>
          </w:p>
        </w:tc>
        <w:tc>
          <w:tcPr>
            <w:tcW w:w="1040" w:type="dxa"/>
            <w:tcBorders>
              <w:top w:val="nil"/>
              <w:left w:val="nil"/>
              <w:bottom w:val="nil"/>
              <w:right w:val="nil"/>
            </w:tcBorders>
            <w:shd w:val="clear" w:color="auto" w:fill="auto"/>
            <w:noWrap/>
            <w:vAlign w:val="bottom"/>
            <w:hideMark/>
          </w:tcPr>
          <w:p w14:paraId="26F402C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1.3</w:t>
            </w:r>
          </w:p>
        </w:tc>
        <w:tc>
          <w:tcPr>
            <w:tcW w:w="400" w:type="dxa"/>
            <w:tcBorders>
              <w:top w:val="nil"/>
              <w:left w:val="nil"/>
              <w:bottom w:val="nil"/>
              <w:right w:val="nil"/>
            </w:tcBorders>
            <w:shd w:val="clear" w:color="auto" w:fill="auto"/>
            <w:noWrap/>
            <w:vAlign w:val="bottom"/>
            <w:hideMark/>
          </w:tcPr>
          <w:p w14:paraId="7A1B1F0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7D8212C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1.9</w:t>
            </w:r>
          </w:p>
        </w:tc>
        <w:tc>
          <w:tcPr>
            <w:tcW w:w="1200" w:type="dxa"/>
            <w:tcBorders>
              <w:top w:val="nil"/>
              <w:left w:val="nil"/>
              <w:bottom w:val="nil"/>
              <w:right w:val="nil"/>
            </w:tcBorders>
            <w:shd w:val="clear" w:color="auto" w:fill="auto"/>
            <w:noWrap/>
            <w:vAlign w:val="bottom"/>
            <w:hideMark/>
          </w:tcPr>
          <w:p w14:paraId="02164D69"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2CA459C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3815470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r>
      <w:tr w:rsidR="00CB49ED" w:rsidRPr="002D7DCB" w14:paraId="08D26F01" w14:textId="77777777" w:rsidTr="009C4E41">
        <w:trPr>
          <w:trHeight w:val="300"/>
        </w:trPr>
        <w:tc>
          <w:tcPr>
            <w:tcW w:w="1107" w:type="dxa"/>
            <w:tcBorders>
              <w:top w:val="nil"/>
              <w:left w:val="nil"/>
              <w:bottom w:val="nil"/>
              <w:right w:val="nil"/>
            </w:tcBorders>
            <w:shd w:val="clear" w:color="auto" w:fill="auto"/>
            <w:noWrap/>
            <w:vAlign w:val="bottom"/>
            <w:hideMark/>
          </w:tcPr>
          <w:p w14:paraId="4C98EEDB"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Estonia</w:t>
            </w:r>
          </w:p>
        </w:tc>
        <w:tc>
          <w:tcPr>
            <w:tcW w:w="1200" w:type="dxa"/>
            <w:tcBorders>
              <w:top w:val="nil"/>
              <w:left w:val="nil"/>
              <w:bottom w:val="nil"/>
              <w:right w:val="nil"/>
            </w:tcBorders>
            <w:shd w:val="clear" w:color="auto" w:fill="auto"/>
            <w:noWrap/>
            <w:vAlign w:val="bottom"/>
            <w:hideMark/>
          </w:tcPr>
          <w:p w14:paraId="22101AE2"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0.8*</w:t>
            </w:r>
          </w:p>
        </w:tc>
        <w:tc>
          <w:tcPr>
            <w:tcW w:w="400" w:type="dxa"/>
            <w:tcBorders>
              <w:top w:val="nil"/>
              <w:left w:val="nil"/>
              <w:bottom w:val="nil"/>
              <w:right w:val="nil"/>
            </w:tcBorders>
            <w:shd w:val="clear" w:color="auto" w:fill="auto"/>
            <w:noWrap/>
            <w:vAlign w:val="bottom"/>
            <w:hideMark/>
          </w:tcPr>
          <w:p w14:paraId="5EE402F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6C53177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1062" w:type="dxa"/>
            <w:tcBorders>
              <w:top w:val="nil"/>
              <w:left w:val="nil"/>
              <w:bottom w:val="nil"/>
              <w:right w:val="nil"/>
            </w:tcBorders>
            <w:shd w:val="clear" w:color="auto" w:fill="auto"/>
            <w:noWrap/>
            <w:vAlign w:val="bottom"/>
            <w:hideMark/>
          </w:tcPr>
          <w:p w14:paraId="4AB850F4"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1C066BF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3D67EB7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40" w:type="dxa"/>
            <w:tcBorders>
              <w:top w:val="nil"/>
              <w:left w:val="nil"/>
              <w:bottom w:val="nil"/>
              <w:right w:val="nil"/>
            </w:tcBorders>
            <w:shd w:val="clear" w:color="auto" w:fill="auto"/>
            <w:noWrap/>
            <w:vAlign w:val="bottom"/>
            <w:hideMark/>
          </w:tcPr>
          <w:p w14:paraId="56C047A9"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1.4*</w:t>
            </w:r>
          </w:p>
        </w:tc>
        <w:tc>
          <w:tcPr>
            <w:tcW w:w="400" w:type="dxa"/>
            <w:tcBorders>
              <w:top w:val="nil"/>
              <w:left w:val="nil"/>
              <w:bottom w:val="nil"/>
              <w:right w:val="nil"/>
            </w:tcBorders>
            <w:shd w:val="clear" w:color="auto" w:fill="auto"/>
            <w:noWrap/>
            <w:vAlign w:val="bottom"/>
            <w:hideMark/>
          </w:tcPr>
          <w:p w14:paraId="2989F0A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2BE2948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1.8</w:t>
            </w:r>
          </w:p>
        </w:tc>
        <w:tc>
          <w:tcPr>
            <w:tcW w:w="1200" w:type="dxa"/>
            <w:tcBorders>
              <w:top w:val="nil"/>
              <w:left w:val="nil"/>
              <w:bottom w:val="nil"/>
              <w:right w:val="nil"/>
            </w:tcBorders>
            <w:shd w:val="clear" w:color="auto" w:fill="auto"/>
            <w:noWrap/>
            <w:vAlign w:val="bottom"/>
            <w:hideMark/>
          </w:tcPr>
          <w:p w14:paraId="2E68F907"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1.4*</w:t>
            </w:r>
          </w:p>
        </w:tc>
        <w:tc>
          <w:tcPr>
            <w:tcW w:w="400" w:type="dxa"/>
            <w:tcBorders>
              <w:top w:val="nil"/>
              <w:left w:val="nil"/>
              <w:bottom w:val="nil"/>
              <w:right w:val="nil"/>
            </w:tcBorders>
            <w:shd w:val="clear" w:color="auto" w:fill="auto"/>
            <w:noWrap/>
            <w:vAlign w:val="bottom"/>
            <w:hideMark/>
          </w:tcPr>
          <w:p w14:paraId="0C26504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34E3236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2.0</w:t>
            </w:r>
          </w:p>
        </w:tc>
      </w:tr>
      <w:tr w:rsidR="00CB49ED" w:rsidRPr="002D7DCB" w14:paraId="5B51808F" w14:textId="77777777" w:rsidTr="009C4E41">
        <w:trPr>
          <w:trHeight w:val="300"/>
        </w:trPr>
        <w:tc>
          <w:tcPr>
            <w:tcW w:w="1107" w:type="dxa"/>
            <w:tcBorders>
              <w:top w:val="nil"/>
              <w:left w:val="nil"/>
              <w:bottom w:val="nil"/>
              <w:right w:val="nil"/>
            </w:tcBorders>
            <w:shd w:val="clear" w:color="auto" w:fill="auto"/>
            <w:noWrap/>
            <w:vAlign w:val="bottom"/>
            <w:hideMark/>
          </w:tcPr>
          <w:p w14:paraId="0BF93682"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Finland</w:t>
            </w:r>
          </w:p>
        </w:tc>
        <w:tc>
          <w:tcPr>
            <w:tcW w:w="1200" w:type="dxa"/>
            <w:tcBorders>
              <w:top w:val="nil"/>
              <w:left w:val="nil"/>
              <w:bottom w:val="nil"/>
              <w:right w:val="nil"/>
            </w:tcBorders>
            <w:shd w:val="clear" w:color="auto" w:fill="auto"/>
            <w:noWrap/>
            <w:vAlign w:val="bottom"/>
            <w:hideMark/>
          </w:tcPr>
          <w:p w14:paraId="72ACD517"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6B77D89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6FBC7E1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62" w:type="dxa"/>
            <w:tcBorders>
              <w:top w:val="nil"/>
              <w:left w:val="nil"/>
              <w:bottom w:val="nil"/>
              <w:right w:val="nil"/>
            </w:tcBorders>
            <w:shd w:val="clear" w:color="auto" w:fill="auto"/>
            <w:noWrap/>
            <w:vAlign w:val="bottom"/>
            <w:hideMark/>
          </w:tcPr>
          <w:p w14:paraId="2D3EB1A5"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5931C6B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65A0D75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40" w:type="dxa"/>
            <w:tcBorders>
              <w:top w:val="nil"/>
              <w:left w:val="nil"/>
              <w:bottom w:val="nil"/>
              <w:right w:val="nil"/>
            </w:tcBorders>
            <w:shd w:val="clear" w:color="auto" w:fill="auto"/>
            <w:noWrap/>
            <w:vAlign w:val="bottom"/>
            <w:hideMark/>
          </w:tcPr>
          <w:p w14:paraId="6671BFF4"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0.8</w:t>
            </w:r>
          </w:p>
        </w:tc>
        <w:tc>
          <w:tcPr>
            <w:tcW w:w="400" w:type="dxa"/>
            <w:tcBorders>
              <w:top w:val="nil"/>
              <w:left w:val="nil"/>
              <w:bottom w:val="nil"/>
              <w:right w:val="nil"/>
            </w:tcBorders>
            <w:shd w:val="clear" w:color="auto" w:fill="auto"/>
            <w:noWrap/>
            <w:vAlign w:val="bottom"/>
            <w:hideMark/>
          </w:tcPr>
          <w:p w14:paraId="34DDD8F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3DD8859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200" w:type="dxa"/>
            <w:tcBorders>
              <w:top w:val="nil"/>
              <w:left w:val="nil"/>
              <w:bottom w:val="nil"/>
              <w:right w:val="nil"/>
            </w:tcBorders>
            <w:shd w:val="clear" w:color="auto" w:fill="auto"/>
            <w:noWrap/>
            <w:vAlign w:val="bottom"/>
            <w:hideMark/>
          </w:tcPr>
          <w:p w14:paraId="3688FAB8"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4007460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216449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r>
      <w:tr w:rsidR="00CB49ED" w:rsidRPr="002D7DCB" w14:paraId="32219D81" w14:textId="77777777" w:rsidTr="009C4E41">
        <w:trPr>
          <w:trHeight w:val="300"/>
        </w:trPr>
        <w:tc>
          <w:tcPr>
            <w:tcW w:w="1107" w:type="dxa"/>
            <w:tcBorders>
              <w:top w:val="nil"/>
              <w:left w:val="nil"/>
              <w:bottom w:val="nil"/>
              <w:right w:val="nil"/>
            </w:tcBorders>
            <w:shd w:val="clear" w:color="auto" w:fill="auto"/>
            <w:noWrap/>
            <w:vAlign w:val="bottom"/>
            <w:hideMark/>
          </w:tcPr>
          <w:p w14:paraId="60BDE0F6"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 xml:space="preserve">France </w:t>
            </w:r>
          </w:p>
        </w:tc>
        <w:tc>
          <w:tcPr>
            <w:tcW w:w="1200" w:type="dxa"/>
            <w:tcBorders>
              <w:top w:val="nil"/>
              <w:left w:val="nil"/>
              <w:bottom w:val="nil"/>
              <w:right w:val="nil"/>
            </w:tcBorders>
            <w:shd w:val="clear" w:color="auto" w:fill="auto"/>
            <w:noWrap/>
            <w:vAlign w:val="bottom"/>
            <w:hideMark/>
          </w:tcPr>
          <w:p w14:paraId="6F6C3699"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1.6*</w:t>
            </w:r>
          </w:p>
        </w:tc>
        <w:tc>
          <w:tcPr>
            <w:tcW w:w="400" w:type="dxa"/>
            <w:tcBorders>
              <w:top w:val="nil"/>
              <w:left w:val="nil"/>
              <w:bottom w:val="nil"/>
              <w:right w:val="nil"/>
            </w:tcBorders>
            <w:shd w:val="clear" w:color="auto" w:fill="auto"/>
            <w:noWrap/>
            <w:vAlign w:val="bottom"/>
            <w:hideMark/>
          </w:tcPr>
          <w:p w14:paraId="257787B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400" w:type="dxa"/>
            <w:tcBorders>
              <w:top w:val="nil"/>
              <w:left w:val="nil"/>
              <w:bottom w:val="nil"/>
              <w:right w:val="nil"/>
            </w:tcBorders>
            <w:shd w:val="clear" w:color="auto" w:fill="auto"/>
            <w:noWrap/>
            <w:vAlign w:val="bottom"/>
            <w:hideMark/>
          </w:tcPr>
          <w:p w14:paraId="759F36B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2.3</w:t>
            </w:r>
          </w:p>
        </w:tc>
        <w:tc>
          <w:tcPr>
            <w:tcW w:w="1062" w:type="dxa"/>
            <w:tcBorders>
              <w:top w:val="nil"/>
              <w:left w:val="nil"/>
              <w:bottom w:val="nil"/>
              <w:right w:val="nil"/>
            </w:tcBorders>
            <w:shd w:val="clear" w:color="auto" w:fill="auto"/>
            <w:noWrap/>
            <w:vAlign w:val="bottom"/>
            <w:hideMark/>
          </w:tcPr>
          <w:p w14:paraId="78043C7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55907D7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232A2F2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1.6</w:t>
            </w:r>
          </w:p>
        </w:tc>
        <w:tc>
          <w:tcPr>
            <w:tcW w:w="1040" w:type="dxa"/>
            <w:tcBorders>
              <w:top w:val="nil"/>
              <w:left w:val="nil"/>
              <w:bottom w:val="nil"/>
              <w:right w:val="nil"/>
            </w:tcBorders>
            <w:shd w:val="clear" w:color="auto" w:fill="auto"/>
            <w:noWrap/>
            <w:vAlign w:val="bottom"/>
            <w:hideMark/>
          </w:tcPr>
          <w:p w14:paraId="245F9461"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01CC235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0F74426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1.9</w:t>
            </w:r>
          </w:p>
        </w:tc>
        <w:tc>
          <w:tcPr>
            <w:tcW w:w="1200" w:type="dxa"/>
            <w:tcBorders>
              <w:top w:val="nil"/>
              <w:left w:val="nil"/>
              <w:bottom w:val="nil"/>
              <w:right w:val="nil"/>
            </w:tcBorders>
            <w:shd w:val="clear" w:color="auto" w:fill="auto"/>
            <w:noWrap/>
            <w:vAlign w:val="bottom"/>
            <w:hideMark/>
          </w:tcPr>
          <w:p w14:paraId="7A24510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nil"/>
              <w:right w:val="nil"/>
            </w:tcBorders>
            <w:shd w:val="clear" w:color="auto" w:fill="auto"/>
            <w:noWrap/>
            <w:vAlign w:val="bottom"/>
            <w:hideMark/>
          </w:tcPr>
          <w:p w14:paraId="5E460BD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4041A9F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1.9</w:t>
            </w:r>
          </w:p>
        </w:tc>
      </w:tr>
      <w:tr w:rsidR="00CB49ED" w:rsidRPr="002D7DCB" w14:paraId="4235E262" w14:textId="77777777" w:rsidTr="009C4E41">
        <w:trPr>
          <w:trHeight w:val="300"/>
        </w:trPr>
        <w:tc>
          <w:tcPr>
            <w:tcW w:w="1107" w:type="dxa"/>
            <w:tcBorders>
              <w:top w:val="nil"/>
              <w:left w:val="nil"/>
              <w:bottom w:val="nil"/>
              <w:right w:val="nil"/>
            </w:tcBorders>
            <w:shd w:val="clear" w:color="auto" w:fill="auto"/>
            <w:noWrap/>
            <w:vAlign w:val="bottom"/>
            <w:hideMark/>
          </w:tcPr>
          <w:p w14:paraId="4EA4299D"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Germany</w:t>
            </w:r>
          </w:p>
        </w:tc>
        <w:tc>
          <w:tcPr>
            <w:tcW w:w="1200" w:type="dxa"/>
            <w:tcBorders>
              <w:top w:val="nil"/>
              <w:left w:val="nil"/>
              <w:bottom w:val="nil"/>
              <w:right w:val="nil"/>
            </w:tcBorders>
            <w:shd w:val="clear" w:color="auto" w:fill="auto"/>
            <w:noWrap/>
            <w:vAlign w:val="bottom"/>
            <w:hideMark/>
          </w:tcPr>
          <w:p w14:paraId="0ADD5E61"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1.3</w:t>
            </w:r>
          </w:p>
        </w:tc>
        <w:tc>
          <w:tcPr>
            <w:tcW w:w="400" w:type="dxa"/>
            <w:tcBorders>
              <w:top w:val="nil"/>
              <w:left w:val="nil"/>
              <w:bottom w:val="nil"/>
              <w:right w:val="nil"/>
            </w:tcBorders>
            <w:shd w:val="clear" w:color="auto" w:fill="auto"/>
            <w:noWrap/>
            <w:vAlign w:val="bottom"/>
            <w:hideMark/>
          </w:tcPr>
          <w:p w14:paraId="697A69C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18380C0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1.7</w:t>
            </w:r>
          </w:p>
        </w:tc>
        <w:tc>
          <w:tcPr>
            <w:tcW w:w="1062" w:type="dxa"/>
            <w:tcBorders>
              <w:top w:val="nil"/>
              <w:left w:val="nil"/>
              <w:bottom w:val="nil"/>
              <w:right w:val="nil"/>
            </w:tcBorders>
            <w:shd w:val="clear" w:color="auto" w:fill="auto"/>
            <w:noWrap/>
            <w:vAlign w:val="bottom"/>
            <w:hideMark/>
          </w:tcPr>
          <w:p w14:paraId="39310B48"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0.7*</w:t>
            </w:r>
          </w:p>
        </w:tc>
        <w:tc>
          <w:tcPr>
            <w:tcW w:w="400" w:type="dxa"/>
            <w:tcBorders>
              <w:top w:val="nil"/>
              <w:left w:val="nil"/>
              <w:bottom w:val="nil"/>
              <w:right w:val="nil"/>
            </w:tcBorders>
            <w:shd w:val="clear" w:color="auto" w:fill="auto"/>
            <w:noWrap/>
            <w:vAlign w:val="bottom"/>
            <w:hideMark/>
          </w:tcPr>
          <w:p w14:paraId="298A943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0.5</w:t>
            </w:r>
          </w:p>
        </w:tc>
        <w:tc>
          <w:tcPr>
            <w:tcW w:w="400" w:type="dxa"/>
            <w:tcBorders>
              <w:top w:val="nil"/>
              <w:left w:val="nil"/>
              <w:bottom w:val="nil"/>
              <w:right w:val="nil"/>
            </w:tcBorders>
            <w:shd w:val="clear" w:color="auto" w:fill="auto"/>
            <w:noWrap/>
            <w:vAlign w:val="bottom"/>
            <w:hideMark/>
          </w:tcPr>
          <w:p w14:paraId="44659BC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1040" w:type="dxa"/>
            <w:tcBorders>
              <w:top w:val="nil"/>
              <w:left w:val="nil"/>
              <w:bottom w:val="nil"/>
              <w:right w:val="nil"/>
            </w:tcBorders>
            <w:shd w:val="clear" w:color="auto" w:fill="auto"/>
            <w:noWrap/>
            <w:vAlign w:val="bottom"/>
            <w:hideMark/>
          </w:tcPr>
          <w:p w14:paraId="09164DA2"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nil"/>
              <w:right w:val="nil"/>
            </w:tcBorders>
            <w:shd w:val="clear" w:color="auto" w:fill="auto"/>
            <w:noWrap/>
            <w:vAlign w:val="bottom"/>
            <w:hideMark/>
          </w:tcPr>
          <w:p w14:paraId="37ACEAA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7FB23E3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1.9</w:t>
            </w:r>
          </w:p>
        </w:tc>
        <w:tc>
          <w:tcPr>
            <w:tcW w:w="1200" w:type="dxa"/>
            <w:tcBorders>
              <w:top w:val="nil"/>
              <w:left w:val="nil"/>
              <w:bottom w:val="nil"/>
              <w:right w:val="nil"/>
            </w:tcBorders>
            <w:shd w:val="clear" w:color="auto" w:fill="auto"/>
            <w:noWrap/>
            <w:vAlign w:val="bottom"/>
            <w:hideMark/>
          </w:tcPr>
          <w:p w14:paraId="7408A282"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0A4F44C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1E0F0B6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r>
      <w:tr w:rsidR="00CB49ED" w:rsidRPr="002D7DCB" w14:paraId="74C78FF4" w14:textId="77777777" w:rsidTr="009C4E41">
        <w:trPr>
          <w:trHeight w:val="300"/>
        </w:trPr>
        <w:tc>
          <w:tcPr>
            <w:tcW w:w="1107" w:type="dxa"/>
            <w:tcBorders>
              <w:top w:val="nil"/>
              <w:left w:val="nil"/>
              <w:bottom w:val="nil"/>
              <w:right w:val="nil"/>
            </w:tcBorders>
            <w:shd w:val="clear" w:color="auto" w:fill="auto"/>
            <w:noWrap/>
            <w:vAlign w:val="bottom"/>
            <w:hideMark/>
          </w:tcPr>
          <w:p w14:paraId="283AB3A0"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Hungary</w:t>
            </w:r>
          </w:p>
        </w:tc>
        <w:tc>
          <w:tcPr>
            <w:tcW w:w="1200" w:type="dxa"/>
            <w:tcBorders>
              <w:top w:val="nil"/>
              <w:left w:val="nil"/>
              <w:bottom w:val="nil"/>
              <w:right w:val="nil"/>
            </w:tcBorders>
            <w:shd w:val="clear" w:color="auto" w:fill="auto"/>
            <w:noWrap/>
            <w:vAlign w:val="bottom"/>
            <w:hideMark/>
          </w:tcPr>
          <w:p w14:paraId="6F09DBC9"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6841A5F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398960A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62" w:type="dxa"/>
            <w:tcBorders>
              <w:top w:val="nil"/>
              <w:left w:val="nil"/>
              <w:bottom w:val="nil"/>
              <w:right w:val="nil"/>
            </w:tcBorders>
            <w:shd w:val="clear" w:color="auto" w:fill="auto"/>
            <w:noWrap/>
            <w:vAlign w:val="bottom"/>
            <w:hideMark/>
          </w:tcPr>
          <w:p w14:paraId="664ECC8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78091E4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10DC3FD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40" w:type="dxa"/>
            <w:tcBorders>
              <w:top w:val="nil"/>
              <w:left w:val="nil"/>
              <w:bottom w:val="nil"/>
              <w:right w:val="nil"/>
            </w:tcBorders>
            <w:shd w:val="clear" w:color="auto" w:fill="auto"/>
            <w:noWrap/>
            <w:vAlign w:val="bottom"/>
            <w:hideMark/>
          </w:tcPr>
          <w:p w14:paraId="6C8A3395"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0CE9CD7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007C55A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200" w:type="dxa"/>
            <w:tcBorders>
              <w:top w:val="nil"/>
              <w:left w:val="nil"/>
              <w:bottom w:val="nil"/>
              <w:right w:val="nil"/>
            </w:tcBorders>
            <w:shd w:val="clear" w:color="auto" w:fill="auto"/>
            <w:noWrap/>
            <w:vAlign w:val="bottom"/>
            <w:hideMark/>
          </w:tcPr>
          <w:p w14:paraId="3CEDBD95"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078ECA8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0BFC9AB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1.6</w:t>
            </w:r>
          </w:p>
        </w:tc>
      </w:tr>
      <w:tr w:rsidR="00CB49ED" w:rsidRPr="002D7DCB" w14:paraId="711089B4" w14:textId="77777777" w:rsidTr="009C4E41">
        <w:trPr>
          <w:trHeight w:val="300"/>
        </w:trPr>
        <w:tc>
          <w:tcPr>
            <w:tcW w:w="1107" w:type="dxa"/>
            <w:tcBorders>
              <w:top w:val="nil"/>
              <w:left w:val="nil"/>
              <w:bottom w:val="nil"/>
              <w:right w:val="nil"/>
            </w:tcBorders>
            <w:shd w:val="clear" w:color="auto" w:fill="auto"/>
            <w:noWrap/>
            <w:vAlign w:val="bottom"/>
            <w:hideMark/>
          </w:tcPr>
          <w:p w14:paraId="26EA760F"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Ireland</w:t>
            </w:r>
          </w:p>
        </w:tc>
        <w:tc>
          <w:tcPr>
            <w:tcW w:w="1200" w:type="dxa"/>
            <w:tcBorders>
              <w:top w:val="nil"/>
              <w:left w:val="nil"/>
              <w:bottom w:val="nil"/>
              <w:right w:val="nil"/>
            </w:tcBorders>
            <w:shd w:val="clear" w:color="auto" w:fill="auto"/>
            <w:noWrap/>
            <w:vAlign w:val="bottom"/>
            <w:hideMark/>
          </w:tcPr>
          <w:p w14:paraId="0BBFDF04"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0.8*</w:t>
            </w:r>
          </w:p>
        </w:tc>
        <w:tc>
          <w:tcPr>
            <w:tcW w:w="400" w:type="dxa"/>
            <w:tcBorders>
              <w:top w:val="nil"/>
              <w:left w:val="nil"/>
              <w:bottom w:val="nil"/>
              <w:right w:val="nil"/>
            </w:tcBorders>
            <w:shd w:val="clear" w:color="auto" w:fill="auto"/>
            <w:noWrap/>
            <w:vAlign w:val="bottom"/>
            <w:hideMark/>
          </w:tcPr>
          <w:p w14:paraId="5ADB4D7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2A37536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1062" w:type="dxa"/>
            <w:tcBorders>
              <w:top w:val="nil"/>
              <w:left w:val="nil"/>
              <w:bottom w:val="nil"/>
              <w:right w:val="nil"/>
            </w:tcBorders>
            <w:shd w:val="clear" w:color="auto" w:fill="auto"/>
            <w:noWrap/>
            <w:vAlign w:val="bottom"/>
            <w:hideMark/>
          </w:tcPr>
          <w:p w14:paraId="27875E5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nil"/>
              <w:right w:val="nil"/>
            </w:tcBorders>
            <w:shd w:val="clear" w:color="auto" w:fill="auto"/>
            <w:noWrap/>
            <w:vAlign w:val="bottom"/>
            <w:hideMark/>
          </w:tcPr>
          <w:p w14:paraId="0F3B649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48D8ED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40" w:type="dxa"/>
            <w:tcBorders>
              <w:top w:val="nil"/>
              <w:left w:val="nil"/>
              <w:bottom w:val="nil"/>
              <w:right w:val="nil"/>
            </w:tcBorders>
            <w:shd w:val="clear" w:color="auto" w:fill="auto"/>
            <w:noWrap/>
            <w:vAlign w:val="bottom"/>
            <w:hideMark/>
          </w:tcPr>
          <w:p w14:paraId="75AD1C6D"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0.7*</w:t>
            </w:r>
          </w:p>
        </w:tc>
        <w:tc>
          <w:tcPr>
            <w:tcW w:w="400" w:type="dxa"/>
            <w:tcBorders>
              <w:top w:val="nil"/>
              <w:left w:val="nil"/>
              <w:bottom w:val="nil"/>
              <w:right w:val="nil"/>
            </w:tcBorders>
            <w:shd w:val="clear" w:color="auto" w:fill="auto"/>
            <w:noWrap/>
            <w:vAlign w:val="bottom"/>
            <w:hideMark/>
          </w:tcPr>
          <w:p w14:paraId="0D28717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6395C36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1200" w:type="dxa"/>
            <w:tcBorders>
              <w:top w:val="nil"/>
              <w:left w:val="nil"/>
              <w:bottom w:val="nil"/>
              <w:right w:val="nil"/>
            </w:tcBorders>
            <w:shd w:val="clear" w:color="auto" w:fill="auto"/>
            <w:noWrap/>
            <w:vAlign w:val="bottom"/>
            <w:hideMark/>
          </w:tcPr>
          <w:p w14:paraId="0376838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74A10A4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6114ABD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r>
      <w:tr w:rsidR="00CB49ED" w:rsidRPr="002D7DCB" w14:paraId="19523B34" w14:textId="77777777" w:rsidTr="009C4E41">
        <w:trPr>
          <w:trHeight w:val="300"/>
        </w:trPr>
        <w:tc>
          <w:tcPr>
            <w:tcW w:w="1107" w:type="dxa"/>
            <w:tcBorders>
              <w:top w:val="nil"/>
              <w:left w:val="nil"/>
              <w:bottom w:val="nil"/>
              <w:right w:val="nil"/>
            </w:tcBorders>
            <w:shd w:val="clear" w:color="auto" w:fill="auto"/>
            <w:noWrap/>
            <w:vAlign w:val="bottom"/>
            <w:hideMark/>
          </w:tcPr>
          <w:p w14:paraId="227FA63E"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Israel</w:t>
            </w:r>
          </w:p>
        </w:tc>
        <w:tc>
          <w:tcPr>
            <w:tcW w:w="1200" w:type="dxa"/>
            <w:tcBorders>
              <w:top w:val="nil"/>
              <w:left w:val="nil"/>
              <w:bottom w:val="nil"/>
              <w:right w:val="nil"/>
            </w:tcBorders>
            <w:shd w:val="clear" w:color="auto" w:fill="auto"/>
            <w:noWrap/>
            <w:vAlign w:val="bottom"/>
            <w:hideMark/>
          </w:tcPr>
          <w:p w14:paraId="16196913"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0.8</w:t>
            </w:r>
          </w:p>
        </w:tc>
        <w:tc>
          <w:tcPr>
            <w:tcW w:w="400" w:type="dxa"/>
            <w:tcBorders>
              <w:top w:val="nil"/>
              <w:left w:val="nil"/>
              <w:bottom w:val="nil"/>
              <w:right w:val="nil"/>
            </w:tcBorders>
            <w:shd w:val="clear" w:color="auto" w:fill="auto"/>
            <w:noWrap/>
            <w:vAlign w:val="bottom"/>
            <w:hideMark/>
          </w:tcPr>
          <w:p w14:paraId="67E0BB7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3385B67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62" w:type="dxa"/>
            <w:tcBorders>
              <w:top w:val="nil"/>
              <w:left w:val="nil"/>
              <w:bottom w:val="nil"/>
              <w:right w:val="nil"/>
            </w:tcBorders>
            <w:shd w:val="clear" w:color="auto" w:fill="auto"/>
            <w:noWrap/>
            <w:vAlign w:val="bottom"/>
            <w:hideMark/>
          </w:tcPr>
          <w:p w14:paraId="2BB5464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nil"/>
              <w:right w:val="nil"/>
            </w:tcBorders>
            <w:shd w:val="clear" w:color="auto" w:fill="auto"/>
            <w:noWrap/>
            <w:vAlign w:val="bottom"/>
            <w:hideMark/>
          </w:tcPr>
          <w:p w14:paraId="6455C5D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4994B8B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1.6</w:t>
            </w:r>
          </w:p>
        </w:tc>
        <w:tc>
          <w:tcPr>
            <w:tcW w:w="1040" w:type="dxa"/>
            <w:tcBorders>
              <w:top w:val="nil"/>
              <w:left w:val="nil"/>
              <w:bottom w:val="nil"/>
              <w:right w:val="nil"/>
            </w:tcBorders>
            <w:shd w:val="clear" w:color="auto" w:fill="auto"/>
            <w:noWrap/>
            <w:vAlign w:val="bottom"/>
            <w:hideMark/>
          </w:tcPr>
          <w:p w14:paraId="697EB02C"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3C397F9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04DFD9F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1.9</w:t>
            </w:r>
          </w:p>
        </w:tc>
        <w:tc>
          <w:tcPr>
            <w:tcW w:w="1200" w:type="dxa"/>
            <w:tcBorders>
              <w:top w:val="nil"/>
              <w:left w:val="nil"/>
              <w:bottom w:val="nil"/>
              <w:right w:val="nil"/>
            </w:tcBorders>
            <w:shd w:val="clear" w:color="auto" w:fill="auto"/>
            <w:noWrap/>
            <w:vAlign w:val="bottom"/>
            <w:hideMark/>
          </w:tcPr>
          <w:p w14:paraId="1ABA5923"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79FA5D3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14D70E7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r>
      <w:tr w:rsidR="00CB49ED" w:rsidRPr="002D7DCB" w14:paraId="7C966A65" w14:textId="77777777" w:rsidTr="009C4E41">
        <w:trPr>
          <w:trHeight w:val="300"/>
        </w:trPr>
        <w:tc>
          <w:tcPr>
            <w:tcW w:w="1107" w:type="dxa"/>
            <w:tcBorders>
              <w:top w:val="nil"/>
              <w:left w:val="nil"/>
              <w:bottom w:val="nil"/>
              <w:right w:val="nil"/>
            </w:tcBorders>
            <w:shd w:val="clear" w:color="auto" w:fill="auto"/>
            <w:noWrap/>
            <w:vAlign w:val="bottom"/>
            <w:hideMark/>
          </w:tcPr>
          <w:p w14:paraId="02B6032D"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Lithuania</w:t>
            </w:r>
          </w:p>
        </w:tc>
        <w:tc>
          <w:tcPr>
            <w:tcW w:w="1200" w:type="dxa"/>
            <w:tcBorders>
              <w:top w:val="nil"/>
              <w:left w:val="nil"/>
              <w:bottom w:val="nil"/>
              <w:right w:val="nil"/>
            </w:tcBorders>
            <w:shd w:val="clear" w:color="auto" w:fill="auto"/>
            <w:noWrap/>
            <w:vAlign w:val="bottom"/>
            <w:hideMark/>
          </w:tcPr>
          <w:p w14:paraId="1BA47B30"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1016AFD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5165907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62" w:type="dxa"/>
            <w:tcBorders>
              <w:top w:val="nil"/>
              <w:left w:val="nil"/>
              <w:bottom w:val="nil"/>
              <w:right w:val="nil"/>
            </w:tcBorders>
            <w:shd w:val="clear" w:color="auto" w:fill="auto"/>
            <w:noWrap/>
            <w:vAlign w:val="bottom"/>
            <w:hideMark/>
          </w:tcPr>
          <w:p w14:paraId="4063331D"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38ACC73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5764319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40" w:type="dxa"/>
            <w:tcBorders>
              <w:top w:val="nil"/>
              <w:left w:val="nil"/>
              <w:bottom w:val="nil"/>
              <w:right w:val="nil"/>
            </w:tcBorders>
            <w:shd w:val="clear" w:color="auto" w:fill="auto"/>
            <w:noWrap/>
            <w:vAlign w:val="bottom"/>
            <w:hideMark/>
          </w:tcPr>
          <w:p w14:paraId="39D07F06"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0.6*</w:t>
            </w:r>
          </w:p>
        </w:tc>
        <w:tc>
          <w:tcPr>
            <w:tcW w:w="400" w:type="dxa"/>
            <w:tcBorders>
              <w:top w:val="nil"/>
              <w:left w:val="nil"/>
              <w:bottom w:val="nil"/>
              <w:right w:val="nil"/>
            </w:tcBorders>
            <w:shd w:val="clear" w:color="auto" w:fill="auto"/>
            <w:noWrap/>
            <w:vAlign w:val="bottom"/>
            <w:hideMark/>
          </w:tcPr>
          <w:p w14:paraId="0EA5CFF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0.4</w:t>
            </w:r>
          </w:p>
        </w:tc>
        <w:tc>
          <w:tcPr>
            <w:tcW w:w="400" w:type="dxa"/>
            <w:tcBorders>
              <w:top w:val="nil"/>
              <w:left w:val="nil"/>
              <w:bottom w:val="nil"/>
              <w:right w:val="nil"/>
            </w:tcBorders>
            <w:shd w:val="clear" w:color="auto" w:fill="auto"/>
            <w:noWrap/>
            <w:vAlign w:val="bottom"/>
            <w:hideMark/>
          </w:tcPr>
          <w:p w14:paraId="0A28E95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1200" w:type="dxa"/>
            <w:tcBorders>
              <w:top w:val="nil"/>
              <w:left w:val="nil"/>
              <w:bottom w:val="nil"/>
              <w:right w:val="nil"/>
            </w:tcBorders>
            <w:shd w:val="clear" w:color="auto" w:fill="auto"/>
            <w:noWrap/>
            <w:vAlign w:val="bottom"/>
            <w:hideMark/>
          </w:tcPr>
          <w:p w14:paraId="5E8C6C92"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0.8</w:t>
            </w:r>
          </w:p>
        </w:tc>
        <w:tc>
          <w:tcPr>
            <w:tcW w:w="400" w:type="dxa"/>
            <w:tcBorders>
              <w:top w:val="nil"/>
              <w:left w:val="nil"/>
              <w:bottom w:val="nil"/>
              <w:right w:val="nil"/>
            </w:tcBorders>
            <w:shd w:val="clear" w:color="auto" w:fill="auto"/>
            <w:noWrap/>
            <w:vAlign w:val="bottom"/>
            <w:hideMark/>
          </w:tcPr>
          <w:p w14:paraId="4C2DFF3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1BA3F90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r w:rsidR="00CB49ED" w:rsidRPr="002D7DCB" w14:paraId="74CC953F" w14:textId="77777777" w:rsidTr="009C4E41">
        <w:trPr>
          <w:trHeight w:val="300"/>
        </w:trPr>
        <w:tc>
          <w:tcPr>
            <w:tcW w:w="1107" w:type="dxa"/>
            <w:tcBorders>
              <w:top w:val="nil"/>
              <w:left w:val="nil"/>
              <w:bottom w:val="nil"/>
              <w:right w:val="nil"/>
            </w:tcBorders>
            <w:shd w:val="clear" w:color="auto" w:fill="auto"/>
            <w:noWrap/>
            <w:vAlign w:val="bottom"/>
            <w:hideMark/>
          </w:tcPr>
          <w:p w14:paraId="317C9C81"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Netherlands</w:t>
            </w:r>
          </w:p>
        </w:tc>
        <w:tc>
          <w:tcPr>
            <w:tcW w:w="1200" w:type="dxa"/>
            <w:tcBorders>
              <w:top w:val="nil"/>
              <w:left w:val="nil"/>
              <w:bottom w:val="nil"/>
              <w:right w:val="nil"/>
            </w:tcBorders>
            <w:shd w:val="clear" w:color="auto" w:fill="auto"/>
            <w:noWrap/>
            <w:vAlign w:val="bottom"/>
            <w:hideMark/>
          </w:tcPr>
          <w:p w14:paraId="148CC56D"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nil"/>
              <w:right w:val="nil"/>
            </w:tcBorders>
            <w:shd w:val="clear" w:color="auto" w:fill="auto"/>
            <w:noWrap/>
            <w:vAlign w:val="bottom"/>
            <w:hideMark/>
          </w:tcPr>
          <w:p w14:paraId="777EA1C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5011AF4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c>
          <w:tcPr>
            <w:tcW w:w="1062" w:type="dxa"/>
            <w:tcBorders>
              <w:top w:val="nil"/>
              <w:left w:val="nil"/>
              <w:bottom w:val="nil"/>
              <w:right w:val="nil"/>
            </w:tcBorders>
            <w:shd w:val="clear" w:color="auto" w:fill="auto"/>
            <w:noWrap/>
            <w:vAlign w:val="bottom"/>
            <w:hideMark/>
          </w:tcPr>
          <w:p w14:paraId="517D279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49653AB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4B8ACE1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40" w:type="dxa"/>
            <w:tcBorders>
              <w:top w:val="nil"/>
              <w:left w:val="nil"/>
              <w:bottom w:val="nil"/>
              <w:right w:val="nil"/>
            </w:tcBorders>
            <w:shd w:val="clear" w:color="auto" w:fill="auto"/>
            <w:noWrap/>
            <w:vAlign w:val="bottom"/>
            <w:hideMark/>
          </w:tcPr>
          <w:p w14:paraId="2711C82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nil"/>
              <w:right w:val="nil"/>
            </w:tcBorders>
            <w:shd w:val="clear" w:color="auto" w:fill="auto"/>
            <w:noWrap/>
            <w:vAlign w:val="bottom"/>
            <w:hideMark/>
          </w:tcPr>
          <w:p w14:paraId="7038AB6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491383F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c>
          <w:tcPr>
            <w:tcW w:w="1200" w:type="dxa"/>
            <w:tcBorders>
              <w:top w:val="nil"/>
              <w:left w:val="nil"/>
              <w:bottom w:val="nil"/>
              <w:right w:val="nil"/>
            </w:tcBorders>
            <w:shd w:val="clear" w:color="auto" w:fill="auto"/>
            <w:noWrap/>
            <w:vAlign w:val="bottom"/>
            <w:hideMark/>
          </w:tcPr>
          <w:p w14:paraId="0CB9E7B5"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52FAC9D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7A1E3B0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r w:rsidR="00CB49ED" w:rsidRPr="002D7DCB" w14:paraId="1259A920" w14:textId="77777777" w:rsidTr="009C4E41">
        <w:trPr>
          <w:trHeight w:val="300"/>
        </w:trPr>
        <w:tc>
          <w:tcPr>
            <w:tcW w:w="1107" w:type="dxa"/>
            <w:tcBorders>
              <w:top w:val="nil"/>
              <w:left w:val="nil"/>
              <w:bottom w:val="nil"/>
              <w:right w:val="nil"/>
            </w:tcBorders>
            <w:shd w:val="clear" w:color="auto" w:fill="auto"/>
            <w:noWrap/>
            <w:vAlign w:val="bottom"/>
            <w:hideMark/>
          </w:tcPr>
          <w:p w14:paraId="67869A2E"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Norway</w:t>
            </w:r>
          </w:p>
        </w:tc>
        <w:tc>
          <w:tcPr>
            <w:tcW w:w="1200" w:type="dxa"/>
            <w:tcBorders>
              <w:top w:val="nil"/>
              <w:left w:val="nil"/>
              <w:bottom w:val="nil"/>
              <w:right w:val="nil"/>
            </w:tcBorders>
            <w:shd w:val="clear" w:color="auto" w:fill="auto"/>
            <w:noWrap/>
            <w:vAlign w:val="bottom"/>
            <w:hideMark/>
          </w:tcPr>
          <w:p w14:paraId="31D5C023"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7038C7F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0.5</w:t>
            </w:r>
          </w:p>
        </w:tc>
        <w:tc>
          <w:tcPr>
            <w:tcW w:w="400" w:type="dxa"/>
            <w:tcBorders>
              <w:top w:val="nil"/>
              <w:left w:val="nil"/>
              <w:bottom w:val="nil"/>
              <w:right w:val="nil"/>
            </w:tcBorders>
            <w:shd w:val="clear" w:color="auto" w:fill="auto"/>
            <w:noWrap/>
            <w:vAlign w:val="bottom"/>
            <w:hideMark/>
          </w:tcPr>
          <w:p w14:paraId="4D5D4DD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c>
          <w:tcPr>
            <w:tcW w:w="1062" w:type="dxa"/>
            <w:tcBorders>
              <w:top w:val="nil"/>
              <w:left w:val="nil"/>
              <w:bottom w:val="nil"/>
              <w:right w:val="nil"/>
            </w:tcBorders>
            <w:shd w:val="clear" w:color="auto" w:fill="auto"/>
            <w:noWrap/>
            <w:vAlign w:val="bottom"/>
            <w:hideMark/>
          </w:tcPr>
          <w:p w14:paraId="0F80009C"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3CA4096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7C0AB9F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1.6</w:t>
            </w:r>
          </w:p>
        </w:tc>
        <w:tc>
          <w:tcPr>
            <w:tcW w:w="1040" w:type="dxa"/>
            <w:tcBorders>
              <w:top w:val="nil"/>
              <w:left w:val="nil"/>
              <w:bottom w:val="nil"/>
              <w:right w:val="nil"/>
            </w:tcBorders>
            <w:shd w:val="clear" w:color="auto" w:fill="auto"/>
            <w:noWrap/>
            <w:vAlign w:val="bottom"/>
            <w:hideMark/>
          </w:tcPr>
          <w:p w14:paraId="428D4658"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0.6</w:t>
            </w:r>
          </w:p>
        </w:tc>
        <w:tc>
          <w:tcPr>
            <w:tcW w:w="400" w:type="dxa"/>
            <w:tcBorders>
              <w:top w:val="nil"/>
              <w:left w:val="nil"/>
              <w:bottom w:val="nil"/>
              <w:right w:val="nil"/>
            </w:tcBorders>
            <w:shd w:val="clear" w:color="auto" w:fill="auto"/>
            <w:noWrap/>
            <w:vAlign w:val="bottom"/>
            <w:hideMark/>
          </w:tcPr>
          <w:p w14:paraId="40D0837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0.4</w:t>
            </w:r>
          </w:p>
        </w:tc>
        <w:tc>
          <w:tcPr>
            <w:tcW w:w="400" w:type="dxa"/>
            <w:tcBorders>
              <w:top w:val="nil"/>
              <w:left w:val="nil"/>
              <w:bottom w:val="nil"/>
              <w:right w:val="nil"/>
            </w:tcBorders>
            <w:shd w:val="clear" w:color="auto" w:fill="auto"/>
            <w:noWrap/>
            <w:vAlign w:val="bottom"/>
            <w:hideMark/>
          </w:tcPr>
          <w:p w14:paraId="1A517DB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200" w:type="dxa"/>
            <w:tcBorders>
              <w:top w:val="nil"/>
              <w:left w:val="nil"/>
              <w:bottom w:val="nil"/>
              <w:right w:val="nil"/>
            </w:tcBorders>
            <w:shd w:val="clear" w:color="auto" w:fill="auto"/>
            <w:noWrap/>
            <w:vAlign w:val="bottom"/>
            <w:hideMark/>
          </w:tcPr>
          <w:p w14:paraId="434FF858"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6DF72A4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3E1DA54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r>
      <w:tr w:rsidR="00CB49ED" w:rsidRPr="002D7DCB" w14:paraId="7895F084" w14:textId="77777777" w:rsidTr="009C4E41">
        <w:trPr>
          <w:trHeight w:val="300"/>
        </w:trPr>
        <w:tc>
          <w:tcPr>
            <w:tcW w:w="1107" w:type="dxa"/>
            <w:tcBorders>
              <w:top w:val="nil"/>
              <w:left w:val="nil"/>
              <w:bottom w:val="nil"/>
              <w:right w:val="nil"/>
            </w:tcBorders>
            <w:shd w:val="clear" w:color="auto" w:fill="auto"/>
            <w:noWrap/>
            <w:vAlign w:val="bottom"/>
            <w:hideMark/>
          </w:tcPr>
          <w:p w14:paraId="14B9E36E"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Poland</w:t>
            </w:r>
          </w:p>
        </w:tc>
        <w:tc>
          <w:tcPr>
            <w:tcW w:w="1200" w:type="dxa"/>
            <w:tcBorders>
              <w:top w:val="nil"/>
              <w:left w:val="nil"/>
              <w:bottom w:val="nil"/>
              <w:right w:val="nil"/>
            </w:tcBorders>
            <w:shd w:val="clear" w:color="auto" w:fill="auto"/>
            <w:noWrap/>
            <w:vAlign w:val="bottom"/>
            <w:hideMark/>
          </w:tcPr>
          <w:p w14:paraId="3A56AC48"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2A1C1E4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13C22E4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62" w:type="dxa"/>
            <w:tcBorders>
              <w:top w:val="nil"/>
              <w:left w:val="nil"/>
              <w:bottom w:val="nil"/>
              <w:right w:val="nil"/>
            </w:tcBorders>
            <w:shd w:val="clear" w:color="auto" w:fill="auto"/>
            <w:noWrap/>
            <w:vAlign w:val="bottom"/>
            <w:hideMark/>
          </w:tcPr>
          <w:p w14:paraId="1B766B9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290ADEE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2116AD6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40" w:type="dxa"/>
            <w:tcBorders>
              <w:top w:val="nil"/>
              <w:left w:val="nil"/>
              <w:bottom w:val="nil"/>
              <w:right w:val="nil"/>
            </w:tcBorders>
            <w:shd w:val="clear" w:color="auto" w:fill="auto"/>
            <w:noWrap/>
            <w:vAlign w:val="bottom"/>
            <w:hideMark/>
          </w:tcPr>
          <w:p w14:paraId="7E06D53A"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1.4*</w:t>
            </w:r>
          </w:p>
        </w:tc>
        <w:tc>
          <w:tcPr>
            <w:tcW w:w="400" w:type="dxa"/>
            <w:tcBorders>
              <w:top w:val="nil"/>
              <w:left w:val="nil"/>
              <w:bottom w:val="nil"/>
              <w:right w:val="nil"/>
            </w:tcBorders>
            <w:shd w:val="clear" w:color="auto" w:fill="auto"/>
            <w:noWrap/>
            <w:vAlign w:val="bottom"/>
            <w:hideMark/>
          </w:tcPr>
          <w:p w14:paraId="672F149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1435F53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1.9</w:t>
            </w:r>
          </w:p>
        </w:tc>
        <w:tc>
          <w:tcPr>
            <w:tcW w:w="1200" w:type="dxa"/>
            <w:tcBorders>
              <w:top w:val="nil"/>
              <w:left w:val="nil"/>
              <w:bottom w:val="nil"/>
              <w:right w:val="nil"/>
            </w:tcBorders>
            <w:shd w:val="clear" w:color="auto" w:fill="auto"/>
            <w:noWrap/>
            <w:vAlign w:val="bottom"/>
            <w:hideMark/>
          </w:tcPr>
          <w:p w14:paraId="750E262F"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0.7*</w:t>
            </w:r>
          </w:p>
        </w:tc>
        <w:tc>
          <w:tcPr>
            <w:tcW w:w="400" w:type="dxa"/>
            <w:tcBorders>
              <w:top w:val="nil"/>
              <w:left w:val="nil"/>
              <w:bottom w:val="nil"/>
              <w:right w:val="nil"/>
            </w:tcBorders>
            <w:shd w:val="clear" w:color="auto" w:fill="auto"/>
            <w:noWrap/>
            <w:vAlign w:val="bottom"/>
            <w:hideMark/>
          </w:tcPr>
          <w:p w14:paraId="3ADBD10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1DEF18C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r>
      <w:tr w:rsidR="00CB49ED" w:rsidRPr="002D7DCB" w14:paraId="791137FC" w14:textId="77777777" w:rsidTr="009C4E41">
        <w:trPr>
          <w:trHeight w:val="300"/>
        </w:trPr>
        <w:tc>
          <w:tcPr>
            <w:tcW w:w="1107" w:type="dxa"/>
            <w:tcBorders>
              <w:top w:val="nil"/>
              <w:left w:val="nil"/>
              <w:bottom w:val="nil"/>
              <w:right w:val="nil"/>
            </w:tcBorders>
            <w:shd w:val="clear" w:color="auto" w:fill="auto"/>
            <w:noWrap/>
            <w:vAlign w:val="bottom"/>
            <w:hideMark/>
          </w:tcPr>
          <w:p w14:paraId="2B38E593"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Portugal</w:t>
            </w:r>
          </w:p>
        </w:tc>
        <w:tc>
          <w:tcPr>
            <w:tcW w:w="1200" w:type="dxa"/>
            <w:tcBorders>
              <w:top w:val="nil"/>
              <w:left w:val="nil"/>
              <w:bottom w:val="nil"/>
              <w:right w:val="nil"/>
            </w:tcBorders>
            <w:shd w:val="clear" w:color="auto" w:fill="auto"/>
            <w:noWrap/>
            <w:vAlign w:val="bottom"/>
            <w:hideMark/>
          </w:tcPr>
          <w:p w14:paraId="40CC085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6E69374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557A0BF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c>
          <w:tcPr>
            <w:tcW w:w="1062" w:type="dxa"/>
            <w:tcBorders>
              <w:top w:val="nil"/>
              <w:left w:val="nil"/>
              <w:bottom w:val="nil"/>
              <w:right w:val="nil"/>
            </w:tcBorders>
            <w:shd w:val="clear" w:color="auto" w:fill="auto"/>
            <w:noWrap/>
            <w:vAlign w:val="bottom"/>
            <w:hideMark/>
          </w:tcPr>
          <w:p w14:paraId="462AAC1F"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1.5</w:t>
            </w:r>
          </w:p>
        </w:tc>
        <w:tc>
          <w:tcPr>
            <w:tcW w:w="400" w:type="dxa"/>
            <w:tcBorders>
              <w:top w:val="nil"/>
              <w:left w:val="nil"/>
              <w:bottom w:val="nil"/>
              <w:right w:val="nil"/>
            </w:tcBorders>
            <w:shd w:val="clear" w:color="auto" w:fill="auto"/>
            <w:noWrap/>
            <w:vAlign w:val="bottom"/>
            <w:hideMark/>
          </w:tcPr>
          <w:p w14:paraId="6E19F87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755E4AA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2.7</w:t>
            </w:r>
          </w:p>
        </w:tc>
        <w:tc>
          <w:tcPr>
            <w:tcW w:w="1040" w:type="dxa"/>
            <w:tcBorders>
              <w:top w:val="nil"/>
              <w:left w:val="nil"/>
              <w:bottom w:val="nil"/>
              <w:right w:val="nil"/>
            </w:tcBorders>
            <w:shd w:val="clear" w:color="auto" w:fill="auto"/>
            <w:noWrap/>
            <w:vAlign w:val="bottom"/>
            <w:hideMark/>
          </w:tcPr>
          <w:p w14:paraId="3D626C31"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0.5*</w:t>
            </w:r>
          </w:p>
        </w:tc>
        <w:tc>
          <w:tcPr>
            <w:tcW w:w="400" w:type="dxa"/>
            <w:tcBorders>
              <w:top w:val="nil"/>
              <w:left w:val="nil"/>
              <w:bottom w:val="nil"/>
              <w:right w:val="nil"/>
            </w:tcBorders>
            <w:shd w:val="clear" w:color="auto" w:fill="auto"/>
            <w:noWrap/>
            <w:vAlign w:val="bottom"/>
            <w:hideMark/>
          </w:tcPr>
          <w:p w14:paraId="03DD5BF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0.3</w:t>
            </w:r>
          </w:p>
        </w:tc>
        <w:tc>
          <w:tcPr>
            <w:tcW w:w="400" w:type="dxa"/>
            <w:tcBorders>
              <w:top w:val="nil"/>
              <w:left w:val="nil"/>
              <w:bottom w:val="nil"/>
              <w:right w:val="nil"/>
            </w:tcBorders>
            <w:shd w:val="clear" w:color="auto" w:fill="auto"/>
            <w:noWrap/>
            <w:vAlign w:val="bottom"/>
            <w:hideMark/>
          </w:tcPr>
          <w:p w14:paraId="5E1D9CC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1200" w:type="dxa"/>
            <w:tcBorders>
              <w:top w:val="nil"/>
              <w:left w:val="nil"/>
              <w:bottom w:val="nil"/>
              <w:right w:val="nil"/>
            </w:tcBorders>
            <w:shd w:val="clear" w:color="auto" w:fill="auto"/>
            <w:noWrap/>
            <w:vAlign w:val="bottom"/>
            <w:hideMark/>
          </w:tcPr>
          <w:p w14:paraId="31141872"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0.8</w:t>
            </w:r>
          </w:p>
        </w:tc>
        <w:tc>
          <w:tcPr>
            <w:tcW w:w="400" w:type="dxa"/>
            <w:tcBorders>
              <w:top w:val="nil"/>
              <w:left w:val="nil"/>
              <w:bottom w:val="nil"/>
              <w:right w:val="nil"/>
            </w:tcBorders>
            <w:shd w:val="clear" w:color="auto" w:fill="auto"/>
            <w:noWrap/>
            <w:vAlign w:val="bottom"/>
            <w:hideMark/>
          </w:tcPr>
          <w:p w14:paraId="6AFA8FF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0.5</w:t>
            </w:r>
          </w:p>
        </w:tc>
        <w:tc>
          <w:tcPr>
            <w:tcW w:w="400" w:type="dxa"/>
            <w:tcBorders>
              <w:top w:val="nil"/>
              <w:left w:val="nil"/>
              <w:bottom w:val="nil"/>
              <w:right w:val="nil"/>
            </w:tcBorders>
            <w:shd w:val="clear" w:color="auto" w:fill="auto"/>
            <w:noWrap/>
            <w:vAlign w:val="bottom"/>
            <w:hideMark/>
          </w:tcPr>
          <w:p w14:paraId="2971428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r>
      <w:tr w:rsidR="00CB49ED" w:rsidRPr="002D7DCB" w14:paraId="2E3C1D3C" w14:textId="77777777" w:rsidTr="009C4E41">
        <w:trPr>
          <w:trHeight w:val="300"/>
        </w:trPr>
        <w:tc>
          <w:tcPr>
            <w:tcW w:w="1107" w:type="dxa"/>
            <w:tcBorders>
              <w:top w:val="nil"/>
              <w:left w:val="nil"/>
              <w:bottom w:val="nil"/>
              <w:right w:val="nil"/>
            </w:tcBorders>
            <w:shd w:val="clear" w:color="auto" w:fill="auto"/>
            <w:noWrap/>
            <w:vAlign w:val="bottom"/>
            <w:hideMark/>
          </w:tcPr>
          <w:p w14:paraId="249DB8AF"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Slovenia</w:t>
            </w:r>
          </w:p>
        </w:tc>
        <w:tc>
          <w:tcPr>
            <w:tcW w:w="1200" w:type="dxa"/>
            <w:tcBorders>
              <w:top w:val="nil"/>
              <w:left w:val="nil"/>
              <w:bottom w:val="nil"/>
              <w:right w:val="nil"/>
            </w:tcBorders>
            <w:shd w:val="clear" w:color="auto" w:fill="auto"/>
            <w:noWrap/>
            <w:vAlign w:val="bottom"/>
            <w:hideMark/>
          </w:tcPr>
          <w:p w14:paraId="51C2C80C"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3881503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53EF68B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62" w:type="dxa"/>
            <w:tcBorders>
              <w:top w:val="nil"/>
              <w:left w:val="nil"/>
              <w:bottom w:val="nil"/>
              <w:right w:val="nil"/>
            </w:tcBorders>
            <w:shd w:val="clear" w:color="auto" w:fill="auto"/>
            <w:noWrap/>
            <w:vAlign w:val="bottom"/>
            <w:hideMark/>
          </w:tcPr>
          <w:p w14:paraId="2290C4F8"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0.8</w:t>
            </w:r>
          </w:p>
        </w:tc>
        <w:tc>
          <w:tcPr>
            <w:tcW w:w="400" w:type="dxa"/>
            <w:tcBorders>
              <w:top w:val="nil"/>
              <w:left w:val="nil"/>
              <w:bottom w:val="nil"/>
              <w:right w:val="nil"/>
            </w:tcBorders>
            <w:shd w:val="clear" w:color="auto" w:fill="auto"/>
            <w:noWrap/>
            <w:vAlign w:val="bottom"/>
            <w:hideMark/>
          </w:tcPr>
          <w:p w14:paraId="26E1101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0.5</w:t>
            </w:r>
          </w:p>
        </w:tc>
        <w:tc>
          <w:tcPr>
            <w:tcW w:w="400" w:type="dxa"/>
            <w:tcBorders>
              <w:top w:val="nil"/>
              <w:left w:val="nil"/>
              <w:bottom w:val="nil"/>
              <w:right w:val="nil"/>
            </w:tcBorders>
            <w:shd w:val="clear" w:color="auto" w:fill="auto"/>
            <w:noWrap/>
            <w:vAlign w:val="bottom"/>
            <w:hideMark/>
          </w:tcPr>
          <w:p w14:paraId="2332624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40" w:type="dxa"/>
            <w:tcBorders>
              <w:top w:val="nil"/>
              <w:left w:val="nil"/>
              <w:bottom w:val="nil"/>
              <w:right w:val="nil"/>
            </w:tcBorders>
            <w:shd w:val="clear" w:color="auto" w:fill="auto"/>
            <w:noWrap/>
            <w:vAlign w:val="bottom"/>
            <w:hideMark/>
          </w:tcPr>
          <w:p w14:paraId="5EF1DCB1"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1.9*</w:t>
            </w:r>
          </w:p>
        </w:tc>
        <w:tc>
          <w:tcPr>
            <w:tcW w:w="400" w:type="dxa"/>
            <w:tcBorders>
              <w:top w:val="nil"/>
              <w:left w:val="nil"/>
              <w:bottom w:val="nil"/>
              <w:right w:val="nil"/>
            </w:tcBorders>
            <w:shd w:val="clear" w:color="auto" w:fill="auto"/>
            <w:noWrap/>
            <w:vAlign w:val="bottom"/>
            <w:hideMark/>
          </w:tcPr>
          <w:p w14:paraId="7FAC5F6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12D4918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3.4</w:t>
            </w:r>
          </w:p>
        </w:tc>
        <w:tc>
          <w:tcPr>
            <w:tcW w:w="1200" w:type="dxa"/>
            <w:tcBorders>
              <w:top w:val="nil"/>
              <w:left w:val="nil"/>
              <w:bottom w:val="nil"/>
              <w:right w:val="nil"/>
            </w:tcBorders>
            <w:shd w:val="clear" w:color="auto" w:fill="auto"/>
            <w:noWrap/>
            <w:vAlign w:val="bottom"/>
            <w:hideMark/>
          </w:tcPr>
          <w:p w14:paraId="7FDF371C"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31523C4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3ADF93F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1.8</w:t>
            </w:r>
          </w:p>
        </w:tc>
      </w:tr>
      <w:tr w:rsidR="00CB49ED" w:rsidRPr="002D7DCB" w14:paraId="6742601A" w14:textId="77777777" w:rsidTr="009C4E41">
        <w:trPr>
          <w:trHeight w:val="300"/>
        </w:trPr>
        <w:tc>
          <w:tcPr>
            <w:tcW w:w="1107" w:type="dxa"/>
            <w:tcBorders>
              <w:top w:val="nil"/>
              <w:left w:val="nil"/>
              <w:bottom w:val="nil"/>
              <w:right w:val="nil"/>
            </w:tcBorders>
            <w:shd w:val="clear" w:color="auto" w:fill="auto"/>
            <w:noWrap/>
            <w:vAlign w:val="bottom"/>
            <w:hideMark/>
          </w:tcPr>
          <w:p w14:paraId="533A4A9B"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Spain</w:t>
            </w:r>
          </w:p>
        </w:tc>
        <w:tc>
          <w:tcPr>
            <w:tcW w:w="1200" w:type="dxa"/>
            <w:tcBorders>
              <w:top w:val="nil"/>
              <w:left w:val="nil"/>
              <w:bottom w:val="nil"/>
              <w:right w:val="nil"/>
            </w:tcBorders>
            <w:shd w:val="clear" w:color="auto" w:fill="auto"/>
            <w:noWrap/>
            <w:vAlign w:val="bottom"/>
            <w:hideMark/>
          </w:tcPr>
          <w:p w14:paraId="7E4D04E8"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0.8</w:t>
            </w:r>
          </w:p>
        </w:tc>
        <w:tc>
          <w:tcPr>
            <w:tcW w:w="400" w:type="dxa"/>
            <w:tcBorders>
              <w:top w:val="nil"/>
              <w:left w:val="nil"/>
              <w:bottom w:val="nil"/>
              <w:right w:val="nil"/>
            </w:tcBorders>
            <w:shd w:val="clear" w:color="auto" w:fill="auto"/>
            <w:noWrap/>
            <w:vAlign w:val="bottom"/>
            <w:hideMark/>
          </w:tcPr>
          <w:p w14:paraId="6BC227F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nil"/>
              <w:right w:val="nil"/>
            </w:tcBorders>
            <w:shd w:val="clear" w:color="auto" w:fill="auto"/>
            <w:noWrap/>
            <w:vAlign w:val="bottom"/>
            <w:hideMark/>
          </w:tcPr>
          <w:p w14:paraId="12855B4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62" w:type="dxa"/>
            <w:tcBorders>
              <w:top w:val="nil"/>
              <w:left w:val="nil"/>
              <w:bottom w:val="nil"/>
              <w:right w:val="nil"/>
            </w:tcBorders>
            <w:shd w:val="clear" w:color="auto" w:fill="auto"/>
            <w:noWrap/>
            <w:vAlign w:val="bottom"/>
            <w:hideMark/>
          </w:tcPr>
          <w:p w14:paraId="210A523C"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2401932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6B77F4D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40" w:type="dxa"/>
            <w:tcBorders>
              <w:top w:val="nil"/>
              <w:left w:val="nil"/>
              <w:bottom w:val="nil"/>
              <w:right w:val="nil"/>
            </w:tcBorders>
            <w:shd w:val="clear" w:color="auto" w:fill="auto"/>
            <w:noWrap/>
            <w:vAlign w:val="bottom"/>
            <w:hideMark/>
          </w:tcPr>
          <w:p w14:paraId="73F8F7F4"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314D44A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7C4F7BA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200" w:type="dxa"/>
            <w:tcBorders>
              <w:top w:val="nil"/>
              <w:left w:val="nil"/>
              <w:bottom w:val="nil"/>
              <w:right w:val="nil"/>
            </w:tcBorders>
            <w:shd w:val="clear" w:color="auto" w:fill="auto"/>
            <w:noWrap/>
            <w:vAlign w:val="bottom"/>
            <w:hideMark/>
          </w:tcPr>
          <w:p w14:paraId="1046BBD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1.3</w:t>
            </w:r>
          </w:p>
        </w:tc>
        <w:tc>
          <w:tcPr>
            <w:tcW w:w="400" w:type="dxa"/>
            <w:tcBorders>
              <w:top w:val="nil"/>
              <w:left w:val="nil"/>
              <w:bottom w:val="nil"/>
              <w:right w:val="nil"/>
            </w:tcBorders>
            <w:shd w:val="clear" w:color="auto" w:fill="auto"/>
            <w:noWrap/>
            <w:vAlign w:val="bottom"/>
            <w:hideMark/>
          </w:tcPr>
          <w:p w14:paraId="04A0CD6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27F46E9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1.7</w:t>
            </w:r>
          </w:p>
        </w:tc>
      </w:tr>
      <w:tr w:rsidR="00CB49ED" w:rsidRPr="002D7DCB" w14:paraId="4CEBE241" w14:textId="77777777" w:rsidTr="009C4E41">
        <w:trPr>
          <w:trHeight w:val="300"/>
        </w:trPr>
        <w:tc>
          <w:tcPr>
            <w:tcW w:w="1107" w:type="dxa"/>
            <w:tcBorders>
              <w:top w:val="nil"/>
              <w:left w:val="nil"/>
              <w:bottom w:val="nil"/>
              <w:right w:val="nil"/>
            </w:tcBorders>
            <w:shd w:val="clear" w:color="auto" w:fill="auto"/>
            <w:noWrap/>
            <w:vAlign w:val="bottom"/>
            <w:hideMark/>
          </w:tcPr>
          <w:p w14:paraId="786DC4D2"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Sweden</w:t>
            </w:r>
          </w:p>
        </w:tc>
        <w:tc>
          <w:tcPr>
            <w:tcW w:w="1200" w:type="dxa"/>
            <w:tcBorders>
              <w:top w:val="nil"/>
              <w:left w:val="nil"/>
              <w:bottom w:val="nil"/>
              <w:right w:val="nil"/>
            </w:tcBorders>
            <w:shd w:val="clear" w:color="auto" w:fill="auto"/>
            <w:noWrap/>
            <w:vAlign w:val="bottom"/>
            <w:hideMark/>
          </w:tcPr>
          <w:p w14:paraId="2624A467"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66C3BD7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E49357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62" w:type="dxa"/>
            <w:tcBorders>
              <w:top w:val="nil"/>
              <w:left w:val="nil"/>
              <w:bottom w:val="nil"/>
              <w:right w:val="nil"/>
            </w:tcBorders>
            <w:shd w:val="clear" w:color="auto" w:fill="auto"/>
            <w:noWrap/>
            <w:vAlign w:val="bottom"/>
            <w:hideMark/>
          </w:tcPr>
          <w:p w14:paraId="59959E0D"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5BDD47F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531FAAF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40" w:type="dxa"/>
            <w:tcBorders>
              <w:top w:val="nil"/>
              <w:left w:val="nil"/>
              <w:bottom w:val="nil"/>
              <w:right w:val="nil"/>
            </w:tcBorders>
            <w:shd w:val="clear" w:color="auto" w:fill="auto"/>
            <w:noWrap/>
            <w:vAlign w:val="bottom"/>
            <w:hideMark/>
          </w:tcPr>
          <w:p w14:paraId="00EFDCAC"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0CF1526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20F321C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200" w:type="dxa"/>
            <w:tcBorders>
              <w:top w:val="nil"/>
              <w:left w:val="nil"/>
              <w:bottom w:val="nil"/>
              <w:right w:val="nil"/>
            </w:tcBorders>
            <w:shd w:val="clear" w:color="auto" w:fill="auto"/>
            <w:noWrap/>
            <w:vAlign w:val="bottom"/>
            <w:hideMark/>
          </w:tcPr>
          <w:p w14:paraId="2A644F10"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6539E0A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86B717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r>
      <w:tr w:rsidR="00CB49ED" w:rsidRPr="002D7DCB" w14:paraId="5EDB7320" w14:textId="77777777" w:rsidTr="009C4E41">
        <w:trPr>
          <w:trHeight w:val="300"/>
        </w:trPr>
        <w:tc>
          <w:tcPr>
            <w:tcW w:w="1107" w:type="dxa"/>
            <w:tcBorders>
              <w:top w:val="nil"/>
              <w:left w:val="nil"/>
              <w:bottom w:val="nil"/>
              <w:right w:val="nil"/>
            </w:tcBorders>
            <w:shd w:val="clear" w:color="auto" w:fill="auto"/>
            <w:noWrap/>
            <w:vAlign w:val="bottom"/>
            <w:hideMark/>
          </w:tcPr>
          <w:p w14:paraId="1053A82A"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Switzerland</w:t>
            </w:r>
          </w:p>
        </w:tc>
        <w:tc>
          <w:tcPr>
            <w:tcW w:w="1200" w:type="dxa"/>
            <w:tcBorders>
              <w:top w:val="nil"/>
              <w:left w:val="nil"/>
              <w:bottom w:val="nil"/>
              <w:right w:val="nil"/>
            </w:tcBorders>
            <w:shd w:val="clear" w:color="auto" w:fill="auto"/>
            <w:noWrap/>
            <w:vAlign w:val="bottom"/>
            <w:hideMark/>
          </w:tcPr>
          <w:p w14:paraId="746710D9"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30FE3A8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241779C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62" w:type="dxa"/>
            <w:tcBorders>
              <w:top w:val="nil"/>
              <w:left w:val="nil"/>
              <w:bottom w:val="nil"/>
              <w:right w:val="nil"/>
            </w:tcBorders>
            <w:shd w:val="clear" w:color="auto" w:fill="auto"/>
            <w:noWrap/>
            <w:vAlign w:val="bottom"/>
            <w:hideMark/>
          </w:tcPr>
          <w:p w14:paraId="33A86884"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5EBE6EE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4AB0D9A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40" w:type="dxa"/>
            <w:tcBorders>
              <w:top w:val="nil"/>
              <w:left w:val="nil"/>
              <w:bottom w:val="nil"/>
              <w:right w:val="nil"/>
            </w:tcBorders>
            <w:shd w:val="clear" w:color="auto" w:fill="auto"/>
            <w:noWrap/>
            <w:vAlign w:val="bottom"/>
            <w:hideMark/>
          </w:tcPr>
          <w:p w14:paraId="7D999CD2"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0922325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7FF28F8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200" w:type="dxa"/>
            <w:tcBorders>
              <w:top w:val="nil"/>
              <w:left w:val="nil"/>
              <w:bottom w:val="nil"/>
              <w:right w:val="nil"/>
            </w:tcBorders>
            <w:shd w:val="clear" w:color="auto" w:fill="auto"/>
            <w:noWrap/>
            <w:vAlign w:val="bottom"/>
            <w:hideMark/>
          </w:tcPr>
          <w:p w14:paraId="1778BF94"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0E5A57B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3AE42E9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r w:rsidR="00CB49ED" w:rsidRPr="002D7DCB" w14:paraId="52333F87" w14:textId="77777777" w:rsidTr="009C4E41">
        <w:trPr>
          <w:trHeight w:val="300"/>
        </w:trPr>
        <w:tc>
          <w:tcPr>
            <w:tcW w:w="1107" w:type="dxa"/>
            <w:tcBorders>
              <w:top w:val="nil"/>
              <w:left w:val="nil"/>
              <w:bottom w:val="single" w:sz="4" w:space="0" w:color="auto"/>
              <w:right w:val="nil"/>
            </w:tcBorders>
            <w:shd w:val="clear" w:color="auto" w:fill="auto"/>
            <w:noWrap/>
            <w:vAlign w:val="bottom"/>
            <w:hideMark/>
          </w:tcPr>
          <w:p w14:paraId="23DC7588"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UK</w:t>
            </w:r>
          </w:p>
        </w:tc>
        <w:tc>
          <w:tcPr>
            <w:tcW w:w="1200" w:type="dxa"/>
            <w:tcBorders>
              <w:top w:val="nil"/>
              <w:left w:val="nil"/>
              <w:bottom w:val="single" w:sz="4" w:space="0" w:color="auto"/>
              <w:right w:val="nil"/>
            </w:tcBorders>
            <w:shd w:val="clear" w:color="auto" w:fill="auto"/>
            <w:noWrap/>
            <w:vAlign w:val="bottom"/>
            <w:hideMark/>
          </w:tcPr>
          <w:p w14:paraId="5B95B341"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single" w:sz="4" w:space="0" w:color="auto"/>
              <w:right w:val="nil"/>
            </w:tcBorders>
            <w:shd w:val="clear" w:color="auto" w:fill="auto"/>
            <w:noWrap/>
            <w:vAlign w:val="bottom"/>
            <w:hideMark/>
          </w:tcPr>
          <w:p w14:paraId="190A9E1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single" w:sz="4" w:space="0" w:color="auto"/>
              <w:right w:val="nil"/>
            </w:tcBorders>
            <w:shd w:val="clear" w:color="auto" w:fill="auto"/>
            <w:noWrap/>
            <w:vAlign w:val="bottom"/>
            <w:hideMark/>
          </w:tcPr>
          <w:p w14:paraId="475F3A7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62" w:type="dxa"/>
            <w:tcBorders>
              <w:top w:val="nil"/>
              <w:left w:val="nil"/>
              <w:bottom w:val="single" w:sz="4" w:space="0" w:color="auto"/>
              <w:right w:val="nil"/>
            </w:tcBorders>
            <w:shd w:val="clear" w:color="auto" w:fill="auto"/>
            <w:noWrap/>
            <w:vAlign w:val="bottom"/>
            <w:hideMark/>
          </w:tcPr>
          <w:p w14:paraId="2B528880"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single" w:sz="4" w:space="0" w:color="auto"/>
              <w:right w:val="nil"/>
            </w:tcBorders>
            <w:shd w:val="clear" w:color="auto" w:fill="auto"/>
            <w:noWrap/>
            <w:vAlign w:val="bottom"/>
            <w:hideMark/>
          </w:tcPr>
          <w:p w14:paraId="184B62D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single" w:sz="4" w:space="0" w:color="auto"/>
              <w:right w:val="nil"/>
            </w:tcBorders>
            <w:shd w:val="clear" w:color="auto" w:fill="auto"/>
            <w:noWrap/>
            <w:vAlign w:val="bottom"/>
            <w:hideMark/>
          </w:tcPr>
          <w:p w14:paraId="1F1C228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c>
          <w:tcPr>
            <w:tcW w:w="1040" w:type="dxa"/>
            <w:tcBorders>
              <w:top w:val="nil"/>
              <w:left w:val="nil"/>
              <w:bottom w:val="single" w:sz="4" w:space="0" w:color="auto"/>
              <w:right w:val="nil"/>
            </w:tcBorders>
            <w:shd w:val="clear" w:color="auto" w:fill="auto"/>
            <w:noWrap/>
            <w:vAlign w:val="bottom"/>
            <w:hideMark/>
          </w:tcPr>
          <w:p w14:paraId="156687DE"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0.8</w:t>
            </w:r>
          </w:p>
        </w:tc>
        <w:tc>
          <w:tcPr>
            <w:tcW w:w="400" w:type="dxa"/>
            <w:tcBorders>
              <w:top w:val="nil"/>
              <w:left w:val="nil"/>
              <w:bottom w:val="single" w:sz="4" w:space="0" w:color="auto"/>
              <w:right w:val="nil"/>
            </w:tcBorders>
            <w:shd w:val="clear" w:color="auto" w:fill="auto"/>
            <w:noWrap/>
            <w:vAlign w:val="bottom"/>
            <w:hideMark/>
          </w:tcPr>
          <w:p w14:paraId="197700C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0.6</w:t>
            </w:r>
          </w:p>
        </w:tc>
        <w:tc>
          <w:tcPr>
            <w:tcW w:w="400" w:type="dxa"/>
            <w:tcBorders>
              <w:top w:val="nil"/>
              <w:left w:val="nil"/>
              <w:bottom w:val="single" w:sz="4" w:space="0" w:color="auto"/>
              <w:right w:val="nil"/>
            </w:tcBorders>
            <w:shd w:val="clear" w:color="auto" w:fill="auto"/>
            <w:noWrap/>
            <w:vAlign w:val="bottom"/>
            <w:hideMark/>
          </w:tcPr>
          <w:p w14:paraId="0566984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200" w:type="dxa"/>
            <w:tcBorders>
              <w:top w:val="nil"/>
              <w:left w:val="nil"/>
              <w:bottom w:val="single" w:sz="4" w:space="0" w:color="auto"/>
              <w:right w:val="nil"/>
            </w:tcBorders>
            <w:shd w:val="clear" w:color="auto" w:fill="auto"/>
            <w:noWrap/>
            <w:vAlign w:val="bottom"/>
            <w:hideMark/>
          </w:tcPr>
          <w:p w14:paraId="4BEDCE63"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single" w:sz="4" w:space="0" w:color="auto"/>
              <w:right w:val="nil"/>
            </w:tcBorders>
            <w:shd w:val="clear" w:color="auto" w:fill="auto"/>
            <w:noWrap/>
            <w:vAlign w:val="bottom"/>
            <w:hideMark/>
          </w:tcPr>
          <w:p w14:paraId="7D1394F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single" w:sz="4" w:space="0" w:color="auto"/>
              <w:right w:val="nil"/>
            </w:tcBorders>
            <w:shd w:val="clear" w:color="auto" w:fill="auto"/>
            <w:noWrap/>
            <w:vAlign w:val="bottom"/>
            <w:hideMark/>
          </w:tcPr>
          <w:p w14:paraId="7345A76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r>
    </w:tbl>
    <w:p w14:paraId="131911A9" w14:textId="77777777" w:rsidR="00CB49ED" w:rsidRPr="009C69EB" w:rsidRDefault="00CB49ED" w:rsidP="00CB49ED">
      <w:pPr>
        <w:pStyle w:val="NoSpacing"/>
        <w:rPr>
          <w:rFonts w:ascii="Times New Roman" w:hAnsi="Times New Roman" w:cs="Times New Roman"/>
          <w:sz w:val="24"/>
          <w:szCs w:val="24"/>
          <w:lang w:val="en-GB"/>
        </w:rPr>
      </w:pPr>
      <w:r w:rsidRPr="009C69EB">
        <w:rPr>
          <w:rFonts w:ascii="Times New Roman" w:hAnsi="Times New Roman" w:cs="Times New Roman"/>
          <w:sz w:val="24"/>
          <w:szCs w:val="24"/>
          <w:lang w:val="en-GB"/>
        </w:rPr>
        <w:t>*p &lt; 0.1</w:t>
      </w:r>
      <w:r>
        <w:rPr>
          <w:rFonts w:ascii="Times New Roman" w:hAnsi="Times New Roman" w:cs="Times New Roman"/>
          <w:sz w:val="24"/>
          <w:szCs w:val="24"/>
          <w:lang w:val="en-GB"/>
        </w:rPr>
        <w:t>.</w:t>
      </w:r>
      <w:r w:rsidRPr="009C69EB">
        <w:rPr>
          <w:rFonts w:ascii="Times New Roman" w:hAnsi="Times New Roman" w:cs="Times New Roman"/>
          <w:sz w:val="24"/>
          <w:szCs w:val="24"/>
          <w:lang w:val="en-GB"/>
        </w:rPr>
        <w:t xml:space="preserve"> </w:t>
      </w:r>
    </w:p>
    <w:p w14:paraId="43C73E49" w14:textId="77777777" w:rsidR="00CB49ED" w:rsidRPr="009C69EB" w:rsidRDefault="00CB49ED" w:rsidP="00D73B69">
      <w:pPr>
        <w:pStyle w:val="NoSpacing"/>
        <w:rPr>
          <w:rFonts w:ascii="Times New Roman" w:hAnsi="Times New Roman" w:cs="Times New Roman"/>
          <w:i/>
          <w:sz w:val="24"/>
          <w:szCs w:val="24"/>
          <w:lang w:val="en-GB"/>
        </w:rPr>
      </w:pPr>
    </w:p>
    <w:p w14:paraId="4DAD51B5" w14:textId="77777777" w:rsidR="00E25BDB" w:rsidRPr="009C69EB" w:rsidRDefault="00E25BDB" w:rsidP="00D73B69">
      <w:pPr>
        <w:pStyle w:val="NoSpacing"/>
        <w:rPr>
          <w:rFonts w:ascii="Times New Roman" w:hAnsi="Times New Roman" w:cs="Times New Roman"/>
          <w:sz w:val="24"/>
          <w:szCs w:val="24"/>
          <w:lang w:val="en-GB"/>
        </w:rPr>
      </w:pPr>
    </w:p>
    <w:p w14:paraId="0C0D0BB3" w14:textId="77777777" w:rsidR="00E25BDB" w:rsidRPr="009C69EB" w:rsidRDefault="00E25BDB" w:rsidP="00D73B69">
      <w:pPr>
        <w:pStyle w:val="EndNoteBibliography"/>
        <w:jc w:val="center"/>
        <w:rPr>
          <w:rFonts w:ascii="Times New Roman" w:hAnsi="Times New Roman" w:cs="Times New Roman"/>
          <w:i/>
          <w:sz w:val="24"/>
          <w:szCs w:val="24"/>
          <w:lang w:val="en-GB"/>
        </w:rPr>
      </w:pPr>
    </w:p>
    <w:p w14:paraId="6B869430" w14:textId="77777777" w:rsidR="00E25BDB" w:rsidRPr="009C69EB" w:rsidRDefault="00E25BDB" w:rsidP="00D73B69">
      <w:pPr>
        <w:pStyle w:val="EndNoteBibliography"/>
        <w:jc w:val="center"/>
        <w:rPr>
          <w:rFonts w:ascii="Times New Roman" w:hAnsi="Times New Roman" w:cs="Times New Roman"/>
          <w:i/>
          <w:sz w:val="24"/>
          <w:szCs w:val="24"/>
          <w:lang w:val="en-GB"/>
        </w:rPr>
      </w:pPr>
    </w:p>
    <w:p w14:paraId="24EFDE30" w14:textId="77777777" w:rsidR="00E25BDB" w:rsidRPr="009C69EB" w:rsidRDefault="00E25BDB" w:rsidP="00D73B69">
      <w:pPr>
        <w:pStyle w:val="EndNoteBibliography"/>
        <w:jc w:val="center"/>
        <w:rPr>
          <w:rFonts w:ascii="Times New Roman" w:hAnsi="Times New Roman" w:cs="Times New Roman"/>
          <w:i/>
          <w:sz w:val="24"/>
          <w:szCs w:val="24"/>
          <w:lang w:val="en-GB"/>
        </w:rPr>
      </w:pPr>
    </w:p>
    <w:p w14:paraId="212BAEE2" w14:textId="77777777" w:rsidR="00E25BDB" w:rsidRPr="009C69EB" w:rsidRDefault="00E25BDB" w:rsidP="00D73B69">
      <w:pPr>
        <w:pStyle w:val="EndNoteBibliography"/>
        <w:jc w:val="center"/>
        <w:rPr>
          <w:rFonts w:ascii="Times New Roman" w:hAnsi="Times New Roman" w:cs="Times New Roman"/>
          <w:i/>
          <w:sz w:val="24"/>
          <w:szCs w:val="24"/>
          <w:lang w:val="en-GB"/>
        </w:rPr>
      </w:pPr>
    </w:p>
    <w:p w14:paraId="23E0C69B" w14:textId="77777777" w:rsidR="00E25BDB" w:rsidRPr="009C69EB" w:rsidRDefault="00E25BDB" w:rsidP="00D73B69">
      <w:pPr>
        <w:pStyle w:val="EndNoteBibliography"/>
        <w:jc w:val="center"/>
        <w:rPr>
          <w:rFonts w:ascii="Times New Roman" w:hAnsi="Times New Roman" w:cs="Times New Roman"/>
          <w:i/>
          <w:sz w:val="24"/>
          <w:szCs w:val="24"/>
          <w:lang w:val="en-GB"/>
        </w:rPr>
      </w:pPr>
    </w:p>
    <w:p w14:paraId="012FEC1F" w14:textId="77777777" w:rsidR="00E25BDB" w:rsidRPr="009C69EB" w:rsidRDefault="00E25BDB" w:rsidP="00D73B69">
      <w:pPr>
        <w:pStyle w:val="EndNoteBibliography"/>
        <w:jc w:val="center"/>
        <w:rPr>
          <w:rFonts w:ascii="Times New Roman" w:hAnsi="Times New Roman" w:cs="Times New Roman"/>
          <w:i/>
          <w:sz w:val="24"/>
          <w:szCs w:val="24"/>
          <w:lang w:val="en-GB"/>
        </w:rPr>
      </w:pPr>
    </w:p>
    <w:p w14:paraId="26822380" w14:textId="77777777" w:rsidR="00E25BDB" w:rsidRPr="009C69EB" w:rsidRDefault="00E25BDB" w:rsidP="00D73B69">
      <w:pPr>
        <w:pStyle w:val="EndNoteBibliography"/>
        <w:jc w:val="center"/>
        <w:rPr>
          <w:rFonts w:ascii="Times New Roman" w:hAnsi="Times New Roman" w:cs="Times New Roman"/>
          <w:i/>
          <w:sz w:val="24"/>
          <w:szCs w:val="24"/>
          <w:lang w:val="en-GB"/>
        </w:rPr>
      </w:pPr>
    </w:p>
    <w:p w14:paraId="6998AEDB" w14:textId="77777777" w:rsidR="00E25BDB" w:rsidRPr="009C69EB" w:rsidRDefault="00E25BDB" w:rsidP="00D73B69">
      <w:pPr>
        <w:pStyle w:val="EndNoteBibliography"/>
        <w:jc w:val="center"/>
        <w:rPr>
          <w:rFonts w:ascii="Times New Roman" w:hAnsi="Times New Roman" w:cs="Times New Roman"/>
          <w:i/>
          <w:sz w:val="24"/>
          <w:szCs w:val="24"/>
          <w:lang w:val="en-GB"/>
        </w:rPr>
      </w:pPr>
    </w:p>
    <w:p w14:paraId="2178E63C" w14:textId="77777777" w:rsidR="00E25BDB" w:rsidRPr="009C69EB" w:rsidRDefault="00E25BDB" w:rsidP="00D73B69">
      <w:pPr>
        <w:pStyle w:val="EndNoteBibliography"/>
        <w:jc w:val="center"/>
        <w:rPr>
          <w:rFonts w:ascii="Times New Roman" w:hAnsi="Times New Roman" w:cs="Times New Roman"/>
          <w:i/>
          <w:sz w:val="24"/>
          <w:szCs w:val="24"/>
          <w:lang w:val="en-GB"/>
        </w:rPr>
      </w:pPr>
    </w:p>
    <w:p w14:paraId="5A4A52B9" w14:textId="77777777" w:rsidR="00E25BDB" w:rsidRPr="009C69EB" w:rsidRDefault="00E25BDB" w:rsidP="00D73B69">
      <w:pPr>
        <w:pStyle w:val="NoSpacing"/>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Appendix</w:t>
      </w:r>
      <w:r w:rsidR="009B2E33">
        <w:rPr>
          <w:rFonts w:ascii="Times New Roman" w:hAnsi="Times New Roman" w:cs="Times New Roman"/>
          <w:b/>
          <w:sz w:val="28"/>
          <w:szCs w:val="28"/>
          <w:lang w:val="en-GB"/>
        </w:rPr>
        <w:t xml:space="preserve"> 2</w:t>
      </w:r>
      <w:r>
        <w:rPr>
          <w:rFonts w:ascii="Times New Roman" w:hAnsi="Times New Roman" w:cs="Times New Roman"/>
          <w:b/>
          <w:sz w:val="28"/>
          <w:szCs w:val="28"/>
          <w:lang w:val="en-GB"/>
        </w:rPr>
        <w:t xml:space="preserve">: </w:t>
      </w:r>
      <w:r w:rsidRPr="009C69EB">
        <w:rPr>
          <w:rFonts w:ascii="Times New Roman" w:hAnsi="Times New Roman" w:cs="Times New Roman"/>
          <w:b/>
          <w:sz w:val="28"/>
          <w:szCs w:val="28"/>
          <w:lang w:val="en-GB"/>
        </w:rPr>
        <w:t>Adjusted risk ratios (ARRs)</w:t>
      </w:r>
    </w:p>
    <w:p w14:paraId="7054782B" w14:textId="77777777" w:rsidR="00E25BDB" w:rsidRPr="009C69EB" w:rsidRDefault="00E25BDB" w:rsidP="00D73B69">
      <w:pPr>
        <w:pStyle w:val="NoSpacing"/>
        <w:rPr>
          <w:rFonts w:ascii="Times New Roman" w:hAnsi="Times New Roman" w:cs="Times New Roman"/>
          <w:i/>
          <w:sz w:val="24"/>
          <w:szCs w:val="24"/>
          <w:lang w:val="en-GB"/>
        </w:rPr>
      </w:pPr>
    </w:p>
    <w:p w14:paraId="7392F836" w14:textId="77777777" w:rsidR="00E25BDB" w:rsidRPr="009C69EB" w:rsidRDefault="00E25BDB" w:rsidP="00D73B69">
      <w:pPr>
        <w:pStyle w:val="NoSpacing"/>
        <w:rPr>
          <w:rFonts w:ascii="Times New Roman" w:hAnsi="Times New Roman" w:cs="Times New Roman"/>
          <w:i/>
          <w:sz w:val="24"/>
          <w:szCs w:val="24"/>
          <w:lang w:val="en-GB"/>
        </w:rPr>
      </w:pPr>
      <w:r w:rsidRPr="009C69EB">
        <w:rPr>
          <w:rFonts w:ascii="Times New Roman" w:hAnsi="Times New Roman" w:cs="Times New Roman"/>
          <w:i/>
          <w:sz w:val="24"/>
          <w:szCs w:val="24"/>
          <w:lang w:val="en-GB"/>
        </w:rPr>
        <w:t>Table 4: Inequalities (ARRs) in specialist use by financial strain, occupation, education and social network</w:t>
      </w:r>
      <w:r>
        <w:rPr>
          <w:rFonts w:ascii="Times New Roman" w:hAnsi="Times New Roman" w:cs="Times New Roman"/>
          <w:i/>
          <w:sz w:val="24"/>
          <w:szCs w:val="24"/>
          <w:lang w:val="en-GB"/>
        </w:rPr>
        <w:t>s</w:t>
      </w:r>
      <w:r w:rsidRPr="009C69EB">
        <w:rPr>
          <w:rFonts w:ascii="Times New Roman" w:hAnsi="Times New Roman" w:cs="Times New Roman"/>
          <w:i/>
          <w:sz w:val="24"/>
          <w:szCs w:val="24"/>
          <w:lang w:val="en-GB"/>
        </w:rPr>
        <w:t xml:space="preserve">. </w:t>
      </w:r>
    </w:p>
    <w:p w14:paraId="684933B7" w14:textId="77777777" w:rsidR="00E25BDB" w:rsidRDefault="00E25BDB" w:rsidP="00D73B69">
      <w:pPr>
        <w:pStyle w:val="NoSpacing"/>
        <w:rPr>
          <w:rFonts w:ascii="Times New Roman" w:hAnsi="Times New Roman" w:cs="Times New Roman"/>
          <w:sz w:val="24"/>
          <w:szCs w:val="24"/>
          <w:lang w:val="en-GB"/>
        </w:rPr>
      </w:pPr>
    </w:p>
    <w:p w14:paraId="5B51D64F" w14:textId="77777777" w:rsidR="00CB49ED" w:rsidRDefault="00CB49ED" w:rsidP="00CB49ED">
      <w:pPr>
        <w:pStyle w:val="NoSpacing"/>
        <w:rPr>
          <w:rFonts w:ascii="Times New Roman" w:hAnsi="Times New Roman" w:cs="Times New Roman"/>
          <w:sz w:val="24"/>
          <w:szCs w:val="24"/>
          <w:lang w:val="en-GB"/>
        </w:rPr>
      </w:pPr>
    </w:p>
    <w:tbl>
      <w:tblPr>
        <w:tblW w:w="8809" w:type="dxa"/>
        <w:tblInd w:w="55" w:type="dxa"/>
        <w:tblCellMar>
          <w:left w:w="70" w:type="dxa"/>
          <w:right w:w="70" w:type="dxa"/>
        </w:tblCellMar>
        <w:tblLook w:val="04A0" w:firstRow="1" w:lastRow="0" w:firstColumn="1" w:lastColumn="0" w:noHBand="0" w:noVBand="1"/>
      </w:tblPr>
      <w:tblGrid>
        <w:gridCol w:w="1107"/>
        <w:gridCol w:w="1200"/>
        <w:gridCol w:w="400"/>
        <w:gridCol w:w="400"/>
        <w:gridCol w:w="1062"/>
        <w:gridCol w:w="400"/>
        <w:gridCol w:w="400"/>
        <w:gridCol w:w="1040"/>
        <w:gridCol w:w="400"/>
        <w:gridCol w:w="400"/>
        <w:gridCol w:w="1200"/>
        <w:gridCol w:w="400"/>
        <w:gridCol w:w="400"/>
      </w:tblGrid>
      <w:tr w:rsidR="00CB49ED" w:rsidRPr="00CE6AFA" w14:paraId="75C911EE" w14:textId="77777777" w:rsidTr="009C4E41">
        <w:trPr>
          <w:trHeight w:val="300"/>
        </w:trPr>
        <w:tc>
          <w:tcPr>
            <w:tcW w:w="1107" w:type="dxa"/>
            <w:tcBorders>
              <w:top w:val="single" w:sz="4" w:space="0" w:color="auto"/>
              <w:left w:val="nil"/>
              <w:bottom w:val="single" w:sz="4" w:space="0" w:color="auto"/>
              <w:right w:val="nil"/>
            </w:tcBorders>
            <w:shd w:val="clear" w:color="auto" w:fill="auto"/>
            <w:noWrap/>
            <w:vAlign w:val="bottom"/>
            <w:hideMark/>
          </w:tcPr>
          <w:p w14:paraId="6D9784F0" w14:textId="77777777" w:rsidR="00CB49ED" w:rsidRPr="006874F2" w:rsidRDefault="00CB49ED" w:rsidP="009C4E41">
            <w:pPr>
              <w:spacing w:after="0" w:line="240" w:lineRule="auto"/>
              <w:rPr>
                <w:rFonts w:ascii="Times New Roman" w:eastAsia="Times New Roman" w:hAnsi="Times New Roman" w:cs="Times New Roman"/>
                <w:sz w:val="20"/>
                <w:szCs w:val="20"/>
                <w:lang w:val="en-US" w:eastAsia="nb-NO"/>
              </w:rPr>
            </w:pPr>
            <w:r w:rsidRPr="006874F2">
              <w:rPr>
                <w:rFonts w:ascii="Times New Roman" w:eastAsia="Times New Roman" w:hAnsi="Times New Roman" w:cs="Times New Roman"/>
                <w:sz w:val="20"/>
                <w:szCs w:val="20"/>
                <w:lang w:val="en-US" w:eastAsia="nb-NO"/>
              </w:rPr>
              <w:t> </w:t>
            </w:r>
          </w:p>
        </w:tc>
        <w:tc>
          <w:tcPr>
            <w:tcW w:w="1200" w:type="dxa"/>
            <w:tcBorders>
              <w:top w:val="single" w:sz="4" w:space="0" w:color="auto"/>
              <w:left w:val="nil"/>
              <w:bottom w:val="single" w:sz="4" w:space="0" w:color="auto"/>
              <w:right w:val="nil"/>
            </w:tcBorders>
            <w:shd w:val="clear" w:color="auto" w:fill="auto"/>
            <w:noWrap/>
            <w:vAlign w:val="bottom"/>
            <w:hideMark/>
          </w:tcPr>
          <w:p w14:paraId="68D3EF22" w14:textId="77777777" w:rsidR="00CB49ED" w:rsidRPr="00CE6AFA" w:rsidRDefault="00CB49ED" w:rsidP="009C4E41">
            <w:pPr>
              <w:spacing w:after="0" w:line="240" w:lineRule="auto"/>
              <w:jc w:val="center"/>
              <w:rPr>
                <w:rFonts w:ascii="Times New Roman" w:eastAsia="Times New Roman" w:hAnsi="Times New Roman" w:cs="Times New Roman"/>
                <w:sz w:val="20"/>
                <w:szCs w:val="20"/>
                <w:lang w:eastAsia="nb-NO"/>
              </w:rPr>
            </w:pPr>
            <w:r w:rsidRPr="00CE6AFA">
              <w:rPr>
                <w:rFonts w:ascii="Times New Roman" w:eastAsia="Times New Roman" w:hAnsi="Times New Roman" w:cs="Times New Roman"/>
                <w:sz w:val="20"/>
                <w:szCs w:val="20"/>
                <w:lang w:eastAsia="nb-NO"/>
              </w:rPr>
              <w:t>Financial strain</w:t>
            </w:r>
          </w:p>
        </w:tc>
        <w:tc>
          <w:tcPr>
            <w:tcW w:w="400" w:type="dxa"/>
            <w:tcBorders>
              <w:top w:val="single" w:sz="4" w:space="0" w:color="auto"/>
              <w:left w:val="nil"/>
              <w:bottom w:val="single" w:sz="4" w:space="0" w:color="auto"/>
              <w:right w:val="nil"/>
            </w:tcBorders>
            <w:shd w:val="clear" w:color="auto" w:fill="auto"/>
            <w:noWrap/>
            <w:vAlign w:val="bottom"/>
            <w:hideMark/>
          </w:tcPr>
          <w:p w14:paraId="2589E69C" w14:textId="77777777" w:rsidR="00CB49ED" w:rsidRPr="00CE6AFA"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CE6AFA">
              <w:rPr>
                <w:rFonts w:ascii="Times New Roman" w:eastAsia="Times New Roman" w:hAnsi="Times New Roman" w:cs="Times New Roman"/>
                <w:color w:val="000000"/>
                <w:sz w:val="20"/>
                <w:szCs w:val="20"/>
                <w:lang w:eastAsia="nb-NO"/>
              </w:rPr>
              <w:t>CI</w:t>
            </w:r>
          </w:p>
        </w:tc>
        <w:tc>
          <w:tcPr>
            <w:tcW w:w="400" w:type="dxa"/>
            <w:tcBorders>
              <w:top w:val="single" w:sz="4" w:space="0" w:color="auto"/>
              <w:left w:val="nil"/>
              <w:bottom w:val="single" w:sz="4" w:space="0" w:color="auto"/>
              <w:right w:val="nil"/>
            </w:tcBorders>
            <w:shd w:val="clear" w:color="auto" w:fill="auto"/>
            <w:noWrap/>
            <w:vAlign w:val="bottom"/>
            <w:hideMark/>
          </w:tcPr>
          <w:p w14:paraId="3660C0CB" w14:textId="77777777" w:rsidR="00CB49ED" w:rsidRPr="00CE6AFA"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CE6AFA">
              <w:rPr>
                <w:rFonts w:ascii="Times New Roman" w:eastAsia="Times New Roman" w:hAnsi="Times New Roman" w:cs="Times New Roman"/>
                <w:color w:val="000000"/>
                <w:sz w:val="20"/>
                <w:szCs w:val="20"/>
                <w:lang w:eastAsia="nb-NO"/>
              </w:rPr>
              <w:t>CI</w:t>
            </w:r>
          </w:p>
        </w:tc>
        <w:tc>
          <w:tcPr>
            <w:tcW w:w="1062" w:type="dxa"/>
            <w:tcBorders>
              <w:top w:val="single" w:sz="4" w:space="0" w:color="auto"/>
              <w:left w:val="nil"/>
              <w:bottom w:val="single" w:sz="4" w:space="0" w:color="auto"/>
              <w:right w:val="nil"/>
            </w:tcBorders>
            <w:shd w:val="clear" w:color="auto" w:fill="auto"/>
            <w:noWrap/>
            <w:vAlign w:val="bottom"/>
            <w:hideMark/>
          </w:tcPr>
          <w:p w14:paraId="38D10895" w14:textId="77777777" w:rsidR="00CB49ED" w:rsidRPr="00CE6AFA" w:rsidRDefault="00CB49ED" w:rsidP="009C4E41">
            <w:pPr>
              <w:spacing w:after="0" w:line="240" w:lineRule="auto"/>
              <w:jc w:val="center"/>
              <w:rPr>
                <w:rFonts w:ascii="Times New Roman" w:eastAsia="Times New Roman" w:hAnsi="Times New Roman" w:cs="Times New Roman"/>
                <w:sz w:val="20"/>
                <w:szCs w:val="20"/>
                <w:lang w:eastAsia="nb-NO"/>
              </w:rPr>
            </w:pPr>
            <w:r w:rsidRPr="00CE6AFA">
              <w:rPr>
                <w:rFonts w:ascii="Times New Roman" w:eastAsia="Times New Roman" w:hAnsi="Times New Roman" w:cs="Times New Roman"/>
                <w:sz w:val="20"/>
                <w:szCs w:val="20"/>
                <w:lang w:eastAsia="nb-NO"/>
              </w:rPr>
              <w:t>Occupation</w:t>
            </w:r>
          </w:p>
        </w:tc>
        <w:tc>
          <w:tcPr>
            <w:tcW w:w="400" w:type="dxa"/>
            <w:tcBorders>
              <w:top w:val="single" w:sz="4" w:space="0" w:color="auto"/>
              <w:left w:val="nil"/>
              <w:bottom w:val="single" w:sz="4" w:space="0" w:color="auto"/>
              <w:right w:val="nil"/>
            </w:tcBorders>
            <w:shd w:val="clear" w:color="auto" w:fill="auto"/>
            <w:noWrap/>
            <w:vAlign w:val="bottom"/>
            <w:hideMark/>
          </w:tcPr>
          <w:p w14:paraId="464317FE" w14:textId="77777777" w:rsidR="00CB49ED" w:rsidRPr="00CE6AFA"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CE6AFA">
              <w:rPr>
                <w:rFonts w:ascii="Times New Roman" w:eastAsia="Times New Roman" w:hAnsi="Times New Roman" w:cs="Times New Roman"/>
                <w:color w:val="000000"/>
                <w:sz w:val="20"/>
                <w:szCs w:val="20"/>
                <w:lang w:eastAsia="nb-NO"/>
              </w:rPr>
              <w:t>CI</w:t>
            </w:r>
          </w:p>
        </w:tc>
        <w:tc>
          <w:tcPr>
            <w:tcW w:w="400" w:type="dxa"/>
            <w:tcBorders>
              <w:top w:val="single" w:sz="4" w:space="0" w:color="auto"/>
              <w:left w:val="nil"/>
              <w:bottom w:val="single" w:sz="4" w:space="0" w:color="auto"/>
              <w:right w:val="nil"/>
            </w:tcBorders>
            <w:shd w:val="clear" w:color="auto" w:fill="auto"/>
            <w:noWrap/>
            <w:vAlign w:val="bottom"/>
            <w:hideMark/>
          </w:tcPr>
          <w:p w14:paraId="16FC3947" w14:textId="77777777" w:rsidR="00CB49ED" w:rsidRPr="00CE6AFA"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CE6AFA">
              <w:rPr>
                <w:rFonts w:ascii="Times New Roman" w:eastAsia="Times New Roman" w:hAnsi="Times New Roman" w:cs="Times New Roman"/>
                <w:color w:val="000000"/>
                <w:sz w:val="20"/>
                <w:szCs w:val="20"/>
                <w:lang w:eastAsia="nb-NO"/>
              </w:rPr>
              <w:t>CI</w:t>
            </w:r>
          </w:p>
        </w:tc>
        <w:tc>
          <w:tcPr>
            <w:tcW w:w="1040" w:type="dxa"/>
            <w:tcBorders>
              <w:top w:val="single" w:sz="4" w:space="0" w:color="auto"/>
              <w:left w:val="nil"/>
              <w:bottom w:val="single" w:sz="4" w:space="0" w:color="auto"/>
              <w:right w:val="nil"/>
            </w:tcBorders>
            <w:shd w:val="clear" w:color="auto" w:fill="auto"/>
            <w:noWrap/>
            <w:vAlign w:val="bottom"/>
            <w:hideMark/>
          </w:tcPr>
          <w:p w14:paraId="652E0FA3" w14:textId="77777777" w:rsidR="00CB49ED" w:rsidRPr="00CE6AFA" w:rsidRDefault="00CB49ED" w:rsidP="009C4E41">
            <w:pPr>
              <w:spacing w:after="0" w:line="240" w:lineRule="auto"/>
              <w:jc w:val="center"/>
              <w:rPr>
                <w:rFonts w:ascii="Times New Roman" w:eastAsia="Times New Roman" w:hAnsi="Times New Roman" w:cs="Times New Roman"/>
                <w:sz w:val="20"/>
                <w:szCs w:val="20"/>
                <w:lang w:eastAsia="nb-NO"/>
              </w:rPr>
            </w:pPr>
            <w:r w:rsidRPr="00CE6AFA">
              <w:rPr>
                <w:rFonts w:ascii="Times New Roman" w:eastAsia="Times New Roman" w:hAnsi="Times New Roman" w:cs="Times New Roman"/>
                <w:sz w:val="20"/>
                <w:szCs w:val="20"/>
                <w:lang w:eastAsia="nb-NO"/>
              </w:rPr>
              <w:t>Education</w:t>
            </w:r>
          </w:p>
        </w:tc>
        <w:tc>
          <w:tcPr>
            <w:tcW w:w="400" w:type="dxa"/>
            <w:tcBorders>
              <w:top w:val="single" w:sz="4" w:space="0" w:color="auto"/>
              <w:left w:val="nil"/>
              <w:bottom w:val="single" w:sz="4" w:space="0" w:color="auto"/>
              <w:right w:val="nil"/>
            </w:tcBorders>
            <w:shd w:val="clear" w:color="auto" w:fill="auto"/>
            <w:noWrap/>
            <w:vAlign w:val="bottom"/>
            <w:hideMark/>
          </w:tcPr>
          <w:p w14:paraId="331ADEEB" w14:textId="77777777" w:rsidR="00CB49ED" w:rsidRPr="00CE6AFA"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CE6AFA">
              <w:rPr>
                <w:rFonts w:ascii="Times New Roman" w:eastAsia="Times New Roman" w:hAnsi="Times New Roman" w:cs="Times New Roman"/>
                <w:color w:val="000000"/>
                <w:sz w:val="20"/>
                <w:szCs w:val="20"/>
                <w:lang w:eastAsia="nb-NO"/>
              </w:rPr>
              <w:t>CI</w:t>
            </w:r>
          </w:p>
        </w:tc>
        <w:tc>
          <w:tcPr>
            <w:tcW w:w="400" w:type="dxa"/>
            <w:tcBorders>
              <w:top w:val="single" w:sz="4" w:space="0" w:color="auto"/>
              <w:left w:val="nil"/>
              <w:bottom w:val="single" w:sz="4" w:space="0" w:color="auto"/>
              <w:right w:val="nil"/>
            </w:tcBorders>
            <w:shd w:val="clear" w:color="auto" w:fill="auto"/>
            <w:noWrap/>
            <w:vAlign w:val="bottom"/>
            <w:hideMark/>
          </w:tcPr>
          <w:p w14:paraId="28E6BD22" w14:textId="77777777" w:rsidR="00CB49ED" w:rsidRPr="00CE6AFA"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CE6AFA">
              <w:rPr>
                <w:rFonts w:ascii="Times New Roman" w:eastAsia="Times New Roman" w:hAnsi="Times New Roman" w:cs="Times New Roman"/>
                <w:color w:val="000000"/>
                <w:sz w:val="20"/>
                <w:szCs w:val="20"/>
                <w:lang w:eastAsia="nb-NO"/>
              </w:rPr>
              <w:t>CI</w:t>
            </w:r>
          </w:p>
        </w:tc>
        <w:tc>
          <w:tcPr>
            <w:tcW w:w="1200" w:type="dxa"/>
            <w:tcBorders>
              <w:top w:val="single" w:sz="4" w:space="0" w:color="auto"/>
              <w:left w:val="nil"/>
              <w:bottom w:val="single" w:sz="4" w:space="0" w:color="auto"/>
              <w:right w:val="nil"/>
            </w:tcBorders>
            <w:shd w:val="clear" w:color="auto" w:fill="auto"/>
            <w:noWrap/>
            <w:vAlign w:val="bottom"/>
            <w:hideMark/>
          </w:tcPr>
          <w:p w14:paraId="36F27A13" w14:textId="77777777" w:rsidR="00CB49ED" w:rsidRPr="00CE6AFA" w:rsidRDefault="00CB49ED" w:rsidP="009C4E41">
            <w:pPr>
              <w:spacing w:after="0" w:line="240" w:lineRule="auto"/>
              <w:jc w:val="center"/>
              <w:rPr>
                <w:rFonts w:ascii="Times New Roman" w:eastAsia="Times New Roman" w:hAnsi="Times New Roman" w:cs="Times New Roman"/>
                <w:sz w:val="20"/>
                <w:szCs w:val="20"/>
                <w:lang w:eastAsia="nb-NO"/>
              </w:rPr>
            </w:pPr>
            <w:r w:rsidRPr="00CE6AFA">
              <w:rPr>
                <w:rFonts w:ascii="Times New Roman" w:eastAsia="Times New Roman" w:hAnsi="Times New Roman" w:cs="Times New Roman"/>
                <w:sz w:val="20"/>
                <w:szCs w:val="20"/>
                <w:lang w:eastAsia="nb-NO"/>
              </w:rPr>
              <w:t>Social networks</w:t>
            </w:r>
          </w:p>
        </w:tc>
        <w:tc>
          <w:tcPr>
            <w:tcW w:w="400" w:type="dxa"/>
            <w:tcBorders>
              <w:top w:val="single" w:sz="4" w:space="0" w:color="auto"/>
              <w:left w:val="nil"/>
              <w:bottom w:val="single" w:sz="4" w:space="0" w:color="auto"/>
              <w:right w:val="nil"/>
            </w:tcBorders>
            <w:shd w:val="clear" w:color="auto" w:fill="auto"/>
            <w:noWrap/>
            <w:vAlign w:val="bottom"/>
            <w:hideMark/>
          </w:tcPr>
          <w:p w14:paraId="0F41F1A3" w14:textId="77777777" w:rsidR="00CB49ED" w:rsidRPr="00CE6AFA"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CE6AFA">
              <w:rPr>
                <w:rFonts w:ascii="Times New Roman" w:eastAsia="Times New Roman" w:hAnsi="Times New Roman" w:cs="Times New Roman"/>
                <w:color w:val="000000"/>
                <w:sz w:val="20"/>
                <w:szCs w:val="20"/>
                <w:lang w:eastAsia="nb-NO"/>
              </w:rPr>
              <w:t>CI</w:t>
            </w:r>
          </w:p>
        </w:tc>
        <w:tc>
          <w:tcPr>
            <w:tcW w:w="400" w:type="dxa"/>
            <w:tcBorders>
              <w:top w:val="single" w:sz="4" w:space="0" w:color="auto"/>
              <w:left w:val="nil"/>
              <w:bottom w:val="single" w:sz="4" w:space="0" w:color="auto"/>
              <w:right w:val="nil"/>
            </w:tcBorders>
            <w:shd w:val="clear" w:color="auto" w:fill="auto"/>
            <w:noWrap/>
            <w:vAlign w:val="bottom"/>
            <w:hideMark/>
          </w:tcPr>
          <w:p w14:paraId="6FDFBFAC" w14:textId="77777777" w:rsidR="00CB49ED" w:rsidRPr="00CE6AFA"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CE6AFA">
              <w:rPr>
                <w:rFonts w:ascii="Times New Roman" w:eastAsia="Times New Roman" w:hAnsi="Times New Roman" w:cs="Times New Roman"/>
                <w:color w:val="000000"/>
                <w:sz w:val="20"/>
                <w:szCs w:val="20"/>
                <w:lang w:eastAsia="nb-NO"/>
              </w:rPr>
              <w:t>CI</w:t>
            </w:r>
          </w:p>
        </w:tc>
      </w:tr>
      <w:tr w:rsidR="00CB49ED" w:rsidRPr="00CE6AFA" w14:paraId="024AB4B4" w14:textId="77777777" w:rsidTr="009C4E41">
        <w:trPr>
          <w:trHeight w:val="300"/>
        </w:trPr>
        <w:tc>
          <w:tcPr>
            <w:tcW w:w="1107" w:type="dxa"/>
            <w:tcBorders>
              <w:top w:val="nil"/>
              <w:left w:val="nil"/>
              <w:bottom w:val="nil"/>
              <w:right w:val="nil"/>
            </w:tcBorders>
            <w:shd w:val="clear" w:color="auto" w:fill="auto"/>
            <w:noWrap/>
            <w:vAlign w:val="bottom"/>
            <w:hideMark/>
          </w:tcPr>
          <w:p w14:paraId="3DC1DFC2"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Austria</w:t>
            </w:r>
          </w:p>
        </w:tc>
        <w:tc>
          <w:tcPr>
            <w:tcW w:w="1200" w:type="dxa"/>
            <w:tcBorders>
              <w:top w:val="nil"/>
              <w:left w:val="nil"/>
              <w:bottom w:val="nil"/>
              <w:right w:val="nil"/>
            </w:tcBorders>
            <w:shd w:val="clear" w:color="auto" w:fill="auto"/>
            <w:noWrap/>
            <w:vAlign w:val="bottom"/>
            <w:hideMark/>
          </w:tcPr>
          <w:p w14:paraId="51B1D889"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2ECCEF6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070981B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62" w:type="dxa"/>
            <w:tcBorders>
              <w:top w:val="nil"/>
              <w:left w:val="nil"/>
              <w:bottom w:val="nil"/>
              <w:right w:val="nil"/>
            </w:tcBorders>
            <w:shd w:val="clear" w:color="auto" w:fill="auto"/>
            <w:noWrap/>
            <w:vAlign w:val="bottom"/>
            <w:hideMark/>
          </w:tcPr>
          <w:p w14:paraId="12C1F28B"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1.4*</w:t>
            </w:r>
          </w:p>
        </w:tc>
        <w:tc>
          <w:tcPr>
            <w:tcW w:w="400" w:type="dxa"/>
            <w:tcBorders>
              <w:top w:val="nil"/>
              <w:left w:val="nil"/>
              <w:bottom w:val="nil"/>
              <w:right w:val="nil"/>
            </w:tcBorders>
            <w:shd w:val="clear" w:color="auto" w:fill="auto"/>
            <w:noWrap/>
            <w:vAlign w:val="bottom"/>
            <w:hideMark/>
          </w:tcPr>
          <w:p w14:paraId="358286A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400" w:type="dxa"/>
            <w:tcBorders>
              <w:top w:val="nil"/>
              <w:left w:val="nil"/>
              <w:bottom w:val="nil"/>
              <w:right w:val="nil"/>
            </w:tcBorders>
            <w:shd w:val="clear" w:color="auto" w:fill="auto"/>
            <w:noWrap/>
            <w:vAlign w:val="bottom"/>
            <w:hideMark/>
          </w:tcPr>
          <w:p w14:paraId="6B748B6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1.6</w:t>
            </w:r>
          </w:p>
        </w:tc>
        <w:tc>
          <w:tcPr>
            <w:tcW w:w="1040" w:type="dxa"/>
            <w:tcBorders>
              <w:top w:val="nil"/>
              <w:left w:val="nil"/>
              <w:bottom w:val="nil"/>
              <w:right w:val="nil"/>
            </w:tcBorders>
            <w:shd w:val="clear" w:color="auto" w:fill="auto"/>
            <w:noWrap/>
            <w:vAlign w:val="bottom"/>
            <w:hideMark/>
          </w:tcPr>
          <w:p w14:paraId="71160833"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1.2*</w:t>
            </w:r>
          </w:p>
        </w:tc>
        <w:tc>
          <w:tcPr>
            <w:tcW w:w="400" w:type="dxa"/>
            <w:tcBorders>
              <w:top w:val="nil"/>
              <w:left w:val="nil"/>
              <w:bottom w:val="nil"/>
              <w:right w:val="nil"/>
            </w:tcBorders>
            <w:shd w:val="clear" w:color="auto" w:fill="auto"/>
            <w:noWrap/>
            <w:vAlign w:val="bottom"/>
            <w:hideMark/>
          </w:tcPr>
          <w:p w14:paraId="7545758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04B99BC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c>
          <w:tcPr>
            <w:tcW w:w="1200" w:type="dxa"/>
            <w:tcBorders>
              <w:top w:val="nil"/>
              <w:left w:val="nil"/>
              <w:bottom w:val="nil"/>
              <w:right w:val="nil"/>
            </w:tcBorders>
            <w:shd w:val="clear" w:color="auto" w:fill="auto"/>
            <w:noWrap/>
            <w:vAlign w:val="bottom"/>
            <w:hideMark/>
          </w:tcPr>
          <w:p w14:paraId="5F99C089"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1.3*</w:t>
            </w:r>
          </w:p>
        </w:tc>
        <w:tc>
          <w:tcPr>
            <w:tcW w:w="400" w:type="dxa"/>
            <w:tcBorders>
              <w:top w:val="nil"/>
              <w:left w:val="nil"/>
              <w:bottom w:val="nil"/>
              <w:right w:val="nil"/>
            </w:tcBorders>
            <w:shd w:val="clear" w:color="auto" w:fill="auto"/>
            <w:noWrap/>
            <w:vAlign w:val="bottom"/>
            <w:hideMark/>
          </w:tcPr>
          <w:p w14:paraId="287C3E2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400" w:type="dxa"/>
            <w:tcBorders>
              <w:top w:val="nil"/>
              <w:left w:val="nil"/>
              <w:bottom w:val="nil"/>
              <w:right w:val="nil"/>
            </w:tcBorders>
            <w:shd w:val="clear" w:color="auto" w:fill="auto"/>
            <w:noWrap/>
            <w:vAlign w:val="bottom"/>
            <w:hideMark/>
          </w:tcPr>
          <w:p w14:paraId="41695E1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r>
      <w:tr w:rsidR="00CB49ED" w:rsidRPr="00CE6AFA" w14:paraId="5D8A4751" w14:textId="77777777" w:rsidTr="009C4E41">
        <w:trPr>
          <w:trHeight w:val="300"/>
        </w:trPr>
        <w:tc>
          <w:tcPr>
            <w:tcW w:w="1107" w:type="dxa"/>
            <w:tcBorders>
              <w:top w:val="nil"/>
              <w:left w:val="nil"/>
              <w:bottom w:val="nil"/>
              <w:right w:val="nil"/>
            </w:tcBorders>
            <w:shd w:val="clear" w:color="auto" w:fill="auto"/>
            <w:noWrap/>
            <w:vAlign w:val="bottom"/>
            <w:hideMark/>
          </w:tcPr>
          <w:p w14:paraId="070320E8"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Belgium</w:t>
            </w:r>
          </w:p>
        </w:tc>
        <w:tc>
          <w:tcPr>
            <w:tcW w:w="1200" w:type="dxa"/>
            <w:tcBorders>
              <w:top w:val="nil"/>
              <w:left w:val="nil"/>
              <w:bottom w:val="nil"/>
              <w:right w:val="nil"/>
            </w:tcBorders>
            <w:shd w:val="clear" w:color="auto" w:fill="auto"/>
            <w:noWrap/>
            <w:vAlign w:val="bottom"/>
            <w:hideMark/>
          </w:tcPr>
          <w:p w14:paraId="1E120AA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352F4CC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2A127A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62" w:type="dxa"/>
            <w:tcBorders>
              <w:top w:val="nil"/>
              <w:left w:val="nil"/>
              <w:bottom w:val="nil"/>
              <w:right w:val="nil"/>
            </w:tcBorders>
            <w:shd w:val="clear" w:color="auto" w:fill="auto"/>
            <w:noWrap/>
            <w:vAlign w:val="bottom"/>
            <w:hideMark/>
          </w:tcPr>
          <w:p w14:paraId="2B7AFA1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27D8FA1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49FEB42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40" w:type="dxa"/>
            <w:tcBorders>
              <w:top w:val="nil"/>
              <w:left w:val="nil"/>
              <w:bottom w:val="nil"/>
              <w:right w:val="nil"/>
            </w:tcBorders>
            <w:shd w:val="clear" w:color="auto" w:fill="auto"/>
            <w:noWrap/>
            <w:vAlign w:val="bottom"/>
            <w:hideMark/>
          </w:tcPr>
          <w:p w14:paraId="4B52CCD5"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4288E0D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182693A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200" w:type="dxa"/>
            <w:tcBorders>
              <w:top w:val="nil"/>
              <w:left w:val="nil"/>
              <w:bottom w:val="nil"/>
              <w:right w:val="nil"/>
            </w:tcBorders>
            <w:shd w:val="clear" w:color="auto" w:fill="auto"/>
            <w:noWrap/>
            <w:vAlign w:val="bottom"/>
            <w:hideMark/>
          </w:tcPr>
          <w:p w14:paraId="1AFBA864"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4377D0A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668D809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r>
      <w:tr w:rsidR="00CB49ED" w:rsidRPr="00CE6AFA" w14:paraId="27C04858" w14:textId="77777777" w:rsidTr="009C4E41">
        <w:trPr>
          <w:trHeight w:val="300"/>
        </w:trPr>
        <w:tc>
          <w:tcPr>
            <w:tcW w:w="1107" w:type="dxa"/>
            <w:tcBorders>
              <w:top w:val="nil"/>
              <w:left w:val="nil"/>
              <w:bottom w:val="nil"/>
              <w:right w:val="nil"/>
            </w:tcBorders>
            <w:shd w:val="clear" w:color="auto" w:fill="auto"/>
            <w:noWrap/>
            <w:vAlign w:val="bottom"/>
            <w:hideMark/>
          </w:tcPr>
          <w:p w14:paraId="1CDEC5F2"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Czech Rep</w:t>
            </w:r>
          </w:p>
        </w:tc>
        <w:tc>
          <w:tcPr>
            <w:tcW w:w="1200" w:type="dxa"/>
            <w:tcBorders>
              <w:top w:val="nil"/>
              <w:left w:val="nil"/>
              <w:bottom w:val="nil"/>
              <w:right w:val="nil"/>
            </w:tcBorders>
            <w:shd w:val="clear" w:color="auto" w:fill="auto"/>
            <w:noWrap/>
            <w:vAlign w:val="bottom"/>
            <w:hideMark/>
          </w:tcPr>
          <w:p w14:paraId="295C8E63"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5ECF2BA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4CCA8EA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62" w:type="dxa"/>
            <w:tcBorders>
              <w:top w:val="nil"/>
              <w:left w:val="nil"/>
              <w:bottom w:val="nil"/>
              <w:right w:val="nil"/>
            </w:tcBorders>
            <w:shd w:val="clear" w:color="auto" w:fill="auto"/>
            <w:noWrap/>
            <w:vAlign w:val="bottom"/>
            <w:hideMark/>
          </w:tcPr>
          <w:p w14:paraId="11CF15C7"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1.1*</w:t>
            </w:r>
          </w:p>
        </w:tc>
        <w:tc>
          <w:tcPr>
            <w:tcW w:w="400" w:type="dxa"/>
            <w:tcBorders>
              <w:top w:val="nil"/>
              <w:left w:val="nil"/>
              <w:bottom w:val="nil"/>
              <w:right w:val="nil"/>
            </w:tcBorders>
            <w:shd w:val="clear" w:color="auto" w:fill="auto"/>
            <w:noWrap/>
            <w:vAlign w:val="bottom"/>
            <w:hideMark/>
          </w:tcPr>
          <w:p w14:paraId="508331D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541C921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40" w:type="dxa"/>
            <w:tcBorders>
              <w:top w:val="nil"/>
              <w:left w:val="nil"/>
              <w:bottom w:val="nil"/>
              <w:right w:val="nil"/>
            </w:tcBorders>
            <w:shd w:val="clear" w:color="auto" w:fill="auto"/>
            <w:noWrap/>
            <w:vAlign w:val="bottom"/>
            <w:hideMark/>
          </w:tcPr>
          <w:p w14:paraId="671DA65E"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1.3*</w:t>
            </w:r>
          </w:p>
        </w:tc>
        <w:tc>
          <w:tcPr>
            <w:tcW w:w="400" w:type="dxa"/>
            <w:tcBorders>
              <w:top w:val="nil"/>
              <w:left w:val="nil"/>
              <w:bottom w:val="nil"/>
              <w:right w:val="nil"/>
            </w:tcBorders>
            <w:shd w:val="clear" w:color="auto" w:fill="auto"/>
            <w:noWrap/>
            <w:vAlign w:val="bottom"/>
            <w:hideMark/>
          </w:tcPr>
          <w:p w14:paraId="7784437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400" w:type="dxa"/>
            <w:tcBorders>
              <w:top w:val="nil"/>
              <w:left w:val="nil"/>
              <w:bottom w:val="nil"/>
              <w:right w:val="nil"/>
            </w:tcBorders>
            <w:shd w:val="clear" w:color="auto" w:fill="auto"/>
            <w:noWrap/>
            <w:vAlign w:val="bottom"/>
            <w:hideMark/>
          </w:tcPr>
          <w:p w14:paraId="281CBB2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c>
          <w:tcPr>
            <w:tcW w:w="1200" w:type="dxa"/>
            <w:tcBorders>
              <w:top w:val="nil"/>
              <w:left w:val="nil"/>
              <w:bottom w:val="nil"/>
              <w:right w:val="nil"/>
            </w:tcBorders>
            <w:shd w:val="clear" w:color="auto" w:fill="auto"/>
            <w:noWrap/>
            <w:vAlign w:val="bottom"/>
            <w:hideMark/>
          </w:tcPr>
          <w:p w14:paraId="7144339C"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1.3*</w:t>
            </w:r>
          </w:p>
        </w:tc>
        <w:tc>
          <w:tcPr>
            <w:tcW w:w="400" w:type="dxa"/>
            <w:tcBorders>
              <w:top w:val="nil"/>
              <w:left w:val="nil"/>
              <w:bottom w:val="nil"/>
              <w:right w:val="nil"/>
            </w:tcBorders>
            <w:shd w:val="clear" w:color="auto" w:fill="auto"/>
            <w:noWrap/>
            <w:vAlign w:val="bottom"/>
            <w:hideMark/>
          </w:tcPr>
          <w:p w14:paraId="607CD83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307F893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r>
      <w:tr w:rsidR="00CB49ED" w:rsidRPr="00CE6AFA" w14:paraId="28BF32BC" w14:textId="77777777" w:rsidTr="009C4E41">
        <w:trPr>
          <w:trHeight w:val="300"/>
        </w:trPr>
        <w:tc>
          <w:tcPr>
            <w:tcW w:w="1107" w:type="dxa"/>
            <w:tcBorders>
              <w:top w:val="nil"/>
              <w:left w:val="nil"/>
              <w:bottom w:val="nil"/>
              <w:right w:val="nil"/>
            </w:tcBorders>
            <w:shd w:val="clear" w:color="auto" w:fill="auto"/>
            <w:noWrap/>
            <w:vAlign w:val="bottom"/>
            <w:hideMark/>
          </w:tcPr>
          <w:p w14:paraId="16A41C62"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Denmark</w:t>
            </w:r>
          </w:p>
        </w:tc>
        <w:tc>
          <w:tcPr>
            <w:tcW w:w="1200" w:type="dxa"/>
            <w:tcBorders>
              <w:top w:val="nil"/>
              <w:left w:val="nil"/>
              <w:bottom w:val="nil"/>
              <w:right w:val="nil"/>
            </w:tcBorders>
            <w:shd w:val="clear" w:color="auto" w:fill="auto"/>
            <w:noWrap/>
            <w:vAlign w:val="bottom"/>
            <w:hideMark/>
          </w:tcPr>
          <w:p w14:paraId="30E188DC"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574C2EA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20A752A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62" w:type="dxa"/>
            <w:tcBorders>
              <w:top w:val="nil"/>
              <w:left w:val="nil"/>
              <w:bottom w:val="nil"/>
              <w:right w:val="nil"/>
            </w:tcBorders>
            <w:shd w:val="clear" w:color="auto" w:fill="auto"/>
            <w:noWrap/>
            <w:vAlign w:val="bottom"/>
            <w:hideMark/>
          </w:tcPr>
          <w:p w14:paraId="4E1AA629"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1.2*</w:t>
            </w:r>
          </w:p>
        </w:tc>
        <w:tc>
          <w:tcPr>
            <w:tcW w:w="400" w:type="dxa"/>
            <w:tcBorders>
              <w:top w:val="nil"/>
              <w:left w:val="nil"/>
              <w:bottom w:val="nil"/>
              <w:right w:val="nil"/>
            </w:tcBorders>
            <w:shd w:val="clear" w:color="auto" w:fill="auto"/>
            <w:noWrap/>
            <w:vAlign w:val="bottom"/>
            <w:hideMark/>
          </w:tcPr>
          <w:p w14:paraId="6F65566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1DB0694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40" w:type="dxa"/>
            <w:tcBorders>
              <w:top w:val="nil"/>
              <w:left w:val="nil"/>
              <w:bottom w:val="nil"/>
              <w:right w:val="nil"/>
            </w:tcBorders>
            <w:shd w:val="clear" w:color="auto" w:fill="auto"/>
            <w:noWrap/>
            <w:vAlign w:val="bottom"/>
            <w:hideMark/>
          </w:tcPr>
          <w:p w14:paraId="13C3F475"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5F85E54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2EBA88A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200" w:type="dxa"/>
            <w:tcBorders>
              <w:top w:val="nil"/>
              <w:left w:val="nil"/>
              <w:bottom w:val="nil"/>
              <w:right w:val="nil"/>
            </w:tcBorders>
            <w:shd w:val="clear" w:color="auto" w:fill="auto"/>
            <w:noWrap/>
            <w:vAlign w:val="bottom"/>
            <w:hideMark/>
          </w:tcPr>
          <w:p w14:paraId="451A162F"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14D1F1E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5539E2D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r w:rsidR="00CB49ED" w:rsidRPr="00CE6AFA" w14:paraId="64A8A278" w14:textId="77777777" w:rsidTr="009C4E41">
        <w:trPr>
          <w:trHeight w:val="300"/>
        </w:trPr>
        <w:tc>
          <w:tcPr>
            <w:tcW w:w="1107" w:type="dxa"/>
            <w:tcBorders>
              <w:top w:val="nil"/>
              <w:left w:val="nil"/>
              <w:bottom w:val="nil"/>
              <w:right w:val="nil"/>
            </w:tcBorders>
            <w:shd w:val="clear" w:color="auto" w:fill="auto"/>
            <w:noWrap/>
            <w:vAlign w:val="bottom"/>
            <w:hideMark/>
          </w:tcPr>
          <w:p w14:paraId="4A0A22B9"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Estonia</w:t>
            </w:r>
          </w:p>
        </w:tc>
        <w:tc>
          <w:tcPr>
            <w:tcW w:w="1200" w:type="dxa"/>
            <w:tcBorders>
              <w:top w:val="nil"/>
              <w:left w:val="nil"/>
              <w:bottom w:val="nil"/>
              <w:right w:val="nil"/>
            </w:tcBorders>
            <w:shd w:val="clear" w:color="auto" w:fill="auto"/>
            <w:noWrap/>
            <w:vAlign w:val="bottom"/>
            <w:hideMark/>
          </w:tcPr>
          <w:p w14:paraId="01E2F78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7B3F24E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40786FF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62" w:type="dxa"/>
            <w:tcBorders>
              <w:top w:val="nil"/>
              <w:left w:val="nil"/>
              <w:bottom w:val="nil"/>
              <w:right w:val="nil"/>
            </w:tcBorders>
            <w:shd w:val="clear" w:color="auto" w:fill="auto"/>
            <w:noWrap/>
            <w:vAlign w:val="bottom"/>
            <w:hideMark/>
          </w:tcPr>
          <w:p w14:paraId="676D3039"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1.2*</w:t>
            </w:r>
          </w:p>
        </w:tc>
        <w:tc>
          <w:tcPr>
            <w:tcW w:w="400" w:type="dxa"/>
            <w:tcBorders>
              <w:top w:val="nil"/>
              <w:left w:val="nil"/>
              <w:bottom w:val="nil"/>
              <w:right w:val="nil"/>
            </w:tcBorders>
            <w:shd w:val="clear" w:color="auto" w:fill="auto"/>
            <w:noWrap/>
            <w:vAlign w:val="bottom"/>
            <w:hideMark/>
          </w:tcPr>
          <w:p w14:paraId="62DFE97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center"/>
            <w:hideMark/>
          </w:tcPr>
          <w:p w14:paraId="430BCC7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40" w:type="dxa"/>
            <w:tcBorders>
              <w:top w:val="nil"/>
              <w:left w:val="nil"/>
              <w:bottom w:val="nil"/>
              <w:right w:val="nil"/>
            </w:tcBorders>
            <w:shd w:val="clear" w:color="auto" w:fill="auto"/>
            <w:noWrap/>
            <w:vAlign w:val="bottom"/>
            <w:hideMark/>
          </w:tcPr>
          <w:p w14:paraId="36AF324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7A292AE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185FE0F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200" w:type="dxa"/>
            <w:tcBorders>
              <w:top w:val="nil"/>
              <w:left w:val="nil"/>
              <w:bottom w:val="nil"/>
              <w:right w:val="nil"/>
            </w:tcBorders>
            <w:shd w:val="clear" w:color="auto" w:fill="auto"/>
            <w:noWrap/>
            <w:vAlign w:val="bottom"/>
            <w:hideMark/>
          </w:tcPr>
          <w:p w14:paraId="314575A9"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1.2*</w:t>
            </w:r>
          </w:p>
        </w:tc>
        <w:tc>
          <w:tcPr>
            <w:tcW w:w="400" w:type="dxa"/>
            <w:tcBorders>
              <w:top w:val="nil"/>
              <w:left w:val="nil"/>
              <w:bottom w:val="nil"/>
              <w:right w:val="nil"/>
            </w:tcBorders>
            <w:shd w:val="clear" w:color="auto" w:fill="auto"/>
            <w:noWrap/>
            <w:vAlign w:val="bottom"/>
            <w:hideMark/>
          </w:tcPr>
          <w:p w14:paraId="50BFB4C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65861A3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r>
      <w:tr w:rsidR="00CB49ED" w:rsidRPr="00CE6AFA" w14:paraId="225BDDDF" w14:textId="77777777" w:rsidTr="009C4E41">
        <w:trPr>
          <w:trHeight w:val="300"/>
        </w:trPr>
        <w:tc>
          <w:tcPr>
            <w:tcW w:w="1107" w:type="dxa"/>
            <w:tcBorders>
              <w:top w:val="nil"/>
              <w:left w:val="nil"/>
              <w:bottom w:val="nil"/>
              <w:right w:val="nil"/>
            </w:tcBorders>
            <w:shd w:val="clear" w:color="auto" w:fill="auto"/>
            <w:noWrap/>
            <w:vAlign w:val="bottom"/>
            <w:hideMark/>
          </w:tcPr>
          <w:p w14:paraId="346DC46A"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Finland</w:t>
            </w:r>
          </w:p>
        </w:tc>
        <w:tc>
          <w:tcPr>
            <w:tcW w:w="1200" w:type="dxa"/>
            <w:tcBorders>
              <w:top w:val="nil"/>
              <w:left w:val="nil"/>
              <w:bottom w:val="nil"/>
              <w:right w:val="nil"/>
            </w:tcBorders>
            <w:shd w:val="clear" w:color="auto" w:fill="auto"/>
            <w:noWrap/>
            <w:vAlign w:val="bottom"/>
            <w:hideMark/>
          </w:tcPr>
          <w:p w14:paraId="7214E2C8"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264D0F6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7555199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62" w:type="dxa"/>
            <w:tcBorders>
              <w:top w:val="nil"/>
              <w:left w:val="nil"/>
              <w:bottom w:val="nil"/>
              <w:right w:val="nil"/>
            </w:tcBorders>
            <w:shd w:val="clear" w:color="auto" w:fill="auto"/>
            <w:noWrap/>
            <w:vAlign w:val="bottom"/>
            <w:hideMark/>
          </w:tcPr>
          <w:p w14:paraId="5CC4A082"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1.1*</w:t>
            </w:r>
          </w:p>
        </w:tc>
        <w:tc>
          <w:tcPr>
            <w:tcW w:w="400" w:type="dxa"/>
            <w:tcBorders>
              <w:top w:val="nil"/>
              <w:left w:val="nil"/>
              <w:bottom w:val="nil"/>
              <w:right w:val="nil"/>
            </w:tcBorders>
            <w:shd w:val="clear" w:color="auto" w:fill="auto"/>
            <w:noWrap/>
            <w:vAlign w:val="bottom"/>
            <w:hideMark/>
          </w:tcPr>
          <w:p w14:paraId="7E4E7A7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23BCD58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40" w:type="dxa"/>
            <w:tcBorders>
              <w:top w:val="nil"/>
              <w:left w:val="nil"/>
              <w:bottom w:val="nil"/>
              <w:right w:val="nil"/>
            </w:tcBorders>
            <w:shd w:val="clear" w:color="auto" w:fill="auto"/>
            <w:noWrap/>
            <w:vAlign w:val="bottom"/>
            <w:hideMark/>
          </w:tcPr>
          <w:p w14:paraId="1E58CC80"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1.3*</w:t>
            </w:r>
          </w:p>
        </w:tc>
        <w:tc>
          <w:tcPr>
            <w:tcW w:w="400" w:type="dxa"/>
            <w:tcBorders>
              <w:top w:val="nil"/>
              <w:left w:val="nil"/>
              <w:bottom w:val="nil"/>
              <w:right w:val="nil"/>
            </w:tcBorders>
            <w:shd w:val="clear" w:color="auto" w:fill="auto"/>
            <w:noWrap/>
            <w:vAlign w:val="bottom"/>
            <w:hideMark/>
          </w:tcPr>
          <w:p w14:paraId="4FAA1B4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400" w:type="dxa"/>
            <w:tcBorders>
              <w:top w:val="nil"/>
              <w:left w:val="nil"/>
              <w:bottom w:val="nil"/>
              <w:right w:val="nil"/>
            </w:tcBorders>
            <w:shd w:val="clear" w:color="auto" w:fill="auto"/>
            <w:noWrap/>
            <w:vAlign w:val="bottom"/>
            <w:hideMark/>
          </w:tcPr>
          <w:p w14:paraId="4BE51EE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c>
          <w:tcPr>
            <w:tcW w:w="1200" w:type="dxa"/>
            <w:tcBorders>
              <w:top w:val="nil"/>
              <w:left w:val="nil"/>
              <w:bottom w:val="nil"/>
              <w:right w:val="nil"/>
            </w:tcBorders>
            <w:shd w:val="clear" w:color="auto" w:fill="auto"/>
            <w:noWrap/>
            <w:vAlign w:val="bottom"/>
            <w:hideMark/>
          </w:tcPr>
          <w:p w14:paraId="2FE0436A"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1.1*</w:t>
            </w:r>
          </w:p>
        </w:tc>
        <w:tc>
          <w:tcPr>
            <w:tcW w:w="400" w:type="dxa"/>
            <w:tcBorders>
              <w:top w:val="nil"/>
              <w:left w:val="nil"/>
              <w:bottom w:val="nil"/>
              <w:right w:val="nil"/>
            </w:tcBorders>
            <w:shd w:val="clear" w:color="auto" w:fill="auto"/>
            <w:noWrap/>
            <w:vAlign w:val="bottom"/>
            <w:hideMark/>
          </w:tcPr>
          <w:p w14:paraId="498700C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5B352F1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r>
      <w:tr w:rsidR="00CB49ED" w:rsidRPr="00CE6AFA" w14:paraId="64EE0082" w14:textId="77777777" w:rsidTr="009C4E41">
        <w:trPr>
          <w:trHeight w:val="300"/>
        </w:trPr>
        <w:tc>
          <w:tcPr>
            <w:tcW w:w="1107" w:type="dxa"/>
            <w:tcBorders>
              <w:top w:val="nil"/>
              <w:left w:val="nil"/>
              <w:bottom w:val="nil"/>
              <w:right w:val="nil"/>
            </w:tcBorders>
            <w:shd w:val="clear" w:color="auto" w:fill="auto"/>
            <w:noWrap/>
            <w:vAlign w:val="bottom"/>
            <w:hideMark/>
          </w:tcPr>
          <w:p w14:paraId="395B720E"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 xml:space="preserve">France </w:t>
            </w:r>
          </w:p>
        </w:tc>
        <w:tc>
          <w:tcPr>
            <w:tcW w:w="1200" w:type="dxa"/>
            <w:tcBorders>
              <w:top w:val="nil"/>
              <w:left w:val="nil"/>
              <w:bottom w:val="nil"/>
              <w:right w:val="nil"/>
            </w:tcBorders>
            <w:shd w:val="clear" w:color="auto" w:fill="auto"/>
            <w:noWrap/>
            <w:vAlign w:val="bottom"/>
            <w:hideMark/>
          </w:tcPr>
          <w:p w14:paraId="043345D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3E0B699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56DF15A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62" w:type="dxa"/>
            <w:tcBorders>
              <w:top w:val="nil"/>
              <w:left w:val="nil"/>
              <w:bottom w:val="nil"/>
              <w:right w:val="nil"/>
            </w:tcBorders>
            <w:shd w:val="clear" w:color="auto" w:fill="auto"/>
            <w:noWrap/>
            <w:vAlign w:val="bottom"/>
            <w:hideMark/>
          </w:tcPr>
          <w:p w14:paraId="474DB5C7"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1.2*</w:t>
            </w:r>
          </w:p>
        </w:tc>
        <w:tc>
          <w:tcPr>
            <w:tcW w:w="400" w:type="dxa"/>
            <w:tcBorders>
              <w:top w:val="nil"/>
              <w:left w:val="nil"/>
              <w:bottom w:val="nil"/>
              <w:right w:val="nil"/>
            </w:tcBorders>
            <w:shd w:val="clear" w:color="auto" w:fill="auto"/>
            <w:noWrap/>
            <w:vAlign w:val="bottom"/>
            <w:hideMark/>
          </w:tcPr>
          <w:p w14:paraId="0B43698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3434893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c>
          <w:tcPr>
            <w:tcW w:w="1040" w:type="dxa"/>
            <w:tcBorders>
              <w:top w:val="nil"/>
              <w:left w:val="nil"/>
              <w:bottom w:val="nil"/>
              <w:right w:val="nil"/>
            </w:tcBorders>
            <w:shd w:val="clear" w:color="auto" w:fill="auto"/>
            <w:noWrap/>
            <w:vAlign w:val="bottom"/>
            <w:hideMark/>
          </w:tcPr>
          <w:p w14:paraId="5E817BD1"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1.3*</w:t>
            </w:r>
          </w:p>
        </w:tc>
        <w:tc>
          <w:tcPr>
            <w:tcW w:w="400" w:type="dxa"/>
            <w:tcBorders>
              <w:top w:val="nil"/>
              <w:left w:val="nil"/>
              <w:bottom w:val="nil"/>
              <w:right w:val="nil"/>
            </w:tcBorders>
            <w:shd w:val="clear" w:color="auto" w:fill="auto"/>
            <w:noWrap/>
            <w:vAlign w:val="bottom"/>
            <w:hideMark/>
          </w:tcPr>
          <w:p w14:paraId="2877E38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400" w:type="dxa"/>
            <w:tcBorders>
              <w:top w:val="nil"/>
              <w:left w:val="nil"/>
              <w:bottom w:val="nil"/>
              <w:right w:val="nil"/>
            </w:tcBorders>
            <w:shd w:val="clear" w:color="auto" w:fill="auto"/>
            <w:noWrap/>
            <w:vAlign w:val="bottom"/>
            <w:hideMark/>
          </w:tcPr>
          <w:p w14:paraId="1A60B3B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1.7</w:t>
            </w:r>
          </w:p>
        </w:tc>
        <w:tc>
          <w:tcPr>
            <w:tcW w:w="1200" w:type="dxa"/>
            <w:tcBorders>
              <w:top w:val="nil"/>
              <w:left w:val="nil"/>
              <w:bottom w:val="nil"/>
              <w:right w:val="nil"/>
            </w:tcBorders>
            <w:shd w:val="clear" w:color="auto" w:fill="auto"/>
            <w:noWrap/>
            <w:vAlign w:val="bottom"/>
            <w:hideMark/>
          </w:tcPr>
          <w:p w14:paraId="0ADC69FA"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1.2*</w:t>
            </w:r>
          </w:p>
        </w:tc>
        <w:tc>
          <w:tcPr>
            <w:tcW w:w="400" w:type="dxa"/>
            <w:tcBorders>
              <w:top w:val="nil"/>
              <w:left w:val="nil"/>
              <w:bottom w:val="nil"/>
              <w:right w:val="nil"/>
            </w:tcBorders>
            <w:shd w:val="clear" w:color="auto" w:fill="auto"/>
            <w:noWrap/>
            <w:vAlign w:val="bottom"/>
            <w:hideMark/>
          </w:tcPr>
          <w:p w14:paraId="44DA492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053532E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r>
      <w:tr w:rsidR="00CB49ED" w:rsidRPr="00CE6AFA" w14:paraId="50625E5C" w14:textId="77777777" w:rsidTr="009C4E41">
        <w:trPr>
          <w:trHeight w:val="300"/>
        </w:trPr>
        <w:tc>
          <w:tcPr>
            <w:tcW w:w="1107" w:type="dxa"/>
            <w:tcBorders>
              <w:top w:val="nil"/>
              <w:left w:val="nil"/>
              <w:bottom w:val="nil"/>
              <w:right w:val="nil"/>
            </w:tcBorders>
            <w:shd w:val="clear" w:color="auto" w:fill="auto"/>
            <w:noWrap/>
            <w:vAlign w:val="bottom"/>
            <w:hideMark/>
          </w:tcPr>
          <w:p w14:paraId="19967776"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Germany</w:t>
            </w:r>
          </w:p>
        </w:tc>
        <w:tc>
          <w:tcPr>
            <w:tcW w:w="1200" w:type="dxa"/>
            <w:tcBorders>
              <w:top w:val="nil"/>
              <w:left w:val="nil"/>
              <w:bottom w:val="nil"/>
              <w:right w:val="nil"/>
            </w:tcBorders>
            <w:shd w:val="clear" w:color="auto" w:fill="auto"/>
            <w:noWrap/>
            <w:vAlign w:val="bottom"/>
            <w:hideMark/>
          </w:tcPr>
          <w:p w14:paraId="3C71A37D"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6E99C00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1B68FA0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62" w:type="dxa"/>
            <w:tcBorders>
              <w:top w:val="nil"/>
              <w:left w:val="nil"/>
              <w:bottom w:val="nil"/>
              <w:right w:val="nil"/>
            </w:tcBorders>
            <w:shd w:val="clear" w:color="auto" w:fill="auto"/>
            <w:noWrap/>
            <w:vAlign w:val="bottom"/>
            <w:hideMark/>
          </w:tcPr>
          <w:p w14:paraId="254BBF0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65EC07A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2AEF17B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40" w:type="dxa"/>
            <w:tcBorders>
              <w:top w:val="nil"/>
              <w:left w:val="nil"/>
              <w:bottom w:val="nil"/>
              <w:right w:val="nil"/>
            </w:tcBorders>
            <w:shd w:val="clear" w:color="auto" w:fill="auto"/>
            <w:noWrap/>
            <w:vAlign w:val="bottom"/>
            <w:hideMark/>
          </w:tcPr>
          <w:p w14:paraId="316CC2B5"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1.4*</w:t>
            </w:r>
          </w:p>
        </w:tc>
        <w:tc>
          <w:tcPr>
            <w:tcW w:w="400" w:type="dxa"/>
            <w:tcBorders>
              <w:top w:val="nil"/>
              <w:left w:val="nil"/>
              <w:bottom w:val="nil"/>
              <w:right w:val="nil"/>
            </w:tcBorders>
            <w:shd w:val="clear" w:color="auto" w:fill="auto"/>
            <w:noWrap/>
            <w:vAlign w:val="bottom"/>
            <w:hideMark/>
          </w:tcPr>
          <w:p w14:paraId="347678B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400" w:type="dxa"/>
            <w:tcBorders>
              <w:top w:val="nil"/>
              <w:left w:val="nil"/>
              <w:bottom w:val="nil"/>
              <w:right w:val="nil"/>
            </w:tcBorders>
            <w:shd w:val="clear" w:color="auto" w:fill="auto"/>
            <w:noWrap/>
            <w:vAlign w:val="bottom"/>
            <w:hideMark/>
          </w:tcPr>
          <w:p w14:paraId="4000D71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1.7</w:t>
            </w:r>
          </w:p>
        </w:tc>
        <w:tc>
          <w:tcPr>
            <w:tcW w:w="1200" w:type="dxa"/>
            <w:tcBorders>
              <w:top w:val="nil"/>
              <w:left w:val="nil"/>
              <w:bottom w:val="nil"/>
              <w:right w:val="nil"/>
            </w:tcBorders>
            <w:shd w:val="clear" w:color="auto" w:fill="auto"/>
            <w:noWrap/>
            <w:vAlign w:val="bottom"/>
            <w:hideMark/>
          </w:tcPr>
          <w:p w14:paraId="7B48A7C8"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2D598B5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5F440AE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r w:rsidR="00CB49ED" w:rsidRPr="00CE6AFA" w14:paraId="05A11185" w14:textId="77777777" w:rsidTr="009C4E41">
        <w:trPr>
          <w:trHeight w:val="300"/>
        </w:trPr>
        <w:tc>
          <w:tcPr>
            <w:tcW w:w="1107" w:type="dxa"/>
            <w:tcBorders>
              <w:top w:val="nil"/>
              <w:left w:val="nil"/>
              <w:bottom w:val="nil"/>
              <w:right w:val="nil"/>
            </w:tcBorders>
            <w:shd w:val="clear" w:color="auto" w:fill="auto"/>
            <w:noWrap/>
            <w:vAlign w:val="bottom"/>
            <w:hideMark/>
          </w:tcPr>
          <w:p w14:paraId="68CADC97"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Hungary</w:t>
            </w:r>
          </w:p>
        </w:tc>
        <w:tc>
          <w:tcPr>
            <w:tcW w:w="1200" w:type="dxa"/>
            <w:tcBorders>
              <w:top w:val="nil"/>
              <w:left w:val="nil"/>
              <w:bottom w:val="nil"/>
              <w:right w:val="nil"/>
            </w:tcBorders>
            <w:shd w:val="clear" w:color="auto" w:fill="auto"/>
            <w:noWrap/>
            <w:vAlign w:val="bottom"/>
            <w:hideMark/>
          </w:tcPr>
          <w:p w14:paraId="497D7FA5"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6E96C14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2881563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62" w:type="dxa"/>
            <w:tcBorders>
              <w:top w:val="nil"/>
              <w:left w:val="nil"/>
              <w:bottom w:val="nil"/>
              <w:right w:val="nil"/>
            </w:tcBorders>
            <w:shd w:val="clear" w:color="auto" w:fill="auto"/>
            <w:noWrap/>
            <w:vAlign w:val="bottom"/>
            <w:hideMark/>
          </w:tcPr>
          <w:p w14:paraId="04D5A0C0"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1.1*</w:t>
            </w:r>
          </w:p>
        </w:tc>
        <w:tc>
          <w:tcPr>
            <w:tcW w:w="400" w:type="dxa"/>
            <w:tcBorders>
              <w:top w:val="nil"/>
              <w:left w:val="nil"/>
              <w:bottom w:val="nil"/>
              <w:right w:val="nil"/>
            </w:tcBorders>
            <w:shd w:val="clear" w:color="auto" w:fill="auto"/>
            <w:noWrap/>
            <w:vAlign w:val="bottom"/>
            <w:hideMark/>
          </w:tcPr>
          <w:p w14:paraId="1284A9A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066C9B6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40" w:type="dxa"/>
            <w:tcBorders>
              <w:top w:val="nil"/>
              <w:left w:val="nil"/>
              <w:bottom w:val="nil"/>
              <w:right w:val="nil"/>
            </w:tcBorders>
            <w:shd w:val="clear" w:color="auto" w:fill="auto"/>
            <w:noWrap/>
            <w:vAlign w:val="bottom"/>
            <w:hideMark/>
          </w:tcPr>
          <w:p w14:paraId="0F934379"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1F90262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813FAD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200" w:type="dxa"/>
            <w:tcBorders>
              <w:top w:val="nil"/>
              <w:left w:val="nil"/>
              <w:bottom w:val="nil"/>
              <w:right w:val="nil"/>
            </w:tcBorders>
            <w:shd w:val="clear" w:color="auto" w:fill="auto"/>
            <w:noWrap/>
            <w:vAlign w:val="bottom"/>
            <w:hideMark/>
          </w:tcPr>
          <w:p w14:paraId="318BA43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552780C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6785733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r>
      <w:tr w:rsidR="00CB49ED" w:rsidRPr="00CE6AFA" w14:paraId="7B5C8FE5" w14:textId="77777777" w:rsidTr="009C4E41">
        <w:trPr>
          <w:trHeight w:val="300"/>
        </w:trPr>
        <w:tc>
          <w:tcPr>
            <w:tcW w:w="1107" w:type="dxa"/>
            <w:tcBorders>
              <w:top w:val="nil"/>
              <w:left w:val="nil"/>
              <w:bottom w:val="nil"/>
              <w:right w:val="nil"/>
            </w:tcBorders>
            <w:shd w:val="clear" w:color="auto" w:fill="auto"/>
            <w:noWrap/>
            <w:vAlign w:val="bottom"/>
            <w:hideMark/>
          </w:tcPr>
          <w:p w14:paraId="0F29D251"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Ireland</w:t>
            </w:r>
          </w:p>
        </w:tc>
        <w:tc>
          <w:tcPr>
            <w:tcW w:w="1200" w:type="dxa"/>
            <w:tcBorders>
              <w:top w:val="nil"/>
              <w:left w:val="nil"/>
              <w:bottom w:val="nil"/>
              <w:right w:val="nil"/>
            </w:tcBorders>
            <w:shd w:val="clear" w:color="auto" w:fill="auto"/>
            <w:noWrap/>
            <w:vAlign w:val="bottom"/>
            <w:hideMark/>
          </w:tcPr>
          <w:p w14:paraId="52762D57"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1AB63A2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5BE0971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62" w:type="dxa"/>
            <w:tcBorders>
              <w:top w:val="nil"/>
              <w:left w:val="nil"/>
              <w:bottom w:val="nil"/>
              <w:right w:val="nil"/>
            </w:tcBorders>
            <w:shd w:val="clear" w:color="auto" w:fill="auto"/>
            <w:noWrap/>
            <w:vAlign w:val="bottom"/>
            <w:hideMark/>
          </w:tcPr>
          <w:p w14:paraId="521159C5"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1.1*</w:t>
            </w:r>
          </w:p>
        </w:tc>
        <w:tc>
          <w:tcPr>
            <w:tcW w:w="400" w:type="dxa"/>
            <w:tcBorders>
              <w:top w:val="nil"/>
              <w:left w:val="nil"/>
              <w:bottom w:val="nil"/>
              <w:right w:val="nil"/>
            </w:tcBorders>
            <w:shd w:val="clear" w:color="auto" w:fill="auto"/>
            <w:noWrap/>
            <w:vAlign w:val="bottom"/>
            <w:hideMark/>
          </w:tcPr>
          <w:p w14:paraId="7EADC38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6B33715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40" w:type="dxa"/>
            <w:tcBorders>
              <w:top w:val="nil"/>
              <w:left w:val="nil"/>
              <w:bottom w:val="nil"/>
              <w:right w:val="nil"/>
            </w:tcBorders>
            <w:shd w:val="clear" w:color="auto" w:fill="auto"/>
            <w:noWrap/>
            <w:vAlign w:val="bottom"/>
            <w:hideMark/>
          </w:tcPr>
          <w:p w14:paraId="2F8F8872"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30724AA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2BA7400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200" w:type="dxa"/>
            <w:tcBorders>
              <w:top w:val="nil"/>
              <w:left w:val="nil"/>
              <w:bottom w:val="nil"/>
              <w:right w:val="nil"/>
            </w:tcBorders>
            <w:shd w:val="clear" w:color="auto" w:fill="auto"/>
            <w:noWrap/>
            <w:vAlign w:val="bottom"/>
            <w:hideMark/>
          </w:tcPr>
          <w:p w14:paraId="4A4F8E47"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691215C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5DB5BC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r>
      <w:tr w:rsidR="00CB49ED" w:rsidRPr="00CE6AFA" w14:paraId="32AE8512" w14:textId="77777777" w:rsidTr="009C4E41">
        <w:trPr>
          <w:trHeight w:val="300"/>
        </w:trPr>
        <w:tc>
          <w:tcPr>
            <w:tcW w:w="1107" w:type="dxa"/>
            <w:tcBorders>
              <w:top w:val="nil"/>
              <w:left w:val="nil"/>
              <w:bottom w:val="nil"/>
              <w:right w:val="nil"/>
            </w:tcBorders>
            <w:shd w:val="clear" w:color="auto" w:fill="auto"/>
            <w:noWrap/>
            <w:vAlign w:val="bottom"/>
            <w:hideMark/>
          </w:tcPr>
          <w:p w14:paraId="290943CC"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Israel</w:t>
            </w:r>
          </w:p>
        </w:tc>
        <w:tc>
          <w:tcPr>
            <w:tcW w:w="1200" w:type="dxa"/>
            <w:tcBorders>
              <w:top w:val="nil"/>
              <w:left w:val="nil"/>
              <w:bottom w:val="nil"/>
              <w:right w:val="nil"/>
            </w:tcBorders>
            <w:shd w:val="clear" w:color="auto" w:fill="auto"/>
            <w:noWrap/>
            <w:vAlign w:val="bottom"/>
            <w:hideMark/>
          </w:tcPr>
          <w:p w14:paraId="637AA979"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0.8*</w:t>
            </w:r>
          </w:p>
        </w:tc>
        <w:tc>
          <w:tcPr>
            <w:tcW w:w="400" w:type="dxa"/>
            <w:tcBorders>
              <w:top w:val="nil"/>
              <w:left w:val="nil"/>
              <w:bottom w:val="nil"/>
              <w:right w:val="nil"/>
            </w:tcBorders>
            <w:shd w:val="clear" w:color="auto" w:fill="auto"/>
            <w:noWrap/>
            <w:vAlign w:val="bottom"/>
            <w:hideMark/>
          </w:tcPr>
          <w:p w14:paraId="73C461E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0.7</w:t>
            </w:r>
          </w:p>
        </w:tc>
        <w:tc>
          <w:tcPr>
            <w:tcW w:w="400" w:type="dxa"/>
            <w:tcBorders>
              <w:top w:val="nil"/>
              <w:left w:val="nil"/>
              <w:bottom w:val="nil"/>
              <w:right w:val="nil"/>
            </w:tcBorders>
            <w:shd w:val="clear" w:color="auto" w:fill="auto"/>
            <w:noWrap/>
            <w:vAlign w:val="bottom"/>
            <w:hideMark/>
          </w:tcPr>
          <w:p w14:paraId="4FED61D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1062" w:type="dxa"/>
            <w:tcBorders>
              <w:top w:val="nil"/>
              <w:left w:val="nil"/>
              <w:bottom w:val="nil"/>
              <w:right w:val="nil"/>
            </w:tcBorders>
            <w:shd w:val="clear" w:color="auto" w:fill="auto"/>
            <w:noWrap/>
            <w:vAlign w:val="bottom"/>
            <w:hideMark/>
          </w:tcPr>
          <w:p w14:paraId="60CF5D7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nil"/>
              <w:right w:val="nil"/>
            </w:tcBorders>
            <w:shd w:val="clear" w:color="auto" w:fill="auto"/>
            <w:noWrap/>
            <w:vAlign w:val="bottom"/>
            <w:hideMark/>
          </w:tcPr>
          <w:p w14:paraId="0E42128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17CC71A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40" w:type="dxa"/>
            <w:tcBorders>
              <w:top w:val="nil"/>
              <w:left w:val="nil"/>
              <w:bottom w:val="nil"/>
              <w:right w:val="nil"/>
            </w:tcBorders>
            <w:shd w:val="clear" w:color="auto" w:fill="auto"/>
            <w:noWrap/>
            <w:vAlign w:val="bottom"/>
            <w:hideMark/>
          </w:tcPr>
          <w:p w14:paraId="19319DA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1F7A55D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333C76E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200" w:type="dxa"/>
            <w:tcBorders>
              <w:top w:val="nil"/>
              <w:left w:val="nil"/>
              <w:bottom w:val="nil"/>
              <w:right w:val="nil"/>
            </w:tcBorders>
            <w:shd w:val="clear" w:color="auto" w:fill="auto"/>
            <w:noWrap/>
            <w:vAlign w:val="bottom"/>
            <w:hideMark/>
          </w:tcPr>
          <w:p w14:paraId="31A9FBD8"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612F605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18FBF6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r>
      <w:tr w:rsidR="00CB49ED" w:rsidRPr="00CE6AFA" w14:paraId="52CE28D3" w14:textId="77777777" w:rsidTr="009C4E41">
        <w:trPr>
          <w:trHeight w:val="300"/>
        </w:trPr>
        <w:tc>
          <w:tcPr>
            <w:tcW w:w="1107" w:type="dxa"/>
            <w:tcBorders>
              <w:top w:val="nil"/>
              <w:left w:val="nil"/>
              <w:bottom w:val="nil"/>
              <w:right w:val="nil"/>
            </w:tcBorders>
            <w:shd w:val="clear" w:color="auto" w:fill="auto"/>
            <w:noWrap/>
            <w:vAlign w:val="bottom"/>
            <w:hideMark/>
          </w:tcPr>
          <w:p w14:paraId="6C33D549"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Lithuania</w:t>
            </w:r>
          </w:p>
        </w:tc>
        <w:tc>
          <w:tcPr>
            <w:tcW w:w="1200" w:type="dxa"/>
            <w:tcBorders>
              <w:top w:val="nil"/>
              <w:left w:val="nil"/>
              <w:bottom w:val="nil"/>
              <w:right w:val="nil"/>
            </w:tcBorders>
            <w:shd w:val="clear" w:color="auto" w:fill="auto"/>
            <w:noWrap/>
            <w:vAlign w:val="bottom"/>
            <w:hideMark/>
          </w:tcPr>
          <w:p w14:paraId="1B8A31E1"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1FA84EF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16EB405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62" w:type="dxa"/>
            <w:tcBorders>
              <w:top w:val="nil"/>
              <w:left w:val="nil"/>
              <w:bottom w:val="nil"/>
              <w:right w:val="nil"/>
            </w:tcBorders>
            <w:shd w:val="clear" w:color="auto" w:fill="auto"/>
            <w:noWrap/>
            <w:vAlign w:val="bottom"/>
            <w:hideMark/>
          </w:tcPr>
          <w:p w14:paraId="5A1009D1"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34558A5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50A814C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40" w:type="dxa"/>
            <w:tcBorders>
              <w:top w:val="nil"/>
              <w:left w:val="nil"/>
              <w:bottom w:val="nil"/>
              <w:right w:val="nil"/>
            </w:tcBorders>
            <w:shd w:val="clear" w:color="auto" w:fill="auto"/>
            <w:noWrap/>
            <w:vAlign w:val="bottom"/>
            <w:hideMark/>
          </w:tcPr>
          <w:p w14:paraId="5B31D77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2224649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69331B8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200" w:type="dxa"/>
            <w:tcBorders>
              <w:top w:val="nil"/>
              <w:left w:val="nil"/>
              <w:bottom w:val="nil"/>
              <w:right w:val="nil"/>
            </w:tcBorders>
            <w:shd w:val="clear" w:color="auto" w:fill="auto"/>
            <w:noWrap/>
            <w:vAlign w:val="bottom"/>
            <w:hideMark/>
          </w:tcPr>
          <w:p w14:paraId="68B4698D"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6C42400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44A0404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r>
      <w:tr w:rsidR="00CB49ED" w:rsidRPr="00CE6AFA" w14:paraId="09FDB816" w14:textId="77777777" w:rsidTr="009C4E41">
        <w:trPr>
          <w:trHeight w:val="300"/>
        </w:trPr>
        <w:tc>
          <w:tcPr>
            <w:tcW w:w="1107" w:type="dxa"/>
            <w:tcBorders>
              <w:top w:val="nil"/>
              <w:left w:val="nil"/>
              <w:bottom w:val="nil"/>
              <w:right w:val="nil"/>
            </w:tcBorders>
            <w:shd w:val="clear" w:color="auto" w:fill="auto"/>
            <w:noWrap/>
            <w:vAlign w:val="bottom"/>
            <w:hideMark/>
          </w:tcPr>
          <w:p w14:paraId="4A01025D"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Netherlands</w:t>
            </w:r>
          </w:p>
        </w:tc>
        <w:tc>
          <w:tcPr>
            <w:tcW w:w="1200" w:type="dxa"/>
            <w:tcBorders>
              <w:top w:val="nil"/>
              <w:left w:val="nil"/>
              <w:bottom w:val="nil"/>
              <w:right w:val="nil"/>
            </w:tcBorders>
            <w:shd w:val="clear" w:color="auto" w:fill="auto"/>
            <w:noWrap/>
            <w:vAlign w:val="bottom"/>
            <w:hideMark/>
          </w:tcPr>
          <w:p w14:paraId="23C49037"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46DD4D1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32E2832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62" w:type="dxa"/>
            <w:tcBorders>
              <w:top w:val="nil"/>
              <w:left w:val="nil"/>
              <w:bottom w:val="nil"/>
              <w:right w:val="nil"/>
            </w:tcBorders>
            <w:shd w:val="clear" w:color="auto" w:fill="auto"/>
            <w:noWrap/>
            <w:vAlign w:val="bottom"/>
            <w:hideMark/>
          </w:tcPr>
          <w:p w14:paraId="36CD6FC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02467A5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64CF386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40" w:type="dxa"/>
            <w:tcBorders>
              <w:top w:val="nil"/>
              <w:left w:val="nil"/>
              <w:bottom w:val="nil"/>
              <w:right w:val="nil"/>
            </w:tcBorders>
            <w:shd w:val="clear" w:color="auto" w:fill="auto"/>
            <w:noWrap/>
            <w:vAlign w:val="bottom"/>
            <w:hideMark/>
          </w:tcPr>
          <w:p w14:paraId="7CB3FCD1"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1FF6EB9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5EB9D27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200" w:type="dxa"/>
            <w:tcBorders>
              <w:top w:val="nil"/>
              <w:left w:val="nil"/>
              <w:bottom w:val="nil"/>
              <w:right w:val="nil"/>
            </w:tcBorders>
            <w:shd w:val="clear" w:color="auto" w:fill="auto"/>
            <w:noWrap/>
            <w:vAlign w:val="bottom"/>
            <w:hideMark/>
          </w:tcPr>
          <w:p w14:paraId="19CBA5F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34AB28A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2542AD4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r w:rsidR="00CB49ED" w:rsidRPr="00CE6AFA" w14:paraId="31F98CF6" w14:textId="77777777" w:rsidTr="009C4E41">
        <w:trPr>
          <w:trHeight w:val="300"/>
        </w:trPr>
        <w:tc>
          <w:tcPr>
            <w:tcW w:w="1107" w:type="dxa"/>
            <w:tcBorders>
              <w:top w:val="nil"/>
              <w:left w:val="nil"/>
              <w:bottom w:val="nil"/>
              <w:right w:val="nil"/>
            </w:tcBorders>
            <w:shd w:val="clear" w:color="auto" w:fill="auto"/>
            <w:noWrap/>
            <w:vAlign w:val="bottom"/>
            <w:hideMark/>
          </w:tcPr>
          <w:p w14:paraId="658BE82D"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Norway</w:t>
            </w:r>
          </w:p>
        </w:tc>
        <w:tc>
          <w:tcPr>
            <w:tcW w:w="1200" w:type="dxa"/>
            <w:tcBorders>
              <w:top w:val="nil"/>
              <w:left w:val="nil"/>
              <w:bottom w:val="nil"/>
              <w:right w:val="nil"/>
            </w:tcBorders>
            <w:shd w:val="clear" w:color="auto" w:fill="auto"/>
            <w:noWrap/>
            <w:vAlign w:val="bottom"/>
            <w:hideMark/>
          </w:tcPr>
          <w:p w14:paraId="4356EB6D"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78928FB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29A00E2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62" w:type="dxa"/>
            <w:tcBorders>
              <w:top w:val="nil"/>
              <w:left w:val="nil"/>
              <w:bottom w:val="nil"/>
              <w:right w:val="nil"/>
            </w:tcBorders>
            <w:shd w:val="clear" w:color="auto" w:fill="auto"/>
            <w:noWrap/>
            <w:vAlign w:val="bottom"/>
            <w:hideMark/>
          </w:tcPr>
          <w:p w14:paraId="7C4C1B0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0EB5B71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6C3E5F7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1040" w:type="dxa"/>
            <w:tcBorders>
              <w:top w:val="nil"/>
              <w:left w:val="nil"/>
              <w:bottom w:val="nil"/>
              <w:right w:val="nil"/>
            </w:tcBorders>
            <w:shd w:val="clear" w:color="auto" w:fill="auto"/>
            <w:noWrap/>
            <w:vAlign w:val="bottom"/>
            <w:hideMark/>
          </w:tcPr>
          <w:p w14:paraId="2FE0940C"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1.2*</w:t>
            </w:r>
          </w:p>
        </w:tc>
        <w:tc>
          <w:tcPr>
            <w:tcW w:w="400" w:type="dxa"/>
            <w:tcBorders>
              <w:top w:val="nil"/>
              <w:left w:val="nil"/>
              <w:bottom w:val="nil"/>
              <w:right w:val="nil"/>
            </w:tcBorders>
            <w:shd w:val="clear" w:color="auto" w:fill="auto"/>
            <w:noWrap/>
            <w:vAlign w:val="bottom"/>
            <w:hideMark/>
          </w:tcPr>
          <w:p w14:paraId="559C5F1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400" w:type="dxa"/>
            <w:tcBorders>
              <w:top w:val="nil"/>
              <w:left w:val="nil"/>
              <w:bottom w:val="nil"/>
              <w:right w:val="nil"/>
            </w:tcBorders>
            <w:shd w:val="clear" w:color="auto" w:fill="auto"/>
            <w:noWrap/>
            <w:vAlign w:val="bottom"/>
            <w:hideMark/>
          </w:tcPr>
          <w:p w14:paraId="6AF98B5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200" w:type="dxa"/>
            <w:tcBorders>
              <w:top w:val="nil"/>
              <w:left w:val="nil"/>
              <w:bottom w:val="nil"/>
              <w:right w:val="nil"/>
            </w:tcBorders>
            <w:shd w:val="clear" w:color="auto" w:fill="auto"/>
            <w:noWrap/>
            <w:vAlign w:val="bottom"/>
            <w:hideMark/>
          </w:tcPr>
          <w:p w14:paraId="02635E1A"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1.1*</w:t>
            </w:r>
          </w:p>
        </w:tc>
        <w:tc>
          <w:tcPr>
            <w:tcW w:w="400" w:type="dxa"/>
            <w:tcBorders>
              <w:top w:val="nil"/>
              <w:left w:val="nil"/>
              <w:bottom w:val="nil"/>
              <w:right w:val="nil"/>
            </w:tcBorders>
            <w:shd w:val="clear" w:color="auto" w:fill="auto"/>
            <w:noWrap/>
            <w:vAlign w:val="bottom"/>
            <w:hideMark/>
          </w:tcPr>
          <w:p w14:paraId="391DC8A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46A7E49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r w:rsidR="00CB49ED" w:rsidRPr="00CE6AFA" w14:paraId="5C24DD51" w14:textId="77777777" w:rsidTr="009C4E41">
        <w:trPr>
          <w:trHeight w:val="300"/>
        </w:trPr>
        <w:tc>
          <w:tcPr>
            <w:tcW w:w="1107" w:type="dxa"/>
            <w:tcBorders>
              <w:top w:val="nil"/>
              <w:left w:val="nil"/>
              <w:bottom w:val="nil"/>
              <w:right w:val="nil"/>
            </w:tcBorders>
            <w:shd w:val="clear" w:color="auto" w:fill="auto"/>
            <w:noWrap/>
            <w:vAlign w:val="bottom"/>
            <w:hideMark/>
          </w:tcPr>
          <w:p w14:paraId="4DA188DE"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Poland</w:t>
            </w:r>
          </w:p>
        </w:tc>
        <w:tc>
          <w:tcPr>
            <w:tcW w:w="1200" w:type="dxa"/>
            <w:tcBorders>
              <w:top w:val="nil"/>
              <w:left w:val="nil"/>
              <w:bottom w:val="nil"/>
              <w:right w:val="nil"/>
            </w:tcBorders>
            <w:shd w:val="clear" w:color="auto" w:fill="auto"/>
            <w:noWrap/>
            <w:vAlign w:val="bottom"/>
            <w:hideMark/>
          </w:tcPr>
          <w:p w14:paraId="490C7BC6"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1.1*</w:t>
            </w:r>
          </w:p>
        </w:tc>
        <w:tc>
          <w:tcPr>
            <w:tcW w:w="400" w:type="dxa"/>
            <w:tcBorders>
              <w:top w:val="nil"/>
              <w:left w:val="nil"/>
              <w:bottom w:val="nil"/>
              <w:right w:val="nil"/>
            </w:tcBorders>
            <w:shd w:val="clear" w:color="auto" w:fill="auto"/>
            <w:noWrap/>
            <w:vAlign w:val="bottom"/>
            <w:hideMark/>
          </w:tcPr>
          <w:p w14:paraId="7EF52D9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400" w:type="dxa"/>
            <w:tcBorders>
              <w:top w:val="nil"/>
              <w:left w:val="nil"/>
              <w:bottom w:val="nil"/>
              <w:right w:val="nil"/>
            </w:tcBorders>
            <w:shd w:val="clear" w:color="auto" w:fill="auto"/>
            <w:noWrap/>
            <w:vAlign w:val="bottom"/>
            <w:hideMark/>
          </w:tcPr>
          <w:p w14:paraId="1EE247A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62" w:type="dxa"/>
            <w:tcBorders>
              <w:top w:val="nil"/>
              <w:left w:val="nil"/>
              <w:bottom w:val="nil"/>
              <w:right w:val="nil"/>
            </w:tcBorders>
            <w:shd w:val="clear" w:color="auto" w:fill="auto"/>
            <w:noWrap/>
            <w:vAlign w:val="bottom"/>
            <w:hideMark/>
          </w:tcPr>
          <w:p w14:paraId="69E3B732"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5FF7D7B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421BB6E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40" w:type="dxa"/>
            <w:tcBorders>
              <w:top w:val="nil"/>
              <w:left w:val="nil"/>
              <w:bottom w:val="nil"/>
              <w:right w:val="nil"/>
            </w:tcBorders>
            <w:shd w:val="clear" w:color="auto" w:fill="auto"/>
            <w:noWrap/>
            <w:vAlign w:val="bottom"/>
            <w:hideMark/>
          </w:tcPr>
          <w:p w14:paraId="3C4404C5"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1.6*</w:t>
            </w:r>
          </w:p>
        </w:tc>
        <w:tc>
          <w:tcPr>
            <w:tcW w:w="400" w:type="dxa"/>
            <w:tcBorders>
              <w:top w:val="nil"/>
              <w:left w:val="nil"/>
              <w:bottom w:val="nil"/>
              <w:right w:val="nil"/>
            </w:tcBorders>
            <w:shd w:val="clear" w:color="auto" w:fill="auto"/>
            <w:noWrap/>
            <w:vAlign w:val="bottom"/>
            <w:hideMark/>
          </w:tcPr>
          <w:p w14:paraId="1877DF6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400" w:type="dxa"/>
            <w:tcBorders>
              <w:top w:val="nil"/>
              <w:left w:val="nil"/>
              <w:bottom w:val="nil"/>
              <w:right w:val="nil"/>
            </w:tcBorders>
            <w:shd w:val="clear" w:color="auto" w:fill="auto"/>
            <w:noWrap/>
            <w:vAlign w:val="bottom"/>
            <w:hideMark/>
          </w:tcPr>
          <w:p w14:paraId="49C1F9C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1.9</w:t>
            </w:r>
          </w:p>
        </w:tc>
        <w:tc>
          <w:tcPr>
            <w:tcW w:w="1200" w:type="dxa"/>
            <w:tcBorders>
              <w:top w:val="nil"/>
              <w:left w:val="nil"/>
              <w:bottom w:val="nil"/>
              <w:right w:val="nil"/>
            </w:tcBorders>
            <w:shd w:val="clear" w:color="auto" w:fill="auto"/>
            <w:noWrap/>
            <w:vAlign w:val="bottom"/>
            <w:hideMark/>
          </w:tcPr>
          <w:p w14:paraId="3197800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1C17BD1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55BD59A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r w:rsidR="00CB49ED" w:rsidRPr="00CE6AFA" w14:paraId="4D3E166F" w14:textId="77777777" w:rsidTr="009C4E41">
        <w:trPr>
          <w:trHeight w:val="300"/>
        </w:trPr>
        <w:tc>
          <w:tcPr>
            <w:tcW w:w="1107" w:type="dxa"/>
            <w:tcBorders>
              <w:top w:val="nil"/>
              <w:left w:val="nil"/>
              <w:bottom w:val="nil"/>
              <w:right w:val="nil"/>
            </w:tcBorders>
            <w:shd w:val="clear" w:color="auto" w:fill="auto"/>
            <w:noWrap/>
            <w:vAlign w:val="bottom"/>
            <w:hideMark/>
          </w:tcPr>
          <w:p w14:paraId="0D4B461E"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Portugal</w:t>
            </w:r>
          </w:p>
        </w:tc>
        <w:tc>
          <w:tcPr>
            <w:tcW w:w="1200" w:type="dxa"/>
            <w:tcBorders>
              <w:top w:val="nil"/>
              <w:left w:val="nil"/>
              <w:bottom w:val="nil"/>
              <w:right w:val="nil"/>
            </w:tcBorders>
            <w:shd w:val="clear" w:color="auto" w:fill="auto"/>
            <w:noWrap/>
            <w:vAlign w:val="bottom"/>
            <w:hideMark/>
          </w:tcPr>
          <w:p w14:paraId="1BCDB0A3"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3CFE187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7AFE1A8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62" w:type="dxa"/>
            <w:tcBorders>
              <w:top w:val="nil"/>
              <w:left w:val="nil"/>
              <w:bottom w:val="nil"/>
              <w:right w:val="nil"/>
            </w:tcBorders>
            <w:shd w:val="clear" w:color="auto" w:fill="auto"/>
            <w:noWrap/>
            <w:vAlign w:val="bottom"/>
            <w:hideMark/>
          </w:tcPr>
          <w:p w14:paraId="014C597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69116C3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5C71847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40" w:type="dxa"/>
            <w:tcBorders>
              <w:top w:val="nil"/>
              <w:left w:val="nil"/>
              <w:bottom w:val="nil"/>
              <w:right w:val="nil"/>
            </w:tcBorders>
            <w:shd w:val="clear" w:color="auto" w:fill="auto"/>
            <w:noWrap/>
            <w:vAlign w:val="bottom"/>
            <w:hideMark/>
          </w:tcPr>
          <w:p w14:paraId="09F3087F"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2.0*</w:t>
            </w:r>
          </w:p>
        </w:tc>
        <w:tc>
          <w:tcPr>
            <w:tcW w:w="400" w:type="dxa"/>
            <w:tcBorders>
              <w:top w:val="nil"/>
              <w:left w:val="nil"/>
              <w:bottom w:val="nil"/>
              <w:right w:val="nil"/>
            </w:tcBorders>
            <w:shd w:val="clear" w:color="auto" w:fill="auto"/>
            <w:noWrap/>
            <w:vAlign w:val="bottom"/>
            <w:hideMark/>
          </w:tcPr>
          <w:p w14:paraId="4B99A60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400" w:type="dxa"/>
            <w:tcBorders>
              <w:top w:val="nil"/>
              <w:left w:val="nil"/>
              <w:bottom w:val="nil"/>
              <w:right w:val="nil"/>
            </w:tcBorders>
            <w:shd w:val="clear" w:color="auto" w:fill="auto"/>
            <w:noWrap/>
            <w:vAlign w:val="bottom"/>
            <w:hideMark/>
          </w:tcPr>
          <w:p w14:paraId="60828B9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3.0</w:t>
            </w:r>
          </w:p>
        </w:tc>
        <w:tc>
          <w:tcPr>
            <w:tcW w:w="1200" w:type="dxa"/>
            <w:tcBorders>
              <w:top w:val="nil"/>
              <w:left w:val="nil"/>
              <w:bottom w:val="nil"/>
              <w:right w:val="nil"/>
            </w:tcBorders>
            <w:shd w:val="clear" w:color="auto" w:fill="auto"/>
            <w:noWrap/>
            <w:vAlign w:val="bottom"/>
            <w:hideMark/>
          </w:tcPr>
          <w:p w14:paraId="0B3128A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nil"/>
              <w:right w:val="nil"/>
            </w:tcBorders>
            <w:shd w:val="clear" w:color="auto" w:fill="auto"/>
            <w:noWrap/>
            <w:vAlign w:val="bottom"/>
            <w:hideMark/>
          </w:tcPr>
          <w:p w14:paraId="77F11C2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7D1F8A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1.5</w:t>
            </w:r>
          </w:p>
        </w:tc>
      </w:tr>
      <w:tr w:rsidR="00CB49ED" w:rsidRPr="00CE6AFA" w14:paraId="1C384429" w14:textId="77777777" w:rsidTr="009C4E41">
        <w:trPr>
          <w:trHeight w:val="300"/>
        </w:trPr>
        <w:tc>
          <w:tcPr>
            <w:tcW w:w="1107" w:type="dxa"/>
            <w:tcBorders>
              <w:top w:val="nil"/>
              <w:left w:val="nil"/>
              <w:bottom w:val="nil"/>
              <w:right w:val="nil"/>
            </w:tcBorders>
            <w:shd w:val="clear" w:color="auto" w:fill="auto"/>
            <w:noWrap/>
            <w:vAlign w:val="bottom"/>
            <w:hideMark/>
          </w:tcPr>
          <w:p w14:paraId="61EF7777"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Slovenia</w:t>
            </w:r>
          </w:p>
        </w:tc>
        <w:tc>
          <w:tcPr>
            <w:tcW w:w="1200" w:type="dxa"/>
            <w:tcBorders>
              <w:top w:val="nil"/>
              <w:left w:val="nil"/>
              <w:bottom w:val="nil"/>
              <w:right w:val="nil"/>
            </w:tcBorders>
            <w:shd w:val="clear" w:color="auto" w:fill="auto"/>
            <w:noWrap/>
            <w:vAlign w:val="bottom"/>
            <w:hideMark/>
          </w:tcPr>
          <w:p w14:paraId="3AC6F396"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nil"/>
              <w:right w:val="nil"/>
            </w:tcBorders>
            <w:shd w:val="clear" w:color="auto" w:fill="auto"/>
            <w:noWrap/>
            <w:vAlign w:val="bottom"/>
            <w:hideMark/>
          </w:tcPr>
          <w:p w14:paraId="7D7B95C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092E2720"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62" w:type="dxa"/>
            <w:tcBorders>
              <w:top w:val="nil"/>
              <w:left w:val="nil"/>
              <w:bottom w:val="nil"/>
              <w:right w:val="nil"/>
            </w:tcBorders>
            <w:shd w:val="clear" w:color="auto" w:fill="auto"/>
            <w:noWrap/>
            <w:vAlign w:val="bottom"/>
            <w:hideMark/>
          </w:tcPr>
          <w:p w14:paraId="4A9FA7B4"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69F17D4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05F10C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40" w:type="dxa"/>
            <w:tcBorders>
              <w:top w:val="nil"/>
              <w:left w:val="nil"/>
              <w:bottom w:val="nil"/>
              <w:right w:val="nil"/>
            </w:tcBorders>
            <w:shd w:val="clear" w:color="auto" w:fill="auto"/>
            <w:noWrap/>
            <w:vAlign w:val="bottom"/>
            <w:hideMark/>
          </w:tcPr>
          <w:p w14:paraId="0A13D79F"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3643B81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5EFB2A1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200" w:type="dxa"/>
            <w:tcBorders>
              <w:top w:val="nil"/>
              <w:left w:val="nil"/>
              <w:bottom w:val="nil"/>
              <w:right w:val="nil"/>
            </w:tcBorders>
            <w:shd w:val="clear" w:color="auto" w:fill="auto"/>
            <w:noWrap/>
            <w:vAlign w:val="bottom"/>
            <w:hideMark/>
          </w:tcPr>
          <w:p w14:paraId="6489BFD7"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1.2</w:t>
            </w:r>
          </w:p>
        </w:tc>
        <w:tc>
          <w:tcPr>
            <w:tcW w:w="400" w:type="dxa"/>
            <w:tcBorders>
              <w:top w:val="nil"/>
              <w:left w:val="nil"/>
              <w:bottom w:val="nil"/>
              <w:right w:val="nil"/>
            </w:tcBorders>
            <w:shd w:val="clear" w:color="auto" w:fill="auto"/>
            <w:noWrap/>
            <w:vAlign w:val="bottom"/>
            <w:hideMark/>
          </w:tcPr>
          <w:p w14:paraId="13918A0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5167F53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r>
      <w:tr w:rsidR="00CB49ED" w:rsidRPr="00CE6AFA" w14:paraId="4EBFA656" w14:textId="77777777" w:rsidTr="009C4E41">
        <w:trPr>
          <w:trHeight w:val="300"/>
        </w:trPr>
        <w:tc>
          <w:tcPr>
            <w:tcW w:w="1107" w:type="dxa"/>
            <w:tcBorders>
              <w:top w:val="nil"/>
              <w:left w:val="nil"/>
              <w:bottom w:val="nil"/>
              <w:right w:val="nil"/>
            </w:tcBorders>
            <w:shd w:val="clear" w:color="auto" w:fill="auto"/>
            <w:noWrap/>
            <w:vAlign w:val="bottom"/>
            <w:hideMark/>
          </w:tcPr>
          <w:p w14:paraId="359B9D4E"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Spain</w:t>
            </w:r>
          </w:p>
        </w:tc>
        <w:tc>
          <w:tcPr>
            <w:tcW w:w="1200" w:type="dxa"/>
            <w:tcBorders>
              <w:top w:val="nil"/>
              <w:left w:val="nil"/>
              <w:bottom w:val="nil"/>
              <w:right w:val="nil"/>
            </w:tcBorders>
            <w:shd w:val="clear" w:color="auto" w:fill="auto"/>
            <w:noWrap/>
            <w:vAlign w:val="bottom"/>
            <w:hideMark/>
          </w:tcPr>
          <w:p w14:paraId="2DEE8CF5"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33A261C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778CFF47"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62" w:type="dxa"/>
            <w:tcBorders>
              <w:top w:val="nil"/>
              <w:left w:val="nil"/>
              <w:bottom w:val="nil"/>
              <w:right w:val="nil"/>
            </w:tcBorders>
            <w:shd w:val="clear" w:color="auto" w:fill="auto"/>
            <w:noWrap/>
            <w:vAlign w:val="bottom"/>
            <w:hideMark/>
          </w:tcPr>
          <w:p w14:paraId="772A42A5"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2B4BBDE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13C0706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40" w:type="dxa"/>
            <w:tcBorders>
              <w:top w:val="nil"/>
              <w:left w:val="nil"/>
              <w:bottom w:val="nil"/>
              <w:right w:val="nil"/>
            </w:tcBorders>
            <w:shd w:val="clear" w:color="auto" w:fill="auto"/>
            <w:noWrap/>
            <w:vAlign w:val="bottom"/>
            <w:hideMark/>
          </w:tcPr>
          <w:p w14:paraId="58A3F495"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1.4*</w:t>
            </w:r>
          </w:p>
        </w:tc>
        <w:tc>
          <w:tcPr>
            <w:tcW w:w="400" w:type="dxa"/>
            <w:tcBorders>
              <w:top w:val="nil"/>
              <w:left w:val="nil"/>
              <w:bottom w:val="nil"/>
              <w:right w:val="nil"/>
            </w:tcBorders>
            <w:shd w:val="clear" w:color="auto" w:fill="auto"/>
            <w:noWrap/>
            <w:vAlign w:val="bottom"/>
            <w:hideMark/>
          </w:tcPr>
          <w:p w14:paraId="24EACC9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400" w:type="dxa"/>
            <w:tcBorders>
              <w:top w:val="nil"/>
              <w:left w:val="nil"/>
              <w:bottom w:val="nil"/>
              <w:right w:val="nil"/>
            </w:tcBorders>
            <w:shd w:val="clear" w:color="auto" w:fill="auto"/>
            <w:noWrap/>
            <w:vAlign w:val="bottom"/>
            <w:hideMark/>
          </w:tcPr>
          <w:p w14:paraId="5EB6F21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1.7</w:t>
            </w:r>
          </w:p>
        </w:tc>
        <w:tc>
          <w:tcPr>
            <w:tcW w:w="1200" w:type="dxa"/>
            <w:tcBorders>
              <w:top w:val="nil"/>
              <w:left w:val="nil"/>
              <w:bottom w:val="nil"/>
              <w:right w:val="nil"/>
            </w:tcBorders>
            <w:shd w:val="clear" w:color="auto" w:fill="auto"/>
            <w:noWrap/>
            <w:vAlign w:val="bottom"/>
            <w:hideMark/>
          </w:tcPr>
          <w:p w14:paraId="2B71B877"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44BE86D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5C47EF99"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r>
      <w:tr w:rsidR="00CB49ED" w:rsidRPr="00CE6AFA" w14:paraId="32B8173A" w14:textId="77777777" w:rsidTr="009C4E41">
        <w:trPr>
          <w:trHeight w:val="300"/>
        </w:trPr>
        <w:tc>
          <w:tcPr>
            <w:tcW w:w="1107" w:type="dxa"/>
            <w:tcBorders>
              <w:top w:val="nil"/>
              <w:left w:val="nil"/>
              <w:bottom w:val="nil"/>
              <w:right w:val="nil"/>
            </w:tcBorders>
            <w:shd w:val="clear" w:color="auto" w:fill="auto"/>
            <w:noWrap/>
            <w:vAlign w:val="bottom"/>
            <w:hideMark/>
          </w:tcPr>
          <w:p w14:paraId="295CFE58"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Sweden</w:t>
            </w:r>
          </w:p>
        </w:tc>
        <w:tc>
          <w:tcPr>
            <w:tcW w:w="1200" w:type="dxa"/>
            <w:tcBorders>
              <w:top w:val="nil"/>
              <w:left w:val="nil"/>
              <w:bottom w:val="nil"/>
              <w:right w:val="nil"/>
            </w:tcBorders>
            <w:shd w:val="clear" w:color="auto" w:fill="auto"/>
            <w:noWrap/>
            <w:vAlign w:val="bottom"/>
            <w:hideMark/>
          </w:tcPr>
          <w:p w14:paraId="6F964C49"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73F96FF2"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4348989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62" w:type="dxa"/>
            <w:tcBorders>
              <w:top w:val="nil"/>
              <w:left w:val="nil"/>
              <w:bottom w:val="nil"/>
              <w:right w:val="nil"/>
            </w:tcBorders>
            <w:shd w:val="clear" w:color="auto" w:fill="auto"/>
            <w:noWrap/>
            <w:vAlign w:val="bottom"/>
            <w:hideMark/>
          </w:tcPr>
          <w:p w14:paraId="5313A90F"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1.1*</w:t>
            </w:r>
          </w:p>
        </w:tc>
        <w:tc>
          <w:tcPr>
            <w:tcW w:w="400" w:type="dxa"/>
            <w:tcBorders>
              <w:top w:val="nil"/>
              <w:left w:val="nil"/>
              <w:bottom w:val="nil"/>
              <w:right w:val="nil"/>
            </w:tcBorders>
            <w:shd w:val="clear" w:color="auto" w:fill="auto"/>
            <w:noWrap/>
            <w:vAlign w:val="bottom"/>
            <w:hideMark/>
          </w:tcPr>
          <w:p w14:paraId="34497F1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029E4D23"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40" w:type="dxa"/>
            <w:tcBorders>
              <w:top w:val="nil"/>
              <w:left w:val="nil"/>
              <w:bottom w:val="nil"/>
              <w:right w:val="nil"/>
            </w:tcBorders>
            <w:shd w:val="clear" w:color="auto" w:fill="auto"/>
            <w:noWrap/>
            <w:vAlign w:val="bottom"/>
            <w:hideMark/>
          </w:tcPr>
          <w:p w14:paraId="0E01E3C7"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1.1*</w:t>
            </w:r>
          </w:p>
        </w:tc>
        <w:tc>
          <w:tcPr>
            <w:tcW w:w="400" w:type="dxa"/>
            <w:tcBorders>
              <w:top w:val="nil"/>
              <w:left w:val="nil"/>
              <w:bottom w:val="nil"/>
              <w:right w:val="nil"/>
            </w:tcBorders>
            <w:shd w:val="clear" w:color="auto" w:fill="auto"/>
            <w:noWrap/>
            <w:vAlign w:val="bottom"/>
            <w:hideMark/>
          </w:tcPr>
          <w:p w14:paraId="798BF54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nil"/>
              <w:right w:val="nil"/>
            </w:tcBorders>
            <w:shd w:val="clear" w:color="auto" w:fill="auto"/>
            <w:noWrap/>
            <w:vAlign w:val="bottom"/>
            <w:hideMark/>
          </w:tcPr>
          <w:p w14:paraId="094D872D"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200" w:type="dxa"/>
            <w:tcBorders>
              <w:top w:val="nil"/>
              <w:left w:val="nil"/>
              <w:bottom w:val="nil"/>
              <w:right w:val="nil"/>
            </w:tcBorders>
            <w:shd w:val="clear" w:color="auto" w:fill="auto"/>
            <w:noWrap/>
            <w:vAlign w:val="bottom"/>
            <w:hideMark/>
          </w:tcPr>
          <w:p w14:paraId="7E478FD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1A669B7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0.8</w:t>
            </w:r>
          </w:p>
        </w:tc>
        <w:tc>
          <w:tcPr>
            <w:tcW w:w="400" w:type="dxa"/>
            <w:tcBorders>
              <w:top w:val="nil"/>
              <w:left w:val="nil"/>
              <w:bottom w:val="nil"/>
              <w:right w:val="nil"/>
            </w:tcBorders>
            <w:shd w:val="clear" w:color="auto" w:fill="auto"/>
            <w:noWrap/>
            <w:vAlign w:val="bottom"/>
            <w:hideMark/>
          </w:tcPr>
          <w:p w14:paraId="6D6765C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r>
      <w:tr w:rsidR="00CB49ED" w:rsidRPr="00CE6AFA" w14:paraId="52EE7692" w14:textId="77777777" w:rsidTr="009C4E41">
        <w:trPr>
          <w:trHeight w:val="300"/>
        </w:trPr>
        <w:tc>
          <w:tcPr>
            <w:tcW w:w="1107" w:type="dxa"/>
            <w:tcBorders>
              <w:top w:val="nil"/>
              <w:left w:val="nil"/>
              <w:bottom w:val="nil"/>
              <w:right w:val="nil"/>
            </w:tcBorders>
            <w:shd w:val="clear" w:color="auto" w:fill="auto"/>
            <w:noWrap/>
            <w:vAlign w:val="bottom"/>
            <w:hideMark/>
          </w:tcPr>
          <w:p w14:paraId="5B5FCBD5"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Switzerland</w:t>
            </w:r>
          </w:p>
        </w:tc>
        <w:tc>
          <w:tcPr>
            <w:tcW w:w="1200" w:type="dxa"/>
            <w:tcBorders>
              <w:top w:val="nil"/>
              <w:left w:val="nil"/>
              <w:bottom w:val="nil"/>
              <w:right w:val="nil"/>
            </w:tcBorders>
            <w:shd w:val="clear" w:color="auto" w:fill="auto"/>
            <w:noWrap/>
            <w:vAlign w:val="bottom"/>
            <w:hideMark/>
          </w:tcPr>
          <w:p w14:paraId="051B9A53"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1.0</w:t>
            </w:r>
          </w:p>
        </w:tc>
        <w:tc>
          <w:tcPr>
            <w:tcW w:w="400" w:type="dxa"/>
            <w:tcBorders>
              <w:top w:val="nil"/>
              <w:left w:val="nil"/>
              <w:bottom w:val="nil"/>
              <w:right w:val="nil"/>
            </w:tcBorders>
            <w:shd w:val="clear" w:color="auto" w:fill="auto"/>
            <w:noWrap/>
            <w:vAlign w:val="bottom"/>
            <w:hideMark/>
          </w:tcPr>
          <w:p w14:paraId="0EFC23D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79F8BA9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062" w:type="dxa"/>
            <w:tcBorders>
              <w:top w:val="nil"/>
              <w:left w:val="nil"/>
              <w:bottom w:val="nil"/>
              <w:right w:val="nil"/>
            </w:tcBorders>
            <w:shd w:val="clear" w:color="auto" w:fill="auto"/>
            <w:noWrap/>
            <w:vAlign w:val="bottom"/>
            <w:hideMark/>
          </w:tcPr>
          <w:p w14:paraId="561AFC82"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1.3*</w:t>
            </w:r>
          </w:p>
        </w:tc>
        <w:tc>
          <w:tcPr>
            <w:tcW w:w="400" w:type="dxa"/>
            <w:tcBorders>
              <w:top w:val="nil"/>
              <w:left w:val="nil"/>
              <w:bottom w:val="nil"/>
              <w:right w:val="nil"/>
            </w:tcBorders>
            <w:shd w:val="clear" w:color="auto" w:fill="auto"/>
            <w:noWrap/>
            <w:vAlign w:val="bottom"/>
            <w:hideMark/>
          </w:tcPr>
          <w:p w14:paraId="6455F65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400" w:type="dxa"/>
            <w:tcBorders>
              <w:top w:val="nil"/>
              <w:left w:val="nil"/>
              <w:bottom w:val="nil"/>
              <w:right w:val="nil"/>
            </w:tcBorders>
            <w:shd w:val="clear" w:color="auto" w:fill="auto"/>
            <w:noWrap/>
            <w:vAlign w:val="bottom"/>
            <w:hideMark/>
          </w:tcPr>
          <w:p w14:paraId="50D8761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1.4</w:t>
            </w:r>
          </w:p>
        </w:tc>
        <w:tc>
          <w:tcPr>
            <w:tcW w:w="1040" w:type="dxa"/>
            <w:tcBorders>
              <w:top w:val="nil"/>
              <w:left w:val="nil"/>
              <w:bottom w:val="nil"/>
              <w:right w:val="nil"/>
            </w:tcBorders>
            <w:shd w:val="clear" w:color="auto" w:fill="auto"/>
            <w:noWrap/>
            <w:vAlign w:val="bottom"/>
            <w:hideMark/>
          </w:tcPr>
          <w:p w14:paraId="1B38492C"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595BE284"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350DD15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200" w:type="dxa"/>
            <w:tcBorders>
              <w:top w:val="nil"/>
              <w:left w:val="nil"/>
              <w:bottom w:val="nil"/>
              <w:right w:val="nil"/>
            </w:tcBorders>
            <w:shd w:val="clear" w:color="auto" w:fill="auto"/>
            <w:noWrap/>
            <w:vAlign w:val="bottom"/>
            <w:hideMark/>
          </w:tcPr>
          <w:p w14:paraId="6E26072B"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nil"/>
              <w:right w:val="nil"/>
            </w:tcBorders>
            <w:shd w:val="clear" w:color="auto" w:fill="auto"/>
            <w:noWrap/>
            <w:vAlign w:val="bottom"/>
            <w:hideMark/>
          </w:tcPr>
          <w:p w14:paraId="43EDFEC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nil"/>
              <w:right w:val="nil"/>
            </w:tcBorders>
            <w:shd w:val="clear" w:color="auto" w:fill="auto"/>
            <w:noWrap/>
            <w:vAlign w:val="bottom"/>
            <w:hideMark/>
          </w:tcPr>
          <w:p w14:paraId="1C53B90A"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r w:rsidR="00CB49ED" w:rsidRPr="00CE6AFA" w14:paraId="03CFF4F7" w14:textId="77777777" w:rsidTr="009C4E41">
        <w:trPr>
          <w:trHeight w:val="300"/>
        </w:trPr>
        <w:tc>
          <w:tcPr>
            <w:tcW w:w="1107" w:type="dxa"/>
            <w:tcBorders>
              <w:top w:val="nil"/>
              <w:left w:val="nil"/>
              <w:bottom w:val="single" w:sz="4" w:space="0" w:color="auto"/>
              <w:right w:val="nil"/>
            </w:tcBorders>
            <w:shd w:val="clear" w:color="auto" w:fill="auto"/>
            <w:noWrap/>
            <w:vAlign w:val="bottom"/>
            <w:hideMark/>
          </w:tcPr>
          <w:p w14:paraId="214792E3" w14:textId="77777777" w:rsidR="00CB49ED" w:rsidRPr="00353B2E" w:rsidRDefault="00CB49ED" w:rsidP="009C4E41">
            <w:pPr>
              <w:spacing w:after="0" w:line="240" w:lineRule="auto"/>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UK</w:t>
            </w:r>
          </w:p>
        </w:tc>
        <w:tc>
          <w:tcPr>
            <w:tcW w:w="1200" w:type="dxa"/>
            <w:tcBorders>
              <w:top w:val="nil"/>
              <w:left w:val="nil"/>
              <w:bottom w:val="single" w:sz="4" w:space="0" w:color="auto"/>
              <w:right w:val="nil"/>
            </w:tcBorders>
            <w:shd w:val="clear" w:color="auto" w:fill="auto"/>
            <w:noWrap/>
            <w:vAlign w:val="bottom"/>
            <w:hideMark/>
          </w:tcPr>
          <w:p w14:paraId="51DACBC1"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0.9</w:t>
            </w:r>
          </w:p>
        </w:tc>
        <w:tc>
          <w:tcPr>
            <w:tcW w:w="400" w:type="dxa"/>
            <w:tcBorders>
              <w:top w:val="nil"/>
              <w:left w:val="nil"/>
              <w:bottom w:val="single" w:sz="4" w:space="0" w:color="auto"/>
              <w:right w:val="nil"/>
            </w:tcBorders>
            <w:shd w:val="clear" w:color="auto" w:fill="auto"/>
            <w:noWrap/>
            <w:vAlign w:val="bottom"/>
            <w:hideMark/>
          </w:tcPr>
          <w:p w14:paraId="51C79B48"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0.9</w:t>
            </w:r>
          </w:p>
        </w:tc>
        <w:tc>
          <w:tcPr>
            <w:tcW w:w="400" w:type="dxa"/>
            <w:tcBorders>
              <w:top w:val="nil"/>
              <w:left w:val="nil"/>
              <w:bottom w:val="single" w:sz="4" w:space="0" w:color="auto"/>
              <w:right w:val="nil"/>
            </w:tcBorders>
            <w:shd w:val="clear" w:color="auto" w:fill="auto"/>
            <w:noWrap/>
            <w:vAlign w:val="bottom"/>
            <w:hideMark/>
          </w:tcPr>
          <w:p w14:paraId="719CEFC5"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1.1</w:t>
            </w:r>
          </w:p>
        </w:tc>
        <w:tc>
          <w:tcPr>
            <w:tcW w:w="1062" w:type="dxa"/>
            <w:tcBorders>
              <w:top w:val="nil"/>
              <w:left w:val="nil"/>
              <w:bottom w:val="single" w:sz="4" w:space="0" w:color="auto"/>
              <w:right w:val="nil"/>
            </w:tcBorders>
            <w:shd w:val="clear" w:color="auto" w:fill="auto"/>
            <w:noWrap/>
            <w:vAlign w:val="bottom"/>
            <w:hideMark/>
          </w:tcPr>
          <w:p w14:paraId="2CA757DF"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single" w:sz="4" w:space="0" w:color="auto"/>
              <w:right w:val="nil"/>
            </w:tcBorders>
            <w:shd w:val="clear" w:color="auto" w:fill="auto"/>
            <w:noWrap/>
            <w:vAlign w:val="bottom"/>
            <w:hideMark/>
          </w:tcPr>
          <w:p w14:paraId="2AE2D0DE"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single" w:sz="4" w:space="0" w:color="auto"/>
              <w:right w:val="nil"/>
            </w:tcBorders>
            <w:shd w:val="clear" w:color="auto" w:fill="auto"/>
            <w:noWrap/>
            <w:vAlign w:val="bottom"/>
            <w:hideMark/>
          </w:tcPr>
          <w:p w14:paraId="5A7399BB"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c>
          <w:tcPr>
            <w:tcW w:w="1040" w:type="dxa"/>
            <w:tcBorders>
              <w:top w:val="nil"/>
              <w:left w:val="nil"/>
              <w:bottom w:val="single" w:sz="4" w:space="0" w:color="auto"/>
              <w:right w:val="nil"/>
            </w:tcBorders>
            <w:shd w:val="clear" w:color="auto" w:fill="auto"/>
            <w:noWrap/>
            <w:vAlign w:val="bottom"/>
            <w:hideMark/>
          </w:tcPr>
          <w:p w14:paraId="1FDD86E8" w14:textId="77777777" w:rsidR="00CB49ED" w:rsidRPr="00353B2E" w:rsidRDefault="00CB49ED" w:rsidP="009C4E41">
            <w:pPr>
              <w:spacing w:after="0" w:line="240" w:lineRule="auto"/>
              <w:jc w:val="center"/>
              <w:rPr>
                <w:rFonts w:ascii="Times New Roman" w:eastAsia="Times New Roman" w:hAnsi="Times New Roman" w:cs="Times New Roman"/>
                <w:bCs/>
                <w:sz w:val="20"/>
                <w:szCs w:val="20"/>
                <w:lang w:eastAsia="nb-NO"/>
              </w:rPr>
            </w:pPr>
            <w:r w:rsidRPr="00353B2E">
              <w:rPr>
                <w:rFonts w:ascii="Times New Roman" w:eastAsia="Times New Roman" w:hAnsi="Times New Roman" w:cs="Times New Roman"/>
                <w:bCs/>
                <w:sz w:val="20"/>
                <w:szCs w:val="20"/>
                <w:lang w:eastAsia="nb-NO"/>
              </w:rPr>
              <w:t>1.1*</w:t>
            </w:r>
          </w:p>
        </w:tc>
        <w:tc>
          <w:tcPr>
            <w:tcW w:w="400" w:type="dxa"/>
            <w:tcBorders>
              <w:top w:val="nil"/>
              <w:left w:val="nil"/>
              <w:bottom w:val="single" w:sz="4" w:space="0" w:color="auto"/>
              <w:right w:val="nil"/>
            </w:tcBorders>
            <w:shd w:val="clear" w:color="auto" w:fill="auto"/>
            <w:noWrap/>
            <w:vAlign w:val="bottom"/>
            <w:hideMark/>
          </w:tcPr>
          <w:p w14:paraId="108D424F"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single" w:sz="4" w:space="0" w:color="auto"/>
              <w:right w:val="nil"/>
            </w:tcBorders>
            <w:shd w:val="clear" w:color="auto" w:fill="auto"/>
            <w:noWrap/>
            <w:vAlign w:val="bottom"/>
            <w:hideMark/>
          </w:tcPr>
          <w:p w14:paraId="163583E1"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1.3</w:t>
            </w:r>
          </w:p>
        </w:tc>
        <w:tc>
          <w:tcPr>
            <w:tcW w:w="1200" w:type="dxa"/>
            <w:tcBorders>
              <w:top w:val="nil"/>
              <w:left w:val="nil"/>
              <w:bottom w:val="single" w:sz="4" w:space="0" w:color="auto"/>
              <w:right w:val="nil"/>
            </w:tcBorders>
            <w:shd w:val="clear" w:color="auto" w:fill="auto"/>
            <w:noWrap/>
            <w:vAlign w:val="bottom"/>
            <w:hideMark/>
          </w:tcPr>
          <w:p w14:paraId="1E11048A" w14:textId="77777777" w:rsidR="00CB49ED" w:rsidRPr="00353B2E" w:rsidRDefault="00CB49ED" w:rsidP="009C4E41">
            <w:pPr>
              <w:spacing w:after="0" w:line="240" w:lineRule="auto"/>
              <w:jc w:val="center"/>
              <w:rPr>
                <w:rFonts w:ascii="Times New Roman" w:eastAsia="Times New Roman" w:hAnsi="Times New Roman" w:cs="Times New Roman"/>
                <w:sz w:val="20"/>
                <w:szCs w:val="20"/>
                <w:lang w:eastAsia="nb-NO"/>
              </w:rPr>
            </w:pPr>
            <w:r w:rsidRPr="00353B2E">
              <w:rPr>
                <w:rFonts w:ascii="Times New Roman" w:eastAsia="Times New Roman" w:hAnsi="Times New Roman" w:cs="Times New Roman"/>
                <w:sz w:val="20"/>
                <w:szCs w:val="20"/>
                <w:lang w:eastAsia="nb-NO"/>
              </w:rPr>
              <w:t>1.1</w:t>
            </w:r>
          </w:p>
        </w:tc>
        <w:tc>
          <w:tcPr>
            <w:tcW w:w="400" w:type="dxa"/>
            <w:tcBorders>
              <w:top w:val="nil"/>
              <w:left w:val="nil"/>
              <w:bottom w:val="single" w:sz="4" w:space="0" w:color="auto"/>
              <w:right w:val="nil"/>
            </w:tcBorders>
            <w:shd w:val="clear" w:color="auto" w:fill="auto"/>
            <w:noWrap/>
            <w:vAlign w:val="bottom"/>
            <w:hideMark/>
          </w:tcPr>
          <w:p w14:paraId="0DE7E5A6"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1.0</w:t>
            </w:r>
          </w:p>
        </w:tc>
        <w:tc>
          <w:tcPr>
            <w:tcW w:w="400" w:type="dxa"/>
            <w:tcBorders>
              <w:top w:val="nil"/>
              <w:left w:val="nil"/>
              <w:bottom w:val="single" w:sz="4" w:space="0" w:color="auto"/>
              <w:right w:val="nil"/>
            </w:tcBorders>
            <w:shd w:val="clear" w:color="auto" w:fill="auto"/>
            <w:noWrap/>
            <w:vAlign w:val="bottom"/>
            <w:hideMark/>
          </w:tcPr>
          <w:p w14:paraId="1461B7AC" w14:textId="77777777" w:rsidR="00CB49ED" w:rsidRPr="00353B2E" w:rsidRDefault="00CB49ED" w:rsidP="009C4E41">
            <w:pPr>
              <w:spacing w:after="0" w:line="240" w:lineRule="auto"/>
              <w:jc w:val="center"/>
              <w:rPr>
                <w:rFonts w:ascii="Times New Roman" w:eastAsia="Times New Roman" w:hAnsi="Times New Roman" w:cs="Times New Roman"/>
                <w:color w:val="000000"/>
                <w:sz w:val="20"/>
                <w:szCs w:val="20"/>
                <w:lang w:eastAsia="nb-NO"/>
              </w:rPr>
            </w:pPr>
            <w:r w:rsidRPr="00353B2E">
              <w:rPr>
                <w:rFonts w:ascii="Times New Roman" w:eastAsia="Times New Roman" w:hAnsi="Times New Roman" w:cs="Times New Roman"/>
                <w:color w:val="000000"/>
                <w:sz w:val="20"/>
                <w:szCs w:val="20"/>
                <w:lang w:eastAsia="nb-NO"/>
              </w:rPr>
              <w:t>1.2</w:t>
            </w:r>
          </w:p>
        </w:tc>
      </w:tr>
    </w:tbl>
    <w:p w14:paraId="5BF5530A" w14:textId="77777777" w:rsidR="00CB49ED" w:rsidRPr="009C69EB" w:rsidRDefault="00CB49ED" w:rsidP="00CB49ED">
      <w:pPr>
        <w:pStyle w:val="NoSpacing"/>
        <w:rPr>
          <w:rFonts w:ascii="Times New Roman" w:hAnsi="Times New Roman" w:cs="Times New Roman"/>
          <w:sz w:val="24"/>
          <w:szCs w:val="24"/>
          <w:lang w:val="en-GB"/>
        </w:rPr>
      </w:pPr>
      <w:r w:rsidRPr="009C69EB">
        <w:rPr>
          <w:rFonts w:ascii="Times New Roman" w:hAnsi="Times New Roman" w:cs="Times New Roman"/>
          <w:sz w:val="24"/>
          <w:szCs w:val="24"/>
          <w:lang w:val="en-GB"/>
        </w:rPr>
        <w:t>*p &lt; 0.1</w:t>
      </w:r>
      <w:r>
        <w:rPr>
          <w:rFonts w:ascii="Times New Roman" w:hAnsi="Times New Roman" w:cs="Times New Roman"/>
          <w:sz w:val="24"/>
          <w:szCs w:val="24"/>
          <w:lang w:val="en-GB"/>
        </w:rPr>
        <w:t>.</w:t>
      </w:r>
      <w:r w:rsidRPr="009C69EB">
        <w:rPr>
          <w:rFonts w:ascii="Times New Roman" w:hAnsi="Times New Roman" w:cs="Times New Roman"/>
          <w:sz w:val="24"/>
          <w:szCs w:val="24"/>
          <w:lang w:val="en-GB"/>
        </w:rPr>
        <w:t xml:space="preserve"> </w:t>
      </w:r>
    </w:p>
    <w:p w14:paraId="6D7F8005" w14:textId="77777777" w:rsidR="00CB49ED" w:rsidRPr="009C69EB" w:rsidRDefault="00CB49ED" w:rsidP="00D73B69">
      <w:pPr>
        <w:pStyle w:val="NoSpacing"/>
        <w:rPr>
          <w:rFonts w:ascii="Times New Roman" w:hAnsi="Times New Roman" w:cs="Times New Roman"/>
          <w:sz w:val="24"/>
          <w:szCs w:val="24"/>
          <w:lang w:val="en-GB"/>
        </w:rPr>
      </w:pPr>
    </w:p>
    <w:p w14:paraId="6F448548" w14:textId="77777777" w:rsidR="00E25BDB" w:rsidRDefault="00E25BDB">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32BA0DB9" w14:textId="77777777" w:rsidR="00E25BDB" w:rsidRDefault="00E25BDB">
      <w:pPr>
        <w:rPr>
          <w:rFonts w:ascii="Times New Roman" w:hAnsi="Times New Roman" w:cs="Times New Roman"/>
          <w:b/>
          <w:sz w:val="28"/>
          <w:szCs w:val="28"/>
          <w:lang w:val="en-GB"/>
        </w:rPr>
        <w:sectPr w:rsidR="00E25BDB" w:rsidSect="00D73B69">
          <w:pgSz w:w="11906" w:h="16838" w:code="9"/>
          <w:pgMar w:top="1418" w:right="1418" w:bottom="1418" w:left="1418" w:header="709" w:footer="709" w:gutter="0"/>
          <w:cols w:space="708"/>
          <w:docGrid w:linePitch="360"/>
        </w:sectPr>
      </w:pPr>
    </w:p>
    <w:p w14:paraId="736F1BA7" w14:textId="55818518" w:rsidR="00AB1700" w:rsidRPr="00C153E9" w:rsidRDefault="00AB1700" w:rsidP="00C153E9">
      <w:pPr>
        <w:pStyle w:val="NoSpacing"/>
        <w:rPr>
          <w:rFonts w:ascii="Times New Roman" w:hAnsi="Times New Roman" w:cs="Times New Roman"/>
          <w:b/>
          <w:sz w:val="28"/>
          <w:szCs w:val="28"/>
          <w:lang w:val="en-GB"/>
        </w:rPr>
      </w:pPr>
      <w:r w:rsidRPr="00C153E9">
        <w:rPr>
          <w:rFonts w:ascii="Times New Roman" w:hAnsi="Times New Roman" w:cs="Times New Roman"/>
          <w:b/>
          <w:sz w:val="28"/>
          <w:szCs w:val="28"/>
          <w:lang w:val="en-GB"/>
        </w:rPr>
        <w:lastRenderedPageBreak/>
        <w:t>Appendix 3</w:t>
      </w:r>
      <w:r w:rsidR="00D96B72">
        <w:rPr>
          <w:rFonts w:ascii="Times New Roman" w:hAnsi="Times New Roman" w:cs="Times New Roman"/>
          <w:b/>
          <w:sz w:val="28"/>
          <w:szCs w:val="28"/>
          <w:lang w:val="en-GB"/>
        </w:rPr>
        <w:t>: Adjusted risk ratios (ARRs) (high-middle group)</w:t>
      </w:r>
    </w:p>
    <w:tbl>
      <w:tblPr>
        <w:tblStyle w:val="TableGrid"/>
        <w:tblW w:w="0" w:type="auto"/>
        <w:tblInd w:w="720" w:type="dxa"/>
        <w:tblCellMar>
          <w:left w:w="70" w:type="dxa"/>
          <w:right w:w="70" w:type="dxa"/>
        </w:tblCellMar>
        <w:tblLook w:val="04A0" w:firstRow="1" w:lastRow="0" w:firstColumn="1" w:lastColumn="0" w:noHBand="0" w:noVBand="1"/>
      </w:tblPr>
      <w:tblGrid>
        <w:gridCol w:w="6738"/>
        <w:gridCol w:w="6544"/>
      </w:tblGrid>
      <w:tr w:rsidR="00AB1700" w:rsidRPr="00D11394" w14:paraId="5B805DA3" w14:textId="77777777" w:rsidTr="00FB4F04">
        <w:tc>
          <w:tcPr>
            <w:tcW w:w="6802" w:type="dxa"/>
            <w:tcBorders>
              <w:left w:val="nil"/>
              <w:right w:val="nil"/>
            </w:tcBorders>
          </w:tcPr>
          <w:p w14:paraId="0884C431" w14:textId="77777777" w:rsidR="00AB1700" w:rsidRPr="00D11394" w:rsidRDefault="00AB1700" w:rsidP="00FB4F04">
            <w:pPr>
              <w:pStyle w:val="EndNoteBibliography"/>
              <w:jc w:val="both"/>
              <w:rPr>
                <w:rFonts w:ascii="Times New Roman" w:hAnsi="Times New Roman" w:cs="Times New Roman"/>
                <w:sz w:val="24"/>
                <w:szCs w:val="24"/>
                <w:lang w:val="en-GB"/>
              </w:rPr>
            </w:pPr>
            <w:r>
              <w:rPr>
                <w:rFonts w:ascii="Times New Roman" w:hAnsi="Times New Roman" w:cs="Times New Roman"/>
                <w:b/>
                <w:sz w:val="28"/>
                <w:szCs w:val="28"/>
                <w:lang w:val="en-GB"/>
              </w:rPr>
              <w:br w:type="page"/>
            </w:r>
            <w:r>
              <w:drawing>
                <wp:inline distT="0" distB="0" distL="0" distR="0" wp14:anchorId="10B57E75" wp14:editId="1DC10E6C">
                  <wp:extent cx="4123427" cy="2475781"/>
                  <wp:effectExtent l="0" t="0" r="10795" b="2032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6620" w:type="dxa"/>
            <w:tcBorders>
              <w:left w:val="nil"/>
              <w:right w:val="nil"/>
            </w:tcBorders>
          </w:tcPr>
          <w:p w14:paraId="68673C47" w14:textId="77777777" w:rsidR="00AB1700" w:rsidRPr="00D11394" w:rsidRDefault="00AB1700" w:rsidP="00FB4F04">
            <w:pPr>
              <w:pStyle w:val="EndNoteBibliography"/>
              <w:jc w:val="both"/>
              <w:rPr>
                <w:rFonts w:ascii="Times New Roman" w:hAnsi="Times New Roman" w:cs="Times New Roman"/>
                <w:sz w:val="24"/>
                <w:szCs w:val="24"/>
                <w:lang w:val="en-GB"/>
              </w:rPr>
            </w:pPr>
            <w:r>
              <w:drawing>
                <wp:inline distT="0" distB="0" distL="0" distR="0" wp14:anchorId="1252F664" wp14:editId="13C313CD">
                  <wp:extent cx="3976778" cy="2475781"/>
                  <wp:effectExtent l="0" t="0" r="24130" b="2032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B1700" w:rsidRPr="00D11394" w14:paraId="1252E1E8" w14:textId="77777777" w:rsidTr="00FB4F04">
        <w:tc>
          <w:tcPr>
            <w:tcW w:w="6802" w:type="dxa"/>
            <w:tcBorders>
              <w:left w:val="nil"/>
              <w:right w:val="nil"/>
            </w:tcBorders>
          </w:tcPr>
          <w:p w14:paraId="66951AFE" w14:textId="77777777" w:rsidR="00AB1700" w:rsidRPr="00D11394" w:rsidRDefault="00AB1700" w:rsidP="00FB4F04">
            <w:pPr>
              <w:pStyle w:val="EndNoteBibliography"/>
              <w:jc w:val="both"/>
              <w:rPr>
                <w:rFonts w:ascii="Times New Roman" w:hAnsi="Times New Roman" w:cs="Times New Roman"/>
                <w:sz w:val="24"/>
                <w:szCs w:val="24"/>
                <w:lang w:val="en-GB"/>
              </w:rPr>
            </w:pPr>
            <w:r>
              <w:drawing>
                <wp:inline distT="0" distB="0" distL="0" distR="0" wp14:anchorId="3DDB5F2A" wp14:editId="23DE90DF">
                  <wp:extent cx="4123427" cy="2406770"/>
                  <wp:effectExtent l="0" t="0" r="10795" b="1270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6620" w:type="dxa"/>
            <w:tcBorders>
              <w:left w:val="nil"/>
              <w:right w:val="nil"/>
            </w:tcBorders>
          </w:tcPr>
          <w:p w14:paraId="013967E1" w14:textId="77777777" w:rsidR="00AB1700" w:rsidRPr="00D11394" w:rsidRDefault="00AB1700" w:rsidP="00FB4F04">
            <w:pPr>
              <w:pStyle w:val="EndNoteBibliography"/>
              <w:jc w:val="both"/>
              <w:rPr>
                <w:rFonts w:ascii="Times New Roman" w:hAnsi="Times New Roman" w:cs="Times New Roman"/>
                <w:sz w:val="24"/>
                <w:szCs w:val="24"/>
                <w:lang w:val="en-GB"/>
              </w:rPr>
            </w:pPr>
          </w:p>
        </w:tc>
      </w:tr>
    </w:tbl>
    <w:p w14:paraId="10B1397B" w14:textId="77777777" w:rsidR="00AB1700" w:rsidRPr="00FB4F04" w:rsidRDefault="00AB1700" w:rsidP="00AB1700">
      <w:pPr>
        <w:pStyle w:val="NoSpacing"/>
        <w:rPr>
          <w:sz w:val="20"/>
          <w:szCs w:val="20"/>
          <w:lang w:val="en-GB" w:eastAsia="nb-NO"/>
        </w:rPr>
      </w:pPr>
      <w:r w:rsidRPr="00FB4F04">
        <w:rPr>
          <w:sz w:val="20"/>
          <w:szCs w:val="20"/>
          <w:lang w:val="en-GB" w:eastAsia="nb-NO"/>
        </w:rPr>
        <w:t>Figure 2: Inequalities (ARRs) in GP and specialist use by occupation, education and social networks (high-middle group). Significant estimates marked (p &lt; 0.1).</w:t>
      </w:r>
    </w:p>
    <w:p w14:paraId="79F6EB80" w14:textId="77777777" w:rsidR="00AB1700" w:rsidRPr="00FB4F04" w:rsidRDefault="00AB1700" w:rsidP="00AB1700">
      <w:pPr>
        <w:pStyle w:val="NoSpacing"/>
        <w:rPr>
          <w:sz w:val="20"/>
          <w:szCs w:val="20"/>
          <w:lang w:val="en-GB" w:eastAsia="nb-NO"/>
        </w:rPr>
      </w:pPr>
      <w:r w:rsidRPr="00FB4F04">
        <w:rPr>
          <w:sz w:val="20"/>
          <w:szCs w:val="20"/>
          <w:lang w:val="en-GB" w:eastAsia="nb-NO"/>
        </w:rPr>
        <w:t xml:space="preserve">(*) Significant results for GP use. * Significant results for specialist use. </w:t>
      </w:r>
    </w:p>
    <w:p w14:paraId="6BD029D8" w14:textId="20C04D37" w:rsidR="00AF231D" w:rsidRPr="00C153E9" w:rsidRDefault="00AF231D" w:rsidP="00D73B69">
      <w:pPr>
        <w:pStyle w:val="NoSpacing"/>
        <w:rPr>
          <w:sz w:val="20"/>
          <w:szCs w:val="20"/>
          <w:lang w:val="en-GB"/>
        </w:rPr>
      </w:pPr>
    </w:p>
    <w:p w14:paraId="73C9775F" w14:textId="77777777" w:rsidR="00036B8B" w:rsidRDefault="00036B8B" w:rsidP="00D73B69">
      <w:pPr>
        <w:pStyle w:val="NoSpacing"/>
        <w:rPr>
          <w:rFonts w:ascii="Times New Roman" w:hAnsi="Times New Roman" w:cs="Times New Roman"/>
          <w:b/>
          <w:sz w:val="28"/>
          <w:szCs w:val="28"/>
          <w:lang w:val="en-GB"/>
        </w:rPr>
        <w:sectPr w:rsidR="00036B8B" w:rsidSect="00C153E9">
          <w:pgSz w:w="16838" w:h="11906" w:orient="landscape" w:code="9"/>
          <w:pgMar w:top="1418" w:right="1418" w:bottom="1418" w:left="1418" w:header="709" w:footer="709" w:gutter="0"/>
          <w:cols w:space="708"/>
          <w:docGrid w:linePitch="360"/>
        </w:sectPr>
      </w:pPr>
    </w:p>
    <w:p w14:paraId="0C243A8E" w14:textId="77777777" w:rsidR="00E25BDB" w:rsidRPr="009C69EB" w:rsidRDefault="00E25BDB" w:rsidP="00D73B69">
      <w:pPr>
        <w:pStyle w:val="NoSpacing"/>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Appendix</w:t>
      </w:r>
      <w:r w:rsidR="009B2E33">
        <w:rPr>
          <w:rFonts w:ascii="Times New Roman" w:hAnsi="Times New Roman" w:cs="Times New Roman"/>
          <w:b/>
          <w:sz w:val="28"/>
          <w:szCs w:val="28"/>
          <w:lang w:val="en-GB"/>
        </w:rPr>
        <w:t xml:space="preserve"> 4</w:t>
      </w:r>
      <w:r>
        <w:rPr>
          <w:rFonts w:ascii="Times New Roman" w:hAnsi="Times New Roman" w:cs="Times New Roman"/>
          <w:b/>
          <w:sz w:val="28"/>
          <w:szCs w:val="28"/>
          <w:lang w:val="en-GB"/>
        </w:rPr>
        <w:t xml:space="preserve">: </w:t>
      </w:r>
      <w:r w:rsidRPr="009C69EB">
        <w:rPr>
          <w:rFonts w:ascii="Times New Roman" w:hAnsi="Times New Roman" w:cs="Times New Roman"/>
          <w:b/>
          <w:sz w:val="28"/>
          <w:szCs w:val="28"/>
          <w:lang w:val="en-GB"/>
        </w:rPr>
        <w:t>Adjusted risk ratios (ARRs)</w:t>
      </w:r>
      <w:r>
        <w:rPr>
          <w:rFonts w:ascii="Times New Roman" w:hAnsi="Times New Roman" w:cs="Times New Roman"/>
          <w:b/>
          <w:sz w:val="28"/>
          <w:szCs w:val="28"/>
          <w:lang w:val="en-GB"/>
        </w:rPr>
        <w:t xml:space="preserve"> (high-middle group)</w:t>
      </w:r>
    </w:p>
    <w:p w14:paraId="64E70B1D" w14:textId="77777777" w:rsidR="00E25BDB" w:rsidRPr="009C69EB" w:rsidRDefault="00E25BDB" w:rsidP="00D73B69">
      <w:pPr>
        <w:pStyle w:val="NoSpacing"/>
        <w:rPr>
          <w:rFonts w:ascii="Times New Roman" w:hAnsi="Times New Roman" w:cs="Times New Roman"/>
          <w:i/>
          <w:sz w:val="24"/>
          <w:szCs w:val="24"/>
          <w:lang w:val="en-GB"/>
        </w:rPr>
      </w:pPr>
    </w:p>
    <w:p w14:paraId="0EA233DA" w14:textId="77777777" w:rsidR="00E25BDB" w:rsidRPr="009C69EB" w:rsidRDefault="00E25BDB" w:rsidP="00D73B69">
      <w:pPr>
        <w:pStyle w:val="NoSpacing"/>
        <w:rPr>
          <w:rFonts w:ascii="Times New Roman" w:hAnsi="Times New Roman" w:cs="Times New Roman"/>
          <w:i/>
          <w:sz w:val="24"/>
          <w:szCs w:val="24"/>
          <w:lang w:val="en-GB"/>
        </w:rPr>
      </w:pPr>
      <w:r>
        <w:rPr>
          <w:rFonts w:ascii="Times New Roman" w:hAnsi="Times New Roman" w:cs="Times New Roman"/>
          <w:i/>
          <w:sz w:val="24"/>
          <w:szCs w:val="24"/>
          <w:lang w:val="en-GB"/>
        </w:rPr>
        <w:t>Table 5</w:t>
      </w:r>
      <w:r w:rsidRPr="009C69EB">
        <w:rPr>
          <w:rFonts w:ascii="Times New Roman" w:hAnsi="Times New Roman" w:cs="Times New Roman"/>
          <w:i/>
          <w:sz w:val="24"/>
          <w:szCs w:val="24"/>
          <w:lang w:val="en-GB"/>
        </w:rPr>
        <w:t>: Inequalities (ARRs) in GP use by occupation, education and social network</w:t>
      </w:r>
      <w:r>
        <w:rPr>
          <w:rFonts w:ascii="Times New Roman" w:hAnsi="Times New Roman" w:cs="Times New Roman"/>
          <w:i/>
          <w:sz w:val="24"/>
          <w:szCs w:val="24"/>
          <w:lang w:val="en-GB"/>
        </w:rPr>
        <w:t>s (high-middle group)</w:t>
      </w:r>
      <w:r w:rsidRPr="009C69EB">
        <w:rPr>
          <w:rFonts w:ascii="Times New Roman" w:hAnsi="Times New Roman" w:cs="Times New Roman"/>
          <w:i/>
          <w:sz w:val="24"/>
          <w:szCs w:val="24"/>
          <w:lang w:val="en-GB"/>
        </w:rPr>
        <w:t xml:space="preserve">. </w:t>
      </w:r>
    </w:p>
    <w:p w14:paraId="7FABDD47" w14:textId="77777777" w:rsidR="00E25BDB" w:rsidRDefault="00E25BDB" w:rsidP="00D73B69">
      <w:pPr>
        <w:pStyle w:val="NoSpacing"/>
        <w:rPr>
          <w:rFonts w:ascii="Times New Roman" w:hAnsi="Times New Roman" w:cs="Times New Roman"/>
          <w:sz w:val="24"/>
          <w:szCs w:val="24"/>
          <w:lang w:val="en-GB"/>
        </w:rPr>
      </w:pPr>
    </w:p>
    <w:tbl>
      <w:tblPr>
        <w:tblW w:w="7947" w:type="dxa"/>
        <w:tblInd w:w="55" w:type="dxa"/>
        <w:tblCellMar>
          <w:left w:w="70" w:type="dxa"/>
          <w:right w:w="70" w:type="dxa"/>
        </w:tblCellMar>
        <w:tblLook w:val="04A0" w:firstRow="1" w:lastRow="0" w:firstColumn="1" w:lastColumn="0" w:noHBand="0" w:noVBand="1"/>
      </w:tblPr>
      <w:tblGrid>
        <w:gridCol w:w="1300"/>
        <w:gridCol w:w="1247"/>
        <w:gridCol w:w="500"/>
        <w:gridCol w:w="500"/>
        <w:gridCol w:w="1200"/>
        <w:gridCol w:w="500"/>
        <w:gridCol w:w="500"/>
        <w:gridCol w:w="1200"/>
        <w:gridCol w:w="500"/>
        <w:gridCol w:w="500"/>
      </w:tblGrid>
      <w:tr w:rsidR="001132EE" w:rsidRPr="00537590" w14:paraId="3AD0A159" w14:textId="77777777" w:rsidTr="009C4E41">
        <w:trPr>
          <w:trHeight w:val="315"/>
        </w:trPr>
        <w:tc>
          <w:tcPr>
            <w:tcW w:w="1300" w:type="dxa"/>
            <w:tcBorders>
              <w:top w:val="single" w:sz="4" w:space="0" w:color="auto"/>
              <w:left w:val="nil"/>
              <w:bottom w:val="single" w:sz="4" w:space="0" w:color="auto"/>
              <w:right w:val="nil"/>
            </w:tcBorders>
            <w:shd w:val="clear" w:color="auto" w:fill="auto"/>
            <w:noWrap/>
            <w:vAlign w:val="bottom"/>
            <w:hideMark/>
          </w:tcPr>
          <w:p w14:paraId="7F54D7A3" w14:textId="77777777" w:rsidR="001132EE" w:rsidRPr="00496E9D" w:rsidRDefault="001132EE" w:rsidP="009C4E41">
            <w:pPr>
              <w:spacing w:after="0" w:line="240" w:lineRule="auto"/>
              <w:rPr>
                <w:rFonts w:ascii="Times New Roman" w:eastAsia="Times New Roman" w:hAnsi="Times New Roman" w:cs="Times New Roman"/>
                <w:sz w:val="24"/>
                <w:szCs w:val="24"/>
                <w:lang w:val="en-US" w:eastAsia="nb-NO"/>
              </w:rPr>
            </w:pPr>
            <w:r w:rsidRPr="00496E9D">
              <w:rPr>
                <w:rFonts w:ascii="Times New Roman" w:eastAsia="Times New Roman" w:hAnsi="Times New Roman" w:cs="Times New Roman"/>
                <w:sz w:val="24"/>
                <w:szCs w:val="24"/>
                <w:lang w:val="en-US" w:eastAsia="nb-NO"/>
              </w:rPr>
              <w:t> </w:t>
            </w:r>
          </w:p>
        </w:tc>
        <w:tc>
          <w:tcPr>
            <w:tcW w:w="1247" w:type="dxa"/>
            <w:tcBorders>
              <w:top w:val="single" w:sz="4" w:space="0" w:color="auto"/>
              <w:left w:val="nil"/>
              <w:bottom w:val="single" w:sz="4" w:space="0" w:color="auto"/>
              <w:right w:val="nil"/>
            </w:tcBorders>
            <w:shd w:val="clear" w:color="auto" w:fill="auto"/>
            <w:noWrap/>
            <w:vAlign w:val="bottom"/>
            <w:hideMark/>
          </w:tcPr>
          <w:p w14:paraId="74E18950" w14:textId="77777777" w:rsidR="001132EE" w:rsidRPr="00537590" w:rsidRDefault="001132EE" w:rsidP="009C4E41">
            <w:pPr>
              <w:spacing w:after="0" w:line="240" w:lineRule="auto"/>
              <w:jc w:val="center"/>
              <w:rPr>
                <w:rFonts w:ascii="Times New Roman" w:eastAsia="Times New Roman" w:hAnsi="Times New Roman" w:cs="Times New Roman"/>
                <w:sz w:val="24"/>
                <w:szCs w:val="24"/>
                <w:lang w:eastAsia="nb-NO"/>
              </w:rPr>
            </w:pPr>
            <w:r w:rsidRPr="00537590">
              <w:rPr>
                <w:rFonts w:ascii="Times New Roman" w:eastAsia="Times New Roman" w:hAnsi="Times New Roman" w:cs="Times New Roman"/>
                <w:sz w:val="24"/>
                <w:szCs w:val="24"/>
                <w:lang w:eastAsia="nb-NO"/>
              </w:rPr>
              <w:t>Occupation</w:t>
            </w:r>
          </w:p>
        </w:tc>
        <w:tc>
          <w:tcPr>
            <w:tcW w:w="500" w:type="dxa"/>
            <w:tcBorders>
              <w:top w:val="single" w:sz="4" w:space="0" w:color="auto"/>
              <w:left w:val="nil"/>
              <w:bottom w:val="single" w:sz="4" w:space="0" w:color="auto"/>
              <w:right w:val="nil"/>
            </w:tcBorders>
            <w:shd w:val="clear" w:color="auto" w:fill="auto"/>
            <w:noWrap/>
            <w:vAlign w:val="bottom"/>
            <w:hideMark/>
          </w:tcPr>
          <w:p w14:paraId="0B5DC112" w14:textId="77777777" w:rsidR="001132EE" w:rsidRPr="00537590"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537590">
              <w:rPr>
                <w:rFonts w:ascii="Times New Roman" w:eastAsia="Times New Roman" w:hAnsi="Times New Roman" w:cs="Times New Roman"/>
                <w:color w:val="000000"/>
                <w:sz w:val="24"/>
                <w:szCs w:val="24"/>
                <w:lang w:eastAsia="nb-NO"/>
              </w:rPr>
              <w:t>CI</w:t>
            </w:r>
          </w:p>
        </w:tc>
        <w:tc>
          <w:tcPr>
            <w:tcW w:w="500" w:type="dxa"/>
            <w:tcBorders>
              <w:top w:val="single" w:sz="4" w:space="0" w:color="auto"/>
              <w:left w:val="nil"/>
              <w:bottom w:val="single" w:sz="4" w:space="0" w:color="auto"/>
              <w:right w:val="nil"/>
            </w:tcBorders>
            <w:shd w:val="clear" w:color="auto" w:fill="auto"/>
            <w:noWrap/>
            <w:vAlign w:val="bottom"/>
            <w:hideMark/>
          </w:tcPr>
          <w:p w14:paraId="26C47E85" w14:textId="77777777" w:rsidR="001132EE" w:rsidRPr="00537590"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537590">
              <w:rPr>
                <w:rFonts w:ascii="Times New Roman" w:eastAsia="Times New Roman" w:hAnsi="Times New Roman" w:cs="Times New Roman"/>
                <w:color w:val="000000"/>
                <w:sz w:val="24"/>
                <w:szCs w:val="24"/>
                <w:lang w:eastAsia="nb-NO"/>
              </w:rPr>
              <w:t>CI</w:t>
            </w:r>
          </w:p>
        </w:tc>
        <w:tc>
          <w:tcPr>
            <w:tcW w:w="1200" w:type="dxa"/>
            <w:tcBorders>
              <w:top w:val="single" w:sz="4" w:space="0" w:color="auto"/>
              <w:left w:val="nil"/>
              <w:bottom w:val="single" w:sz="4" w:space="0" w:color="auto"/>
              <w:right w:val="nil"/>
            </w:tcBorders>
            <w:shd w:val="clear" w:color="auto" w:fill="auto"/>
            <w:noWrap/>
            <w:vAlign w:val="bottom"/>
            <w:hideMark/>
          </w:tcPr>
          <w:p w14:paraId="5B3689E2" w14:textId="77777777" w:rsidR="001132EE" w:rsidRPr="00537590" w:rsidRDefault="001132EE" w:rsidP="009C4E41">
            <w:pPr>
              <w:spacing w:after="0" w:line="240" w:lineRule="auto"/>
              <w:jc w:val="center"/>
              <w:rPr>
                <w:rFonts w:ascii="Times New Roman" w:eastAsia="Times New Roman" w:hAnsi="Times New Roman" w:cs="Times New Roman"/>
                <w:sz w:val="24"/>
                <w:szCs w:val="24"/>
                <w:lang w:eastAsia="nb-NO"/>
              </w:rPr>
            </w:pPr>
            <w:r w:rsidRPr="00537590">
              <w:rPr>
                <w:rFonts w:ascii="Times New Roman" w:eastAsia="Times New Roman" w:hAnsi="Times New Roman" w:cs="Times New Roman"/>
                <w:sz w:val="24"/>
                <w:szCs w:val="24"/>
                <w:lang w:eastAsia="nb-NO"/>
              </w:rPr>
              <w:t>Education</w:t>
            </w:r>
          </w:p>
        </w:tc>
        <w:tc>
          <w:tcPr>
            <w:tcW w:w="500" w:type="dxa"/>
            <w:tcBorders>
              <w:top w:val="single" w:sz="4" w:space="0" w:color="auto"/>
              <w:left w:val="nil"/>
              <w:bottom w:val="single" w:sz="4" w:space="0" w:color="auto"/>
              <w:right w:val="nil"/>
            </w:tcBorders>
            <w:shd w:val="clear" w:color="auto" w:fill="auto"/>
            <w:noWrap/>
            <w:vAlign w:val="bottom"/>
            <w:hideMark/>
          </w:tcPr>
          <w:p w14:paraId="56548D93" w14:textId="77777777" w:rsidR="001132EE" w:rsidRPr="00537590"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537590">
              <w:rPr>
                <w:rFonts w:ascii="Times New Roman" w:eastAsia="Times New Roman" w:hAnsi="Times New Roman" w:cs="Times New Roman"/>
                <w:color w:val="000000"/>
                <w:sz w:val="24"/>
                <w:szCs w:val="24"/>
                <w:lang w:eastAsia="nb-NO"/>
              </w:rPr>
              <w:t>CI</w:t>
            </w:r>
          </w:p>
        </w:tc>
        <w:tc>
          <w:tcPr>
            <w:tcW w:w="500" w:type="dxa"/>
            <w:tcBorders>
              <w:top w:val="single" w:sz="4" w:space="0" w:color="auto"/>
              <w:left w:val="nil"/>
              <w:bottom w:val="single" w:sz="4" w:space="0" w:color="auto"/>
              <w:right w:val="nil"/>
            </w:tcBorders>
            <w:shd w:val="clear" w:color="auto" w:fill="auto"/>
            <w:noWrap/>
            <w:vAlign w:val="bottom"/>
            <w:hideMark/>
          </w:tcPr>
          <w:p w14:paraId="04C81E84" w14:textId="77777777" w:rsidR="001132EE" w:rsidRPr="00537590"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537590">
              <w:rPr>
                <w:rFonts w:ascii="Times New Roman" w:eastAsia="Times New Roman" w:hAnsi="Times New Roman" w:cs="Times New Roman"/>
                <w:color w:val="000000"/>
                <w:sz w:val="24"/>
                <w:szCs w:val="24"/>
                <w:lang w:eastAsia="nb-NO"/>
              </w:rPr>
              <w:t>CI</w:t>
            </w:r>
          </w:p>
        </w:tc>
        <w:tc>
          <w:tcPr>
            <w:tcW w:w="1200" w:type="dxa"/>
            <w:tcBorders>
              <w:top w:val="single" w:sz="4" w:space="0" w:color="auto"/>
              <w:left w:val="nil"/>
              <w:bottom w:val="single" w:sz="4" w:space="0" w:color="auto"/>
              <w:right w:val="nil"/>
            </w:tcBorders>
            <w:shd w:val="clear" w:color="auto" w:fill="auto"/>
            <w:noWrap/>
            <w:vAlign w:val="bottom"/>
            <w:hideMark/>
          </w:tcPr>
          <w:p w14:paraId="0C4766D4" w14:textId="77777777" w:rsidR="001132EE" w:rsidRPr="00537590" w:rsidRDefault="001132EE" w:rsidP="009C4E41">
            <w:pPr>
              <w:spacing w:after="0" w:line="240" w:lineRule="auto"/>
              <w:jc w:val="center"/>
              <w:rPr>
                <w:rFonts w:ascii="Times New Roman" w:eastAsia="Times New Roman" w:hAnsi="Times New Roman" w:cs="Times New Roman"/>
                <w:sz w:val="24"/>
                <w:szCs w:val="24"/>
                <w:lang w:eastAsia="nb-NO"/>
              </w:rPr>
            </w:pPr>
            <w:r w:rsidRPr="00537590">
              <w:rPr>
                <w:rFonts w:ascii="Times New Roman" w:eastAsia="Times New Roman" w:hAnsi="Times New Roman" w:cs="Times New Roman"/>
                <w:sz w:val="24"/>
                <w:szCs w:val="24"/>
                <w:lang w:eastAsia="nb-NO"/>
              </w:rPr>
              <w:t>Social networks</w:t>
            </w:r>
          </w:p>
        </w:tc>
        <w:tc>
          <w:tcPr>
            <w:tcW w:w="500" w:type="dxa"/>
            <w:tcBorders>
              <w:top w:val="single" w:sz="4" w:space="0" w:color="auto"/>
              <w:left w:val="nil"/>
              <w:bottom w:val="single" w:sz="4" w:space="0" w:color="auto"/>
              <w:right w:val="nil"/>
            </w:tcBorders>
            <w:shd w:val="clear" w:color="auto" w:fill="auto"/>
            <w:noWrap/>
            <w:vAlign w:val="bottom"/>
            <w:hideMark/>
          </w:tcPr>
          <w:p w14:paraId="2A408153" w14:textId="77777777" w:rsidR="001132EE" w:rsidRPr="00537590"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537590">
              <w:rPr>
                <w:rFonts w:ascii="Times New Roman" w:eastAsia="Times New Roman" w:hAnsi="Times New Roman" w:cs="Times New Roman"/>
                <w:color w:val="000000"/>
                <w:sz w:val="24"/>
                <w:szCs w:val="24"/>
                <w:lang w:eastAsia="nb-NO"/>
              </w:rPr>
              <w:t>CI</w:t>
            </w:r>
          </w:p>
        </w:tc>
        <w:tc>
          <w:tcPr>
            <w:tcW w:w="500" w:type="dxa"/>
            <w:tcBorders>
              <w:top w:val="single" w:sz="4" w:space="0" w:color="auto"/>
              <w:left w:val="nil"/>
              <w:bottom w:val="single" w:sz="4" w:space="0" w:color="auto"/>
              <w:right w:val="nil"/>
            </w:tcBorders>
            <w:shd w:val="clear" w:color="auto" w:fill="auto"/>
            <w:noWrap/>
            <w:vAlign w:val="bottom"/>
            <w:hideMark/>
          </w:tcPr>
          <w:p w14:paraId="07AE0A5F" w14:textId="77777777" w:rsidR="001132EE" w:rsidRPr="00537590"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537590">
              <w:rPr>
                <w:rFonts w:ascii="Times New Roman" w:eastAsia="Times New Roman" w:hAnsi="Times New Roman" w:cs="Times New Roman"/>
                <w:color w:val="000000"/>
                <w:sz w:val="24"/>
                <w:szCs w:val="24"/>
                <w:lang w:eastAsia="nb-NO"/>
              </w:rPr>
              <w:t>CI</w:t>
            </w:r>
          </w:p>
        </w:tc>
      </w:tr>
      <w:tr w:rsidR="001132EE" w:rsidRPr="00353B2E" w14:paraId="52B35DC2" w14:textId="77777777" w:rsidTr="009C4E41">
        <w:trPr>
          <w:trHeight w:val="315"/>
        </w:trPr>
        <w:tc>
          <w:tcPr>
            <w:tcW w:w="1300" w:type="dxa"/>
            <w:tcBorders>
              <w:top w:val="nil"/>
              <w:left w:val="nil"/>
              <w:bottom w:val="nil"/>
              <w:right w:val="nil"/>
            </w:tcBorders>
            <w:shd w:val="clear" w:color="auto" w:fill="auto"/>
            <w:noWrap/>
            <w:vAlign w:val="bottom"/>
            <w:hideMark/>
          </w:tcPr>
          <w:p w14:paraId="70CAAE11"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Austria</w:t>
            </w:r>
          </w:p>
        </w:tc>
        <w:tc>
          <w:tcPr>
            <w:tcW w:w="1247" w:type="dxa"/>
            <w:tcBorders>
              <w:top w:val="nil"/>
              <w:left w:val="nil"/>
              <w:bottom w:val="nil"/>
              <w:right w:val="nil"/>
            </w:tcBorders>
            <w:shd w:val="clear" w:color="auto" w:fill="auto"/>
            <w:noWrap/>
            <w:vAlign w:val="bottom"/>
            <w:hideMark/>
          </w:tcPr>
          <w:p w14:paraId="2A84C11B"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41F0F74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544A7FA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c>
          <w:tcPr>
            <w:tcW w:w="1200" w:type="dxa"/>
            <w:tcBorders>
              <w:top w:val="nil"/>
              <w:left w:val="nil"/>
              <w:bottom w:val="nil"/>
              <w:right w:val="nil"/>
            </w:tcBorders>
            <w:shd w:val="clear" w:color="auto" w:fill="auto"/>
            <w:noWrap/>
            <w:vAlign w:val="bottom"/>
            <w:hideMark/>
          </w:tcPr>
          <w:p w14:paraId="490F4FD4"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0.8*</w:t>
            </w:r>
          </w:p>
        </w:tc>
        <w:tc>
          <w:tcPr>
            <w:tcW w:w="500" w:type="dxa"/>
            <w:tcBorders>
              <w:top w:val="nil"/>
              <w:left w:val="nil"/>
              <w:bottom w:val="nil"/>
              <w:right w:val="nil"/>
            </w:tcBorders>
            <w:shd w:val="clear" w:color="auto" w:fill="auto"/>
            <w:noWrap/>
            <w:vAlign w:val="bottom"/>
            <w:hideMark/>
          </w:tcPr>
          <w:p w14:paraId="6B765A0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0.6</w:t>
            </w:r>
          </w:p>
        </w:tc>
        <w:tc>
          <w:tcPr>
            <w:tcW w:w="500" w:type="dxa"/>
            <w:tcBorders>
              <w:top w:val="nil"/>
              <w:left w:val="nil"/>
              <w:bottom w:val="nil"/>
              <w:right w:val="nil"/>
            </w:tcBorders>
            <w:shd w:val="clear" w:color="auto" w:fill="auto"/>
            <w:noWrap/>
            <w:vAlign w:val="bottom"/>
            <w:hideMark/>
          </w:tcPr>
          <w:p w14:paraId="3668622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1200" w:type="dxa"/>
            <w:tcBorders>
              <w:top w:val="nil"/>
              <w:left w:val="nil"/>
              <w:bottom w:val="nil"/>
              <w:right w:val="nil"/>
            </w:tcBorders>
            <w:shd w:val="clear" w:color="auto" w:fill="auto"/>
            <w:noWrap/>
            <w:vAlign w:val="bottom"/>
            <w:hideMark/>
          </w:tcPr>
          <w:p w14:paraId="5D8996FB"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1.2</w:t>
            </w:r>
          </w:p>
        </w:tc>
        <w:tc>
          <w:tcPr>
            <w:tcW w:w="500" w:type="dxa"/>
            <w:tcBorders>
              <w:top w:val="nil"/>
              <w:left w:val="nil"/>
              <w:bottom w:val="nil"/>
              <w:right w:val="nil"/>
            </w:tcBorders>
            <w:shd w:val="clear" w:color="auto" w:fill="auto"/>
            <w:noWrap/>
            <w:vAlign w:val="bottom"/>
            <w:hideMark/>
          </w:tcPr>
          <w:p w14:paraId="0271F2D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687E5C9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1.5</w:t>
            </w:r>
          </w:p>
        </w:tc>
      </w:tr>
      <w:tr w:rsidR="001132EE" w:rsidRPr="00353B2E" w14:paraId="48BDBB42" w14:textId="77777777" w:rsidTr="009C4E41">
        <w:trPr>
          <w:trHeight w:val="315"/>
        </w:trPr>
        <w:tc>
          <w:tcPr>
            <w:tcW w:w="1300" w:type="dxa"/>
            <w:tcBorders>
              <w:top w:val="nil"/>
              <w:left w:val="nil"/>
              <w:bottom w:val="nil"/>
              <w:right w:val="nil"/>
            </w:tcBorders>
            <w:shd w:val="clear" w:color="auto" w:fill="auto"/>
            <w:noWrap/>
            <w:vAlign w:val="bottom"/>
            <w:hideMark/>
          </w:tcPr>
          <w:p w14:paraId="4620B5D7"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Belgium</w:t>
            </w:r>
          </w:p>
        </w:tc>
        <w:tc>
          <w:tcPr>
            <w:tcW w:w="1247" w:type="dxa"/>
            <w:tcBorders>
              <w:top w:val="nil"/>
              <w:left w:val="nil"/>
              <w:bottom w:val="nil"/>
              <w:right w:val="nil"/>
            </w:tcBorders>
            <w:shd w:val="clear" w:color="auto" w:fill="auto"/>
            <w:noWrap/>
            <w:vAlign w:val="bottom"/>
            <w:hideMark/>
          </w:tcPr>
          <w:p w14:paraId="6FECD531"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1.3</w:t>
            </w:r>
          </w:p>
        </w:tc>
        <w:tc>
          <w:tcPr>
            <w:tcW w:w="500" w:type="dxa"/>
            <w:tcBorders>
              <w:top w:val="nil"/>
              <w:left w:val="nil"/>
              <w:bottom w:val="nil"/>
              <w:right w:val="nil"/>
            </w:tcBorders>
            <w:shd w:val="clear" w:color="auto" w:fill="auto"/>
            <w:noWrap/>
            <w:vAlign w:val="bottom"/>
            <w:hideMark/>
          </w:tcPr>
          <w:p w14:paraId="6BBB9BB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17513F9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1.8</w:t>
            </w:r>
          </w:p>
        </w:tc>
        <w:tc>
          <w:tcPr>
            <w:tcW w:w="1200" w:type="dxa"/>
            <w:tcBorders>
              <w:top w:val="nil"/>
              <w:left w:val="nil"/>
              <w:bottom w:val="nil"/>
              <w:right w:val="nil"/>
            </w:tcBorders>
            <w:shd w:val="clear" w:color="auto" w:fill="auto"/>
            <w:noWrap/>
            <w:vAlign w:val="bottom"/>
            <w:hideMark/>
          </w:tcPr>
          <w:p w14:paraId="2301D07D"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1.4*</w:t>
            </w:r>
          </w:p>
        </w:tc>
        <w:tc>
          <w:tcPr>
            <w:tcW w:w="500" w:type="dxa"/>
            <w:tcBorders>
              <w:top w:val="nil"/>
              <w:left w:val="nil"/>
              <w:bottom w:val="nil"/>
              <w:right w:val="nil"/>
            </w:tcBorders>
            <w:shd w:val="clear" w:color="auto" w:fill="auto"/>
            <w:noWrap/>
            <w:vAlign w:val="bottom"/>
            <w:hideMark/>
          </w:tcPr>
          <w:p w14:paraId="17A8013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2343382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2.0</w:t>
            </w:r>
          </w:p>
        </w:tc>
        <w:tc>
          <w:tcPr>
            <w:tcW w:w="1200" w:type="dxa"/>
            <w:tcBorders>
              <w:top w:val="nil"/>
              <w:left w:val="nil"/>
              <w:bottom w:val="nil"/>
              <w:right w:val="nil"/>
            </w:tcBorders>
            <w:shd w:val="clear" w:color="auto" w:fill="auto"/>
            <w:noWrap/>
            <w:vAlign w:val="bottom"/>
            <w:hideMark/>
          </w:tcPr>
          <w:p w14:paraId="64CD16B7"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2AED445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6B62CF7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r>
      <w:tr w:rsidR="001132EE" w:rsidRPr="00353B2E" w14:paraId="0EA2B16A" w14:textId="77777777" w:rsidTr="009C4E41">
        <w:trPr>
          <w:trHeight w:val="315"/>
        </w:trPr>
        <w:tc>
          <w:tcPr>
            <w:tcW w:w="1300" w:type="dxa"/>
            <w:tcBorders>
              <w:top w:val="nil"/>
              <w:left w:val="nil"/>
              <w:bottom w:val="nil"/>
              <w:right w:val="nil"/>
            </w:tcBorders>
            <w:shd w:val="clear" w:color="auto" w:fill="auto"/>
            <w:noWrap/>
            <w:vAlign w:val="bottom"/>
            <w:hideMark/>
          </w:tcPr>
          <w:p w14:paraId="31C5A147"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Czech Rep</w:t>
            </w:r>
          </w:p>
        </w:tc>
        <w:tc>
          <w:tcPr>
            <w:tcW w:w="1247" w:type="dxa"/>
            <w:tcBorders>
              <w:top w:val="nil"/>
              <w:left w:val="nil"/>
              <w:bottom w:val="nil"/>
              <w:right w:val="nil"/>
            </w:tcBorders>
            <w:shd w:val="clear" w:color="auto" w:fill="auto"/>
            <w:noWrap/>
            <w:vAlign w:val="bottom"/>
            <w:hideMark/>
          </w:tcPr>
          <w:p w14:paraId="05C8F385"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1.2</w:t>
            </w:r>
          </w:p>
        </w:tc>
        <w:tc>
          <w:tcPr>
            <w:tcW w:w="500" w:type="dxa"/>
            <w:tcBorders>
              <w:top w:val="nil"/>
              <w:left w:val="nil"/>
              <w:bottom w:val="nil"/>
              <w:right w:val="nil"/>
            </w:tcBorders>
            <w:shd w:val="clear" w:color="auto" w:fill="auto"/>
            <w:noWrap/>
            <w:vAlign w:val="bottom"/>
            <w:hideMark/>
          </w:tcPr>
          <w:p w14:paraId="0932D6D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7E67A47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1.6</w:t>
            </w:r>
          </w:p>
        </w:tc>
        <w:tc>
          <w:tcPr>
            <w:tcW w:w="1200" w:type="dxa"/>
            <w:tcBorders>
              <w:top w:val="nil"/>
              <w:left w:val="nil"/>
              <w:bottom w:val="nil"/>
              <w:right w:val="nil"/>
            </w:tcBorders>
            <w:shd w:val="clear" w:color="auto" w:fill="auto"/>
            <w:noWrap/>
            <w:vAlign w:val="bottom"/>
            <w:hideMark/>
          </w:tcPr>
          <w:p w14:paraId="691CED80"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15D02EF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6EA700B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17D43D49"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0.8</w:t>
            </w:r>
          </w:p>
        </w:tc>
        <w:tc>
          <w:tcPr>
            <w:tcW w:w="500" w:type="dxa"/>
            <w:tcBorders>
              <w:top w:val="nil"/>
              <w:left w:val="nil"/>
              <w:bottom w:val="nil"/>
              <w:right w:val="nil"/>
            </w:tcBorders>
            <w:shd w:val="clear" w:color="auto" w:fill="auto"/>
            <w:noWrap/>
            <w:vAlign w:val="bottom"/>
            <w:hideMark/>
          </w:tcPr>
          <w:p w14:paraId="443FDF4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0.6</w:t>
            </w:r>
          </w:p>
        </w:tc>
        <w:tc>
          <w:tcPr>
            <w:tcW w:w="500" w:type="dxa"/>
            <w:tcBorders>
              <w:top w:val="nil"/>
              <w:left w:val="nil"/>
              <w:bottom w:val="nil"/>
              <w:right w:val="nil"/>
            </w:tcBorders>
            <w:shd w:val="clear" w:color="auto" w:fill="auto"/>
            <w:noWrap/>
            <w:vAlign w:val="bottom"/>
            <w:hideMark/>
          </w:tcPr>
          <w:p w14:paraId="616584C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293F999B" w14:textId="77777777" w:rsidTr="009C4E41">
        <w:trPr>
          <w:trHeight w:val="315"/>
        </w:trPr>
        <w:tc>
          <w:tcPr>
            <w:tcW w:w="1300" w:type="dxa"/>
            <w:tcBorders>
              <w:top w:val="nil"/>
              <w:left w:val="nil"/>
              <w:bottom w:val="nil"/>
              <w:right w:val="nil"/>
            </w:tcBorders>
            <w:shd w:val="clear" w:color="auto" w:fill="auto"/>
            <w:noWrap/>
            <w:vAlign w:val="bottom"/>
            <w:hideMark/>
          </w:tcPr>
          <w:p w14:paraId="127CE60F"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Denmark</w:t>
            </w:r>
          </w:p>
        </w:tc>
        <w:tc>
          <w:tcPr>
            <w:tcW w:w="1247" w:type="dxa"/>
            <w:tcBorders>
              <w:top w:val="nil"/>
              <w:left w:val="nil"/>
              <w:bottom w:val="nil"/>
              <w:right w:val="nil"/>
            </w:tcBorders>
            <w:shd w:val="clear" w:color="auto" w:fill="auto"/>
            <w:noWrap/>
            <w:vAlign w:val="bottom"/>
            <w:hideMark/>
          </w:tcPr>
          <w:p w14:paraId="5C9289EA"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0.8</w:t>
            </w:r>
          </w:p>
        </w:tc>
        <w:tc>
          <w:tcPr>
            <w:tcW w:w="500" w:type="dxa"/>
            <w:tcBorders>
              <w:top w:val="nil"/>
              <w:left w:val="nil"/>
              <w:bottom w:val="nil"/>
              <w:right w:val="nil"/>
            </w:tcBorders>
            <w:shd w:val="clear" w:color="auto" w:fill="auto"/>
            <w:noWrap/>
            <w:vAlign w:val="bottom"/>
            <w:hideMark/>
          </w:tcPr>
          <w:p w14:paraId="7CC1C63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0.6</w:t>
            </w:r>
          </w:p>
        </w:tc>
        <w:tc>
          <w:tcPr>
            <w:tcW w:w="500" w:type="dxa"/>
            <w:tcBorders>
              <w:top w:val="nil"/>
              <w:left w:val="nil"/>
              <w:bottom w:val="nil"/>
              <w:right w:val="nil"/>
            </w:tcBorders>
            <w:shd w:val="clear" w:color="auto" w:fill="auto"/>
            <w:noWrap/>
            <w:vAlign w:val="bottom"/>
            <w:hideMark/>
          </w:tcPr>
          <w:p w14:paraId="30DF62D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04DF80A4"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0D56BF5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53F7231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1.5</w:t>
            </w:r>
          </w:p>
        </w:tc>
        <w:tc>
          <w:tcPr>
            <w:tcW w:w="1200" w:type="dxa"/>
            <w:tcBorders>
              <w:top w:val="nil"/>
              <w:left w:val="nil"/>
              <w:bottom w:val="nil"/>
              <w:right w:val="nil"/>
            </w:tcBorders>
            <w:shd w:val="clear" w:color="auto" w:fill="auto"/>
            <w:noWrap/>
            <w:vAlign w:val="bottom"/>
            <w:hideMark/>
          </w:tcPr>
          <w:p w14:paraId="4B099221"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1.2</w:t>
            </w:r>
          </w:p>
        </w:tc>
        <w:tc>
          <w:tcPr>
            <w:tcW w:w="500" w:type="dxa"/>
            <w:tcBorders>
              <w:top w:val="nil"/>
              <w:left w:val="nil"/>
              <w:bottom w:val="nil"/>
              <w:right w:val="nil"/>
            </w:tcBorders>
            <w:shd w:val="clear" w:color="auto" w:fill="auto"/>
            <w:noWrap/>
            <w:vAlign w:val="bottom"/>
            <w:hideMark/>
          </w:tcPr>
          <w:p w14:paraId="4937C9F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7C4CCC1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1.6</w:t>
            </w:r>
          </w:p>
        </w:tc>
      </w:tr>
      <w:tr w:rsidR="001132EE" w:rsidRPr="00353B2E" w14:paraId="4E786AA4" w14:textId="77777777" w:rsidTr="009C4E41">
        <w:trPr>
          <w:trHeight w:val="315"/>
        </w:trPr>
        <w:tc>
          <w:tcPr>
            <w:tcW w:w="1300" w:type="dxa"/>
            <w:tcBorders>
              <w:top w:val="nil"/>
              <w:left w:val="nil"/>
              <w:bottom w:val="nil"/>
              <w:right w:val="nil"/>
            </w:tcBorders>
            <w:shd w:val="clear" w:color="auto" w:fill="auto"/>
            <w:noWrap/>
            <w:vAlign w:val="bottom"/>
            <w:hideMark/>
          </w:tcPr>
          <w:p w14:paraId="07F488C8"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Estonia</w:t>
            </w:r>
          </w:p>
        </w:tc>
        <w:tc>
          <w:tcPr>
            <w:tcW w:w="1247" w:type="dxa"/>
            <w:tcBorders>
              <w:top w:val="nil"/>
              <w:left w:val="nil"/>
              <w:bottom w:val="nil"/>
              <w:right w:val="nil"/>
            </w:tcBorders>
            <w:shd w:val="clear" w:color="auto" w:fill="auto"/>
            <w:noWrap/>
            <w:vAlign w:val="bottom"/>
            <w:hideMark/>
          </w:tcPr>
          <w:p w14:paraId="4B302058"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1055B8F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43A4E1B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27754151"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58578D9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31E02A3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7FC0F8BD"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1.4</w:t>
            </w:r>
          </w:p>
        </w:tc>
        <w:tc>
          <w:tcPr>
            <w:tcW w:w="500" w:type="dxa"/>
            <w:tcBorders>
              <w:top w:val="nil"/>
              <w:left w:val="nil"/>
              <w:bottom w:val="nil"/>
              <w:right w:val="nil"/>
            </w:tcBorders>
            <w:shd w:val="clear" w:color="auto" w:fill="auto"/>
            <w:noWrap/>
            <w:vAlign w:val="bottom"/>
            <w:hideMark/>
          </w:tcPr>
          <w:p w14:paraId="29136CA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693C6EE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2.0</w:t>
            </w:r>
          </w:p>
        </w:tc>
      </w:tr>
      <w:tr w:rsidR="001132EE" w:rsidRPr="00353B2E" w14:paraId="26F9C42C" w14:textId="77777777" w:rsidTr="009C4E41">
        <w:trPr>
          <w:trHeight w:val="315"/>
        </w:trPr>
        <w:tc>
          <w:tcPr>
            <w:tcW w:w="1300" w:type="dxa"/>
            <w:tcBorders>
              <w:top w:val="nil"/>
              <w:left w:val="nil"/>
              <w:bottom w:val="nil"/>
              <w:right w:val="nil"/>
            </w:tcBorders>
            <w:shd w:val="clear" w:color="auto" w:fill="auto"/>
            <w:noWrap/>
            <w:vAlign w:val="bottom"/>
            <w:hideMark/>
          </w:tcPr>
          <w:p w14:paraId="7C9FE8AC"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Finland</w:t>
            </w:r>
          </w:p>
        </w:tc>
        <w:tc>
          <w:tcPr>
            <w:tcW w:w="1247" w:type="dxa"/>
            <w:tcBorders>
              <w:top w:val="nil"/>
              <w:left w:val="nil"/>
              <w:bottom w:val="nil"/>
              <w:right w:val="nil"/>
            </w:tcBorders>
            <w:shd w:val="clear" w:color="auto" w:fill="auto"/>
            <w:noWrap/>
            <w:vAlign w:val="bottom"/>
            <w:hideMark/>
          </w:tcPr>
          <w:p w14:paraId="1DADF92F"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363D4CB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68B54E7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c>
          <w:tcPr>
            <w:tcW w:w="1200" w:type="dxa"/>
            <w:tcBorders>
              <w:top w:val="nil"/>
              <w:left w:val="nil"/>
              <w:bottom w:val="nil"/>
              <w:right w:val="nil"/>
            </w:tcBorders>
            <w:shd w:val="clear" w:color="auto" w:fill="auto"/>
            <w:noWrap/>
            <w:vAlign w:val="bottom"/>
            <w:hideMark/>
          </w:tcPr>
          <w:p w14:paraId="0E8F1AD9"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2305A97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2B43CBC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62EE0B1A"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612CD4E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0FF0E12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23FFDAE2" w14:textId="77777777" w:rsidTr="009C4E41">
        <w:trPr>
          <w:trHeight w:val="315"/>
        </w:trPr>
        <w:tc>
          <w:tcPr>
            <w:tcW w:w="1300" w:type="dxa"/>
            <w:tcBorders>
              <w:top w:val="nil"/>
              <w:left w:val="nil"/>
              <w:bottom w:val="nil"/>
              <w:right w:val="nil"/>
            </w:tcBorders>
            <w:shd w:val="clear" w:color="auto" w:fill="auto"/>
            <w:noWrap/>
            <w:vAlign w:val="bottom"/>
            <w:hideMark/>
          </w:tcPr>
          <w:p w14:paraId="56E79843"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 xml:space="preserve">France </w:t>
            </w:r>
          </w:p>
        </w:tc>
        <w:tc>
          <w:tcPr>
            <w:tcW w:w="1247" w:type="dxa"/>
            <w:tcBorders>
              <w:top w:val="nil"/>
              <w:left w:val="nil"/>
              <w:bottom w:val="nil"/>
              <w:right w:val="nil"/>
            </w:tcBorders>
            <w:shd w:val="clear" w:color="auto" w:fill="auto"/>
            <w:noWrap/>
            <w:vAlign w:val="bottom"/>
            <w:hideMark/>
          </w:tcPr>
          <w:p w14:paraId="0DC918BC"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76C6A85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3E349C0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1.5</w:t>
            </w:r>
          </w:p>
        </w:tc>
        <w:tc>
          <w:tcPr>
            <w:tcW w:w="1200" w:type="dxa"/>
            <w:tcBorders>
              <w:top w:val="nil"/>
              <w:left w:val="nil"/>
              <w:bottom w:val="nil"/>
              <w:right w:val="nil"/>
            </w:tcBorders>
            <w:shd w:val="clear" w:color="auto" w:fill="auto"/>
            <w:noWrap/>
            <w:vAlign w:val="bottom"/>
            <w:hideMark/>
          </w:tcPr>
          <w:p w14:paraId="03524F40"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1.2</w:t>
            </w:r>
          </w:p>
        </w:tc>
        <w:tc>
          <w:tcPr>
            <w:tcW w:w="500" w:type="dxa"/>
            <w:tcBorders>
              <w:top w:val="nil"/>
              <w:left w:val="nil"/>
              <w:bottom w:val="nil"/>
              <w:right w:val="nil"/>
            </w:tcBorders>
            <w:shd w:val="clear" w:color="auto" w:fill="auto"/>
            <w:noWrap/>
            <w:vAlign w:val="bottom"/>
            <w:hideMark/>
          </w:tcPr>
          <w:p w14:paraId="07B6FF2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126737C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1.8</w:t>
            </w:r>
          </w:p>
        </w:tc>
        <w:tc>
          <w:tcPr>
            <w:tcW w:w="1200" w:type="dxa"/>
            <w:tcBorders>
              <w:top w:val="nil"/>
              <w:left w:val="nil"/>
              <w:bottom w:val="nil"/>
              <w:right w:val="nil"/>
            </w:tcBorders>
            <w:shd w:val="clear" w:color="auto" w:fill="auto"/>
            <w:noWrap/>
            <w:vAlign w:val="bottom"/>
            <w:hideMark/>
          </w:tcPr>
          <w:p w14:paraId="1CD408D5"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0D63906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3FA7D0B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1.6</w:t>
            </w:r>
          </w:p>
        </w:tc>
      </w:tr>
      <w:tr w:rsidR="001132EE" w:rsidRPr="00353B2E" w14:paraId="2917BB98" w14:textId="77777777" w:rsidTr="009C4E41">
        <w:trPr>
          <w:trHeight w:val="315"/>
        </w:trPr>
        <w:tc>
          <w:tcPr>
            <w:tcW w:w="1300" w:type="dxa"/>
            <w:tcBorders>
              <w:top w:val="nil"/>
              <w:left w:val="nil"/>
              <w:bottom w:val="nil"/>
              <w:right w:val="nil"/>
            </w:tcBorders>
            <w:shd w:val="clear" w:color="auto" w:fill="auto"/>
            <w:noWrap/>
            <w:vAlign w:val="bottom"/>
            <w:hideMark/>
          </w:tcPr>
          <w:p w14:paraId="297CE7C5"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Germany</w:t>
            </w:r>
          </w:p>
        </w:tc>
        <w:tc>
          <w:tcPr>
            <w:tcW w:w="1247" w:type="dxa"/>
            <w:tcBorders>
              <w:top w:val="nil"/>
              <w:left w:val="nil"/>
              <w:bottom w:val="nil"/>
              <w:right w:val="nil"/>
            </w:tcBorders>
            <w:shd w:val="clear" w:color="auto" w:fill="auto"/>
            <w:noWrap/>
            <w:vAlign w:val="bottom"/>
            <w:hideMark/>
          </w:tcPr>
          <w:p w14:paraId="37D437F9"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0.8*</w:t>
            </w:r>
          </w:p>
        </w:tc>
        <w:tc>
          <w:tcPr>
            <w:tcW w:w="500" w:type="dxa"/>
            <w:tcBorders>
              <w:top w:val="nil"/>
              <w:left w:val="nil"/>
              <w:bottom w:val="nil"/>
              <w:right w:val="nil"/>
            </w:tcBorders>
            <w:shd w:val="clear" w:color="auto" w:fill="auto"/>
            <w:noWrap/>
            <w:vAlign w:val="bottom"/>
            <w:hideMark/>
          </w:tcPr>
          <w:p w14:paraId="6374294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0.6</w:t>
            </w:r>
          </w:p>
        </w:tc>
        <w:tc>
          <w:tcPr>
            <w:tcW w:w="500" w:type="dxa"/>
            <w:tcBorders>
              <w:top w:val="nil"/>
              <w:left w:val="nil"/>
              <w:bottom w:val="nil"/>
              <w:right w:val="nil"/>
            </w:tcBorders>
            <w:shd w:val="clear" w:color="auto" w:fill="auto"/>
            <w:noWrap/>
            <w:vAlign w:val="bottom"/>
            <w:hideMark/>
          </w:tcPr>
          <w:p w14:paraId="7A5FFF6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1200" w:type="dxa"/>
            <w:tcBorders>
              <w:top w:val="nil"/>
              <w:left w:val="nil"/>
              <w:bottom w:val="nil"/>
              <w:right w:val="nil"/>
            </w:tcBorders>
            <w:shd w:val="clear" w:color="auto" w:fill="auto"/>
            <w:noWrap/>
            <w:vAlign w:val="bottom"/>
            <w:hideMark/>
          </w:tcPr>
          <w:p w14:paraId="4FD6DDC0"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0105F0F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5BFAAC0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3AA6FA30"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32D8E0B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4531F88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r>
      <w:tr w:rsidR="001132EE" w:rsidRPr="00353B2E" w14:paraId="70FBDF44" w14:textId="77777777" w:rsidTr="009C4E41">
        <w:trPr>
          <w:trHeight w:val="315"/>
        </w:trPr>
        <w:tc>
          <w:tcPr>
            <w:tcW w:w="1300" w:type="dxa"/>
            <w:tcBorders>
              <w:top w:val="nil"/>
              <w:left w:val="nil"/>
              <w:bottom w:val="nil"/>
              <w:right w:val="nil"/>
            </w:tcBorders>
            <w:shd w:val="clear" w:color="auto" w:fill="auto"/>
            <w:noWrap/>
            <w:vAlign w:val="bottom"/>
            <w:hideMark/>
          </w:tcPr>
          <w:p w14:paraId="0E846F51"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Hungary</w:t>
            </w:r>
          </w:p>
        </w:tc>
        <w:tc>
          <w:tcPr>
            <w:tcW w:w="1247" w:type="dxa"/>
            <w:tcBorders>
              <w:top w:val="nil"/>
              <w:left w:val="nil"/>
              <w:bottom w:val="nil"/>
              <w:right w:val="nil"/>
            </w:tcBorders>
            <w:shd w:val="clear" w:color="auto" w:fill="auto"/>
            <w:noWrap/>
            <w:vAlign w:val="bottom"/>
            <w:hideMark/>
          </w:tcPr>
          <w:p w14:paraId="09AF39A4"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1.5*</w:t>
            </w:r>
          </w:p>
        </w:tc>
        <w:tc>
          <w:tcPr>
            <w:tcW w:w="500" w:type="dxa"/>
            <w:tcBorders>
              <w:top w:val="nil"/>
              <w:left w:val="nil"/>
              <w:bottom w:val="nil"/>
              <w:right w:val="nil"/>
            </w:tcBorders>
            <w:shd w:val="clear" w:color="auto" w:fill="auto"/>
            <w:noWrap/>
            <w:vAlign w:val="bottom"/>
            <w:hideMark/>
          </w:tcPr>
          <w:p w14:paraId="2242F96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500" w:type="dxa"/>
            <w:tcBorders>
              <w:top w:val="nil"/>
              <w:left w:val="nil"/>
              <w:bottom w:val="nil"/>
              <w:right w:val="nil"/>
            </w:tcBorders>
            <w:shd w:val="clear" w:color="auto" w:fill="auto"/>
            <w:noWrap/>
            <w:vAlign w:val="bottom"/>
            <w:hideMark/>
          </w:tcPr>
          <w:p w14:paraId="7E67DB48"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1.9</w:t>
            </w:r>
          </w:p>
        </w:tc>
        <w:tc>
          <w:tcPr>
            <w:tcW w:w="1200" w:type="dxa"/>
            <w:tcBorders>
              <w:top w:val="nil"/>
              <w:left w:val="nil"/>
              <w:bottom w:val="nil"/>
              <w:right w:val="nil"/>
            </w:tcBorders>
            <w:shd w:val="clear" w:color="auto" w:fill="auto"/>
            <w:noWrap/>
            <w:vAlign w:val="bottom"/>
            <w:hideMark/>
          </w:tcPr>
          <w:p w14:paraId="71544FB1"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4A8220E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7D36060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c>
          <w:tcPr>
            <w:tcW w:w="1200" w:type="dxa"/>
            <w:tcBorders>
              <w:top w:val="nil"/>
              <w:left w:val="nil"/>
              <w:bottom w:val="nil"/>
              <w:right w:val="nil"/>
            </w:tcBorders>
            <w:shd w:val="clear" w:color="auto" w:fill="auto"/>
            <w:noWrap/>
            <w:vAlign w:val="bottom"/>
            <w:hideMark/>
          </w:tcPr>
          <w:p w14:paraId="1C9223E5"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2D77CAA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0.6</w:t>
            </w:r>
          </w:p>
        </w:tc>
        <w:tc>
          <w:tcPr>
            <w:tcW w:w="500" w:type="dxa"/>
            <w:tcBorders>
              <w:top w:val="nil"/>
              <w:left w:val="nil"/>
              <w:bottom w:val="nil"/>
              <w:right w:val="nil"/>
            </w:tcBorders>
            <w:shd w:val="clear" w:color="auto" w:fill="auto"/>
            <w:noWrap/>
            <w:vAlign w:val="bottom"/>
            <w:hideMark/>
          </w:tcPr>
          <w:p w14:paraId="67A646E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r>
      <w:tr w:rsidR="001132EE" w:rsidRPr="00353B2E" w14:paraId="5CA3AAE5" w14:textId="77777777" w:rsidTr="009C4E41">
        <w:trPr>
          <w:trHeight w:val="315"/>
        </w:trPr>
        <w:tc>
          <w:tcPr>
            <w:tcW w:w="1300" w:type="dxa"/>
            <w:tcBorders>
              <w:top w:val="nil"/>
              <w:left w:val="nil"/>
              <w:bottom w:val="nil"/>
              <w:right w:val="nil"/>
            </w:tcBorders>
            <w:shd w:val="clear" w:color="auto" w:fill="auto"/>
            <w:noWrap/>
            <w:vAlign w:val="bottom"/>
            <w:hideMark/>
          </w:tcPr>
          <w:p w14:paraId="09B1267F"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Ireland</w:t>
            </w:r>
          </w:p>
        </w:tc>
        <w:tc>
          <w:tcPr>
            <w:tcW w:w="1247" w:type="dxa"/>
            <w:tcBorders>
              <w:top w:val="nil"/>
              <w:left w:val="nil"/>
              <w:bottom w:val="nil"/>
              <w:right w:val="nil"/>
            </w:tcBorders>
            <w:shd w:val="clear" w:color="auto" w:fill="auto"/>
            <w:noWrap/>
            <w:vAlign w:val="bottom"/>
            <w:hideMark/>
          </w:tcPr>
          <w:p w14:paraId="6C1E941A"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6C248B9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510C6AF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c>
          <w:tcPr>
            <w:tcW w:w="1200" w:type="dxa"/>
            <w:tcBorders>
              <w:top w:val="nil"/>
              <w:left w:val="nil"/>
              <w:bottom w:val="nil"/>
              <w:right w:val="nil"/>
            </w:tcBorders>
            <w:shd w:val="clear" w:color="auto" w:fill="auto"/>
            <w:noWrap/>
            <w:vAlign w:val="bottom"/>
            <w:hideMark/>
          </w:tcPr>
          <w:p w14:paraId="64712FDE"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65464E2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5532488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05161D25"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1.2*</w:t>
            </w:r>
          </w:p>
        </w:tc>
        <w:tc>
          <w:tcPr>
            <w:tcW w:w="500" w:type="dxa"/>
            <w:tcBorders>
              <w:top w:val="nil"/>
              <w:left w:val="nil"/>
              <w:bottom w:val="nil"/>
              <w:right w:val="nil"/>
            </w:tcBorders>
            <w:shd w:val="clear" w:color="auto" w:fill="auto"/>
            <w:noWrap/>
            <w:vAlign w:val="bottom"/>
            <w:hideMark/>
          </w:tcPr>
          <w:p w14:paraId="3C68D8B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1D4E371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1.5</w:t>
            </w:r>
          </w:p>
        </w:tc>
      </w:tr>
      <w:tr w:rsidR="001132EE" w:rsidRPr="00353B2E" w14:paraId="076497C2" w14:textId="77777777" w:rsidTr="009C4E41">
        <w:trPr>
          <w:trHeight w:val="315"/>
        </w:trPr>
        <w:tc>
          <w:tcPr>
            <w:tcW w:w="1300" w:type="dxa"/>
            <w:tcBorders>
              <w:top w:val="nil"/>
              <w:left w:val="nil"/>
              <w:bottom w:val="nil"/>
              <w:right w:val="nil"/>
            </w:tcBorders>
            <w:shd w:val="clear" w:color="auto" w:fill="auto"/>
            <w:noWrap/>
            <w:vAlign w:val="bottom"/>
            <w:hideMark/>
          </w:tcPr>
          <w:p w14:paraId="0DDFE89D"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Israel</w:t>
            </w:r>
          </w:p>
        </w:tc>
        <w:tc>
          <w:tcPr>
            <w:tcW w:w="1247" w:type="dxa"/>
            <w:tcBorders>
              <w:top w:val="nil"/>
              <w:left w:val="nil"/>
              <w:bottom w:val="nil"/>
              <w:right w:val="nil"/>
            </w:tcBorders>
            <w:shd w:val="clear" w:color="auto" w:fill="auto"/>
            <w:noWrap/>
            <w:vAlign w:val="bottom"/>
            <w:hideMark/>
          </w:tcPr>
          <w:p w14:paraId="61EB8535"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2362289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07BCA0C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c>
          <w:tcPr>
            <w:tcW w:w="1200" w:type="dxa"/>
            <w:tcBorders>
              <w:top w:val="nil"/>
              <w:left w:val="nil"/>
              <w:bottom w:val="nil"/>
              <w:right w:val="nil"/>
            </w:tcBorders>
            <w:shd w:val="clear" w:color="auto" w:fill="auto"/>
            <w:noWrap/>
            <w:vAlign w:val="bottom"/>
            <w:hideMark/>
          </w:tcPr>
          <w:p w14:paraId="6A716775"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1B9AD9E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1EA764E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c>
          <w:tcPr>
            <w:tcW w:w="1200" w:type="dxa"/>
            <w:tcBorders>
              <w:top w:val="nil"/>
              <w:left w:val="nil"/>
              <w:bottom w:val="nil"/>
              <w:right w:val="nil"/>
            </w:tcBorders>
            <w:shd w:val="clear" w:color="auto" w:fill="auto"/>
            <w:noWrap/>
            <w:vAlign w:val="bottom"/>
            <w:hideMark/>
          </w:tcPr>
          <w:p w14:paraId="16D73C9A"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0.8</w:t>
            </w:r>
          </w:p>
        </w:tc>
        <w:tc>
          <w:tcPr>
            <w:tcW w:w="500" w:type="dxa"/>
            <w:tcBorders>
              <w:top w:val="nil"/>
              <w:left w:val="nil"/>
              <w:bottom w:val="nil"/>
              <w:right w:val="nil"/>
            </w:tcBorders>
            <w:shd w:val="clear" w:color="auto" w:fill="auto"/>
            <w:noWrap/>
            <w:vAlign w:val="bottom"/>
            <w:hideMark/>
          </w:tcPr>
          <w:p w14:paraId="5A3CA06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0.6</w:t>
            </w:r>
          </w:p>
        </w:tc>
        <w:tc>
          <w:tcPr>
            <w:tcW w:w="500" w:type="dxa"/>
            <w:tcBorders>
              <w:top w:val="nil"/>
              <w:left w:val="nil"/>
              <w:bottom w:val="nil"/>
              <w:right w:val="nil"/>
            </w:tcBorders>
            <w:shd w:val="clear" w:color="auto" w:fill="auto"/>
            <w:noWrap/>
            <w:vAlign w:val="bottom"/>
            <w:hideMark/>
          </w:tcPr>
          <w:p w14:paraId="62E1B188"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21BB4271" w14:textId="77777777" w:rsidTr="009C4E41">
        <w:trPr>
          <w:trHeight w:val="315"/>
        </w:trPr>
        <w:tc>
          <w:tcPr>
            <w:tcW w:w="1300" w:type="dxa"/>
            <w:tcBorders>
              <w:top w:val="nil"/>
              <w:left w:val="nil"/>
              <w:bottom w:val="nil"/>
              <w:right w:val="nil"/>
            </w:tcBorders>
            <w:shd w:val="clear" w:color="auto" w:fill="auto"/>
            <w:noWrap/>
            <w:vAlign w:val="bottom"/>
            <w:hideMark/>
          </w:tcPr>
          <w:p w14:paraId="391EAFCA"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Lithuania</w:t>
            </w:r>
          </w:p>
        </w:tc>
        <w:tc>
          <w:tcPr>
            <w:tcW w:w="1247" w:type="dxa"/>
            <w:tcBorders>
              <w:top w:val="nil"/>
              <w:left w:val="nil"/>
              <w:bottom w:val="nil"/>
              <w:right w:val="nil"/>
            </w:tcBorders>
            <w:shd w:val="clear" w:color="auto" w:fill="auto"/>
            <w:noWrap/>
            <w:vAlign w:val="bottom"/>
            <w:hideMark/>
          </w:tcPr>
          <w:p w14:paraId="694AA8B4"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7036F6C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07A7088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c>
          <w:tcPr>
            <w:tcW w:w="1200" w:type="dxa"/>
            <w:tcBorders>
              <w:top w:val="nil"/>
              <w:left w:val="nil"/>
              <w:bottom w:val="nil"/>
              <w:right w:val="nil"/>
            </w:tcBorders>
            <w:shd w:val="clear" w:color="auto" w:fill="auto"/>
            <w:noWrap/>
            <w:vAlign w:val="bottom"/>
            <w:hideMark/>
          </w:tcPr>
          <w:p w14:paraId="2DFE751D"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15DFA61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3FF4727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1FD70C9B"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180B489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03EC77C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1.6</w:t>
            </w:r>
          </w:p>
        </w:tc>
      </w:tr>
      <w:tr w:rsidR="001132EE" w:rsidRPr="00353B2E" w14:paraId="781184FB" w14:textId="77777777" w:rsidTr="009C4E41">
        <w:trPr>
          <w:trHeight w:val="315"/>
        </w:trPr>
        <w:tc>
          <w:tcPr>
            <w:tcW w:w="1300" w:type="dxa"/>
            <w:tcBorders>
              <w:top w:val="nil"/>
              <w:left w:val="nil"/>
              <w:bottom w:val="nil"/>
              <w:right w:val="nil"/>
            </w:tcBorders>
            <w:shd w:val="clear" w:color="auto" w:fill="auto"/>
            <w:noWrap/>
            <w:vAlign w:val="bottom"/>
            <w:hideMark/>
          </w:tcPr>
          <w:p w14:paraId="27F0B149"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Netherlands</w:t>
            </w:r>
          </w:p>
        </w:tc>
        <w:tc>
          <w:tcPr>
            <w:tcW w:w="1247" w:type="dxa"/>
            <w:tcBorders>
              <w:top w:val="nil"/>
              <w:left w:val="nil"/>
              <w:bottom w:val="nil"/>
              <w:right w:val="nil"/>
            </w:tcBorders>
            <w:shd w:val="clear" w:color="auto" w:fill="auto"/>
            <w:noWrap/>
            <w:vAlign w:val="bottom"/>
            <w:hideMark/>
          </w:tcPr>
          <w:p w14:paraId="57CDF4E4"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1338B19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01018A68"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33277320"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0B78671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2516F7B8"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7D2A0553"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501B418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40AE417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5C090256" w14:textId="77777777" w:rsidTr="009C4E41">
        <w:trPr>
          <w:trHeight w:val="315"/>
        </w:trPr>
        <w:tc>
          <w:tcPr>
            <w:tcW w:w="1300" w:type="dxa"/>
            <w:tcBorders>
              <w:top w:val="nil"/>
              <w:left w:val="nil"/>
              <w:bottom w:val="nil"/>
              <w:right w:val="nil"/>
            </w:tcBorders>
            <w:shd w:val="clear" w:color="auto" w:fill="auto"/>
            <w:noWrap/>
            <w:vAlign w:val="bottom"/>
            <w:hideMark/>
          </w:tcPr>
          <w:p w14:paraId="532797D4"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Norway</w:t>
            </w:r>
          </w:p>
        </w:tc>
        <w:tc>
          <w:tcPr>
            <w:tcW w:w="1247" w:type="dxa"/>
            <w:tcBorders>
              <w:top w:val="nil"/>
              <w:left w:val="nil"/>
              <w:bottom w:val="nil"/>
              <w:right w:val="nil"/>
            </w:tcBorders>
            <w:shd w:val="clear" w:color="auto" w:fill="auto"/>
            <w:noWrap/>
            <w:vAlign w:val="bottom"/>
            <w:hideMark/>
          </w:tcPr>
          <w:p w14:paraId="30F88997"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49C33D1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0.6</w:t>
            </w:r>
          </w:p>
        </w:tc>
        <w:tc>
          <w:tcPr>
            <w:tcW w:w="500" w:type="dxa"/>
            <w:tcBorders>
              <w:top w:val="nil"/>
              <w:left w:val="nil"/>
              <w:bottom w:val="nil"/>
              <w:right w:val="nil"/>
            </w:tcBorders>
            <w:shd w:val="clear" w:color="auto" w:fill="auto"/>
            <w:noWrap/>
            <w:vAlign w:val="bottom"/>
            <w:hideMark/>
          </w:tcPr>
          <w:p w14:paraId="620AC5D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52557F75"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350792F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0.6</w:t>
            </w:r>
          </w:p>
        </w:tc>
        <w:tc>
          <w:tcPr>
            <w:tcW w:w="500" w:type="dxa"/>
            <w:tcBorders>
              <w:top w:val="nil"/>
              <w:left w:val="nil"/>
              <w:bottom w:val="nil"/>
              <w:right w:val="nil"/>
            </w:tcBorders>
            <w:shd w:val="clear" w:color="auto" w:fill="auto"/>
            <w:noWrap/>
            <w:vAlign w:val="bottom"/>
            <w:hideMark/>
          </w:tcPr>
          <w:p w14:paraId="7E9E7B1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20E57F12"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1F489B4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3F7A909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r>
      <w:tr w:rsidR="001132EE" w:rsidRPr="00353B2E" w14:paraId="4A522A12" w14:textId="77777777" w:rsidTr="009C4E41">
        <w:trPr>
          <w:trHeight w:val="315"/>
        </w:trPr>
        <w:tc>
          <w:tcPr>
            <w:tcW w:w="1300" w:type="dxa"/>
            <w:tcBorders>
              <w:top w:val="nil"/>
              <w:left w:val="nil"/>
              <w:bottom w:val="nil"/>
              <w:right w:val="nil"/>
            </w:tcBorders>
            <w:shd w:val="clear" w:color="auto" w:fill="auto"/>
            <w:noWrap/>
            <w:vAlign w:val="bottom"/>
            <w:hideMark/>
          </w:tcPr>
          <w:p w14:paraId="60AB7A27"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Poland</w:t>
            </w:r>
          </w:p>
        </w:tc>
        <w:tc>
          <w:tcPr>
            <w:tcW w:w="1247" w:type="dxa"/>
            <w:tcBorders>
              <w:top w:val="nil"/>
              <w:left w:val="nil"/>
              <w:bottom w:val="nil"/>
              <w:right w:val="nil"/>
            </w:tcBorders>
            <w:shd w:val="clear" w:color="auto" w:fill="auto"/>
            <w:noWrap/>
            <w:vAlign w:val="bottom"/>
            <w:hideMark/>
          </w:tcPr>
          <w:p w14:paraId="2D7A0D00"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1.2</w:t>
            </w:r>
          </w:p>
        </w:tc>
        <w:tc>
          <w:tcPr>
            <w:tcW w:w="500" w:type="dxa"/>
            <w:tcBorders>
              <w:top w:val="nil"/>
              <w:left w:val="nil"/>
              <w:bottom w:val="nil"/>
              <w:right w:val="nil"/>
            </w:tcBorders>
            <w:shd w:val="clear" w:color="auto" w:fill="auto"/>
            <w:noWrap/>
            <w:vAlign w:val="bottom"/>
            <w:hideMark/>
          </w:tcPr>
          <w:p w14:paraId="3E5182E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5816CF5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1.6</w:t>
            </w:r>
          </w:p>
        </w:tc>
        <w:tc>
          <w:tcPr>
            <w:tcW w:w="1200" w:type="dxa"/>
            <w:tcBorders>
              <w:top w:val="nil"/>
              <w:left w:val="nil"/>
              <w:bottom w:val="nil"/>
              <w:right w:val="nil"/>
            </w:tcBorders>
            <w:shd w:val="clear" w:color="auto" w:fill="auto"/>
            <w:noWrap/>
            <w:vAlign w:val="bottom"/>
            <w:hideMark/>
          </w:tcPr>
          <w:p w14:paraId="7E1C77F8"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1.2</w:t>
            </w:r>
          </w:p>
        </w:tc>
        <w:tc>
          <w:tcPr>
            <w:tcW w:w="500" w:type="dxa"/>
            <w:tcBorders>
              <w:top w:val="nil"/>
              <w:left w:val="nil"/>
              <w:bottom w:val="nil"/>
              <w:right w:val="nil"/>
            </w:tcBorders>
            <w:shd w:val="clear" w:color="auto" w:fill="auto"/>
            <w:noWrap/>
            <w:vAlign w:val="bottom"/>
            <w:hideMark/>
          </w:tcPr>
          <w:p w14:paraId="2533569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3D8E7FB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1.5</w:t>
            </w:r>
          </w:p>
        </w:tc>
        <w:tc>
          <w:tcPr>
            <w:tcW w:w="1200" w:type="dxa"/>
            <w:tcBorders>
              <w:top w:val="nil"/>
              <w:left w:val="nil"/>
              <w:bottom w:val="nil"/>
              <w:right w:val="nil"/>
            </w:tcBorders>
            <w:shd w:val="clear" w:color="auto" w:fill="auto"/>
            <w:noWrap/>
            <w:vAlign w:val="bottom"/>
            <w:hideMark/>
          </w:tcPr>
          <w:p w14:paraId="1EC5FED9"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2CCE983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0CB301A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42A881E2" w14:textId="77777777" w:rsidTr="009C4E41">
        <w:trPr>
          <w:trHeight w:val="315"/>
        </w:trPr>
        <w:tc>
          <w:tcPr>
            <w:tcW w:w="1300" w:type="dxa"/>
            <w:tcBorders>
              <w:top w:val="nil"/>
              <w:left w:val="nil"/>
              <w:bottom w:val="nil"/>
              <w:right w:val="nil"/>
            </w:tcBorders>
            <w:shd w:val="clear" w:color="auto" w:fill="auto"/>
            <w:noWrap/>
            <w:vAlign w:val="bottom"/>
            <w:hideMark/>
          </w:tcPr>
          <w:p w14:paraId="4D24D14D"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Portugal</w:t>
            </w:r>
          </w:p>
        </w:tc>
        <w:tc>
          <w:tcPr>
            <w:tcW w:w="1247" w:type="dxa"/>
            <w:tcBorders>
              <w:top w:val="nil"/>
              <w:left w:val="nil"/>
              <w:bottom w:val="nil"/>
              <w:right w:val="nil"/>
            </w:tcBorders>
            <w:shd w:val="clear" w:color="auto" w:fill="auto"/>
            <w:noWrap/>
            <w:vAlign w:val="bottom"/>
            <w:hideMark/>
          </w:tcPr>
          <w:p w14:paraId="187E4BDF"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1.5</w:t>
            </w:r>
          </w:p>
        </w:tc>
        <w:tc>
          <w:tcPr>
            <w:tcW w:w="500" w:type="dxa"/>
            <w:tcBorders>
              <w:top w:val="nil"/>
              <w:left w:val="nil"/>
              <w:bottom w:val="nil"/>
              <w:right w:val="nil"/>
            </w:tcBorders>
            <w:shd w:val="clear" w:color="auto" w:fill="auto"/>
            <w:noWrap/>
            <w:vAlign w:val="bottom"/>
            <w:hideMark/>
          </w:tcPr>
          <w:p w14:paraId="403155C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3FB4436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2.7</w:t>
            </w:r>
          </w:p>
        </w:tc>
        <w:tc>
          <w:tcPr>
            <w:tcW w:w="1200" w:type="dxa"/>
            <w:tcBorders>
              <w:top w:val="nil"/>
              <w:left w:val="nil"/>
              <w:bottom w:val="nil"/>
              <w:right w:val="nil"/>
            </w:tcBorders>
            <w:shd w:val="clear" w:color="auto" w:fill="auto"/>
            <w:noWrap/>
            <w:vAlign w:val="bottom"/>
            <w:hideMark/>
          </w:tcPr>
          <w:p w14:paraId="018AA249"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0.5*</w:t>
            </w:r>
          </w:p>
        </w:tc>
        <w:tc>
          <w:tcPr>
            <w:tcW w:w="500" w:type="dxa"/>
            <w:tcBorders>
              <w:top w:val="nil"/>
              <w:left w:val="nil"/>
              <w:bottom w:val="nil"/>
              <w:right w:val="nil"/>
            </w:tcBorders>
            <w:shd w:val="clear" w:color="auto" w:fill="auto"/>
            <w:noWrap/>
            <w:vAlign w:val="bottom"/>
            <w:hideMark/>
          </w:tcPr>
          <w:p w14:paraId="3E807228"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0.3</w:t>
            </w:r>
          </w:p>
        </w:tc>
        <w:tc>
          <w:tcPr>
            <w:tcW w:w="500" w:type="dxa"/>
            <w:tcBorders>
              <w:top w:val="nil"/>
              <w:left w:val="nil"/>
              <w:bottom w:val="nil"/>
              <w:right w:val="nil"/>
            </w:tcBorders>
            <w:shd w:val="clear" w:color="auto" w:fill="auto"/>
            <w:noWrap/>
            <w:vAlign w:val="bottom"/>
            <w:hideMark/>
          </w:tcPr>
          <w:p w14:paraId="60A845B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1200" w:type="dxa"/>
            <w:tcBorders>
              <w:top w:val="nil"/>
              <w:left w:val="nil"/>
              <w:bottom w:val="nil"/>
              <w:right w:val="nil"/>
            </w:tcBorders>
            <w:shd w:val="clear" w:color="auto" w:fill="auto"/>
            <w:noWrap/>
            <w:vAlign w:val="bottom"/>
            <w:hideMark/>
          </w:tcPr>
          <w:p w14:paraId="32886DD4"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36EA35C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0.5</w:t>
            </w:r>
          </w:p>
        </w:tc>
        <w:tc>
          <w:tcPr>
            <w:tcW w:w="500" w:type="dxa"/>
            <w:tcBorders>
              <w:top w:val="nil"/>
              <w:left w:val="nil"/>
              <w:bottom w:val="nil"/>
              <w:right w:val="nil"/>
            </w:tcBorders>
            <w:shd w:val="clear" w:color="auto" w:fill="auto"/>
            <w:noWrap/>
            <w:vAlign w:val="bottom"/>
            <w:hideMark/>
          </w:tcPr>
          <w:p w14:paraId="521D21D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r>
      <w:tr w:rsidR="001132EE" w:rsidRPr="00353B2E" w14:paraId="68836E62" w14:textId="77777777" w:rsidTr="009C4E41">
        <w:trPr>
          <w:trHeight w:val="315"/>
        </w:trPr>
        <w:tc>
          <w:tcPr>
            <w:tcW w:w="1300" w:type="dxa"/>
            <w:tcBorders>
              <w:top w:val="nil"/>
              <w:left w:val="nil"/>
              <w:bottom w:val="nil"/>
              <w:right w:val="nil"/>
            </w:tcBorders>
            <w:shd w:val="clear" w:color="auto" w:fill="auto"/>
            <w:noWrap/>
            <w:vAlign w:val="bottom"/>
            <w:hideMark/>
          </w:tcPr>
          <w:p w14:paraId="558BA533"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Slovenia</w:t>
            </w:r>
          </w:p>
        </w:tc>
        <w:tc>
          <w:tcPr>
            <w:tcW w:w="1247" w:type="dxa"/>
            <w:tcBorders>
              <w:top w:val="nil"/>
              <w:left w:val="nil"/>
              <w:bottom w:val="nil"/>
              <w:right w:val="nil"/>
            </w:tcBorders>
            <w:shd w:val="clear" w:color="auto" w:fill="auto"/>
            <w:noWrap/>
            <w:vAlign w:val="bottom"/>
            <w:hideMark/>
          </w:tcPr>
          <w:p w14:paraId="694D7728"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5BE12D5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6896684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1.6</w:t>
            </w:r>
          </w:p>
        </w:tc>
        <w:tc>
          <w:tcPr>
            <w:tcW w:w="1200" w:type="dxa"/>
            <w:tcBorders>
              <w:top w:val="nil"/>
              <w:left w:val="nil"/>
              <w:bottom w:val="nil"/>
              <w:right w:val="nil"/>
            </w:tcBorders>
            <w:shd w:val="clear" w:color="auto" w:fill="auto"/>
            <w:noWrap/>
            <w:vAlign w:val="bottom"/>
            <w:hideMark/>
          </w:tcPr>
          <w:p w14:paraId="6D2C6D85"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1.6*</w:t>
            </w:r>
          </w:p>
        </w:tc>
        <w:tc>
          <w:tcPr>
            <w:tcW w:w="500" w:type="dxa"/>
            <w:tcBorders>
              <w:top w:val="nil"/>
              <w:left w:val="nil"/>
              <w:bottom w:val="nil"/>
              <w:right w:val="nil"/>
            </w:tcBorders>
            <w:shd w:val="clear" w:color="auto" w:fill="auto"/>
            <w:noWrap/>
            <w:vAlign w:val="bottom"/>
            <w:hideMark/>
          </w:tcPr>
          <w:p w14:paraId="5C728AD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500" w:type="dxa"/>
            <w:tcBorders>
              <w:top w:val="nil"/>
              <w:left w:val="nil"/>
              <w:bottom w:val="nil"/>
              <w:right w:val="nil"/>
            </w:tcBorders>
            <w:shd w:val="clear" w:color="auto" w:fill="auto"/>
            <w:noWrap/>
            <w:vAlign w:val="bottom"/>
            <w:hideMark/>
          </w:tcPr>
          <w:p w14:paraId="3144456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2.5</w:t>
            </w:r>
          </w:p>
        </w:tc>
        <w:tc>
          <w:tcPr>
            <w:tcW w:w="1200" w:type="dxa"/>
            <w:tcBorders>
              <w:top w:val="nil"/>
              <w:left w:val="nil"/>
              <w:bottom w:val="nil"/>
              <w:right w:val="nil"/>
            </w:tcBorders>
            <w:shd w:val="clear" w:color="auto" w:fill="auto"/>
            <w:noWrap/>
            <w:vAlign w:val="bottom"/>
            <w:hideMark/>
          </w:tcPr>
          <w:p w14:paraId="2326385D"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0C4CFC0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0.6</w:t>
            </w:r>
          </w:p>
        </w:tc>
        <w:tc>
          <w:tcPr>
            <w:tcW w:w="500" w:type="dxa"/>
            <w:tcBorders>
              <w:top w:val="nil"/>
              <w:left w:val="nil"/>
              <w:bottom w:val="nil"/>
              <w:right w:val="nil"/>
            </w:tcBorders>
            <w:shd w:val="clear" w:color="auto" w:fill="auto"/>
            <w:noWrap/>
            <w:vAlign w:val="bottom"/>
            <w:hideMark/>
          </w:tcPr>
          <w:p w14:paraId="006CC9B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1.5</w:t>
            </w:r>
          </w:p>
        </w:tc>
      </w:tr>
      <w:tr w:rsidR="001132EE" w:rsidRPr="00353B2E" w14:paraId="6611D99F" w14:textId="77777777" w:rsidTr="009C4E41">
        <w:trPr>
          <w:trHeight w:val="315"/>
        </w:trPr>
        <w:tc>
          <w:tcPr>
            <w:tcW w:w="1300" w:type="dxa"/>
            <w:tcBorders>
              <w:top w:val="nil"/>
              <w:left w:val="nil"/>
              <w:bottom w:val="nil"/>
              <w:right w:val="nil"/>
            </w:tcBorders>
            <w:shd w:val="clear" w:color="auto" w:fill="auto"/>
            <w:noWrap/>
            <w:vAlign w:val="bottom"/>
            <w:hideMark/>
          </w:tcPr>
          <w:p w14:paraId="152E9DF1"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Spain</w:t>
            </w:r>
          </w:p>
        </w:tc>
        <w:tc>
          <w:tcPr>
            <w:tcW w:w="1247" w:type="dxa"/>
            <w:tcBorders>
              <w:top w:val="nil"/>
              <w:left w:val="nil"/>
              <w:bottom w:val="nil"/>
              <w:right w:val="nil"/>
            </w:tcBorders>
            <w:shd w:val="clear" w:color="auto" w:fill="auto"/>
            <w:noWrap/>
            <w:vAlign w:val="bottom"/>
            <w:hideMark/>
          </w:tcPr>
          <w:p w14:paraId="386DDA8D"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69662F4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1031CC9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61832728"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7F8202F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39B9C5D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26E74416"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1.3*</w:t>
            </w:r>
          </w:p>
        </w:tc>
        <w:tc>
          <w:tcPr>
            <w:tcW w:w="500" w:type="dxa"/>
            <w:tcBorders>
              <w:top w:val="nil"/>
              <w:left w:val="nil"/>
              <w:bottom w:val="nil"/>
              <w:right w:val="nil"/>
            </w:tcBorders>
            <w:shd w:val="clear" w:color="auto" w:fill="auto"/>
            <w:noWrap/>
            <w:vAlign w:val="bottom"/>
            <w:hideMark/>
          </w:tcPr>
          <w:p w14:paraId="112BD35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59567D4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1.6</w:t>
            </w:r>
          </w:p>
        </w:tc>
      </w:tr>
      <w:tr w:rsidR="001132EE" w:rsidRPr="00353B2E" w14:paraId="2DD02912" w14:textId="77777777" w:rsidTr="009C4E41">
        <w:trPr>
          <w:trHeight w:val="315"/>
        </w:trPr>
        <w:tc>
          <w:tcPr>
            <w:tcW w:w="1300" w:type="dxa"/>
            <w:tcBorders>
              <w:top w:val="nil"/>
              <w:left w:val="nil"/>
              <w:bottom w:val="nil"/>
              <w:right w:val="nil"/>
            </w:tcBorders>
            <w:shd w:val="clear" w:color="auto" w:fill="auto"/>
            <w:noWrap/>
            <w:vAlign w:val="bottom"/>
            <w:hideMark/>
          </w:tcPr>
          <w:p w14:paraId="55D6A31E"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Sweden</w:t>
            </w:r>
          </w:p>
        </w:tc>
        <w:tc>
          <w:tcPr>
            <w:tcW w:w="1247" w:type="dxa"/>
            <w:tcBorders>
              <w:top w:val="nil"/>
              <w:left w:val="nil"/>
              <w:bottom w:val="nil"/>
              <w:right w:val="nil"/>
            </w:tcBorders>
            <w:shd w:val="clear" w:color="auto" w:fill="auto"/>
            <w:noWrap/>
            <w:vAlign w:val="bottom"/>
            <w:hideMark/>
          </w:tcPr>
          <w:p w14:paraId="263CA77E"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7FF24E5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0DB4109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4FEE02B8"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78EB22B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6F9F801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55023325"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5070FA3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193BFFC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52173B1D" w14:textId="77777777" w:rsidTr="009C4E41">
        <w:trPr>
          <w:trHeight w:val="315"/>
        </w:trPr>
        <w:tc>
          <w:tcPr>
            <w:tcW w:w="1300" w:type="dxa"/>
            <w:tcBorders>
              <w:top w:val="nil"/>
              <w:left w:val="nil"/>
              <w:bottom w:val="nil"/>
              <w:right w:val="nil"/>
            </w:tcBorders>
            <w:shd w:val="clear" w:color="auto" w:fill="auto"/>
            <w:noWrap/>
            <w:vAlign w:val="bottom"/>
            <w:hideMark/>
          </w:tcPr>
          <w:p w14:paraId="25C45EB9"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Switzerland</w:t>
            </w:r>
          </w:p>
        </w:tc>
        <w:tc>
          <w:tcPr>
            <w:tcW w:w="1247" w:type="dxa"/>
            <w:tcBorders>
              <w:top w:val="nil"/>
              <w:left w:val="nil"/>
              <w:bottom w:val="nil"/>
              <w:right w:val="nil"/>
            </w:tcBorders>
            <w:shd w:val="clear" w:color="auto" w:fill="auto"/>
            <w:noWrap/>
            <w:vAlign w:val="bottom"/>
            <w:hideMark/>
          </w:tcPr>
          <w:p w14:paraId="7972A81C"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0.8*</w:t>
            </w:r>
          </w:p>
        </w:tc>
        <w:tc>
          <w:tcPr>
            <w:tcW w:w="500" w:type="dxa"/>
            <w:tcBorders>
              <w:top w:val="nil"/>
              <w:left w:val="nil"/>
              <w:bottom w:val="nil"/>
              <w:right w:val="nil"/>
            </w:tcBorders>
            <w:shd w:val="clear" w:color="auto" w:fill="auto"/>
            <w:noWrap/>
            <w:vAlign w:val="bottom"/>
            <w:hideMark/>
          </w:tcPr>
          <w:p w14:paraId="3EA8304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5550380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1200" w:type="dxa"/>
            <w:tcBorders>
              <w:top w:val="nil"/>
              <w:left w:val="nil"/>
              <w:bottom w:val="nil"/>
              <w:right w:val="nil"/>
            </w:tcBorders>
            <w:shd w:val="clear" w:color="auto" w:fill="auto"/>
            <w:noWrap/>
            <w:vAlign w:val="bottom"/>
            <w:hideMark/>
          </w:tcPr>
          <w:p w14:paraId="01816B03"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5CF3141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7457044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494B42F9"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0.8*</w:t>
            </w:r>
          </w:p>
        </w:tc>
        <w:tc>
          <w:tcPr>
            <w:tcW w:w="500" w:type="dxa"/>
            <w:tcBorders>
              <w:top w:val="nil"/>
              <w:left w:val="nil"/>
              <w:bottom w:val="nil"/>
              <w:right w:val="nil"/>
            </w:tcBorders>
            <w:shd w:val="clear" w:color="auto" w:fill="auto"/>
            <w:noWrap/>
            <w:vAlign w:val="bottom"/>
            <w:hideMark/>
          </w:tcPr>
          <w:p w14:paraId="675532F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4A91AFE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r>
      <w:tr w:rsidR="001132EE" w:rsidRPr="00353B2E" w14:paraId="646E0E28" w14:textId="77777777" w:rsidTr="009C4E41">
        <w:trPr>
          <w:trHeight w:val="315"/>
        </w:trPr>
        <w:tc>
          <w:tcPr>
            <w:tcW w:w="1300" w:type="dxa"/>
            <w:tcBorders>
              <w:top w:val="nil"/>
              <w:left w:val="nil"/>
              <w:bottom w:val="single" w:sz="4" w:space="0" w:color="auto"/>
              <w:right w:val="nil"/>
            </w:tcBorders>
            <w:shd w:val="clear" w:color="auto" w:fill="auto"/>
            <w:noWrap/>
            <w:vAlign w:val="bottom"/>
            <w:hideMark/>
          </w:tcPr>
          <w:p w14:paraId="6043B8D3"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UK</w:t>
            </w:r>
          </w:p>
        </w:tc>
        <w:tc>
          <w:tcPr>
            <w:tcW w:w="1247" w:type="dxa"/>
            <w:tcBorders>
              <w:top w:val="nil"/>
              <w:left w:val="nil"/>
              <w:bottom w:val="single" w:sz="4" w:space="0" w:color="auto"/>
              <w:right w:val="nil"/>
            </w:tcBorders>
            <w:shd w:val="clear" w:color="auto" w:fill="auto"/>
            <w:noWrap/>
            <w:vAlign w:val="bottom"/>
            <w:hideMark/>
          </w:tcPr>
          <w:p w14:paraId="21166912"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1.2</w:t>
            </w:r>
          </w:p>
        </w:tc>
        <w:tc>
          <w:tcPr>
            <w:tcW w:w="500" w:type="dxa"/>
            <w:tcBorders>
              <w:top w:val="nil"/>
              <w:left w:val="nil"/>
              <w:bottom w:val="single" w:sz="4" w:space="0" w:color="auto"/>
              <w:right w:val="nil"/>
            </w:tcBorders>
            <w:shd w:val="clear" w:color="auto" w:fill="auto"/>
            <w:noWrap/>
            <w:vAlign w:val="bottom"/>
            <w:hideMark/>
          </w:tcPr>
          <w:p w14:paraId="73C9990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single" w:sz="4" w:space="0" w:color="auto"/>
              <w:right w:val="nil"/>
            </w:tcBorders>
            <w:shd w:val="clear" w:color="auto" w:fill="auto"/>
            <w:noWrap/>
            <w:vAlign w:val="bottom"/>
            <w:hideMark/>
          </w:tcPr>
          <w:p w14:paraId="180071F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1.5</w:t>
            </w:r>
          </w:p>
        </w:tc>
        <w:tc>
          <w:tcPr>
            <w:tcW w:w="1200" w:type="dxa"/>
            <w:tcBorders>
              <w:top w:val="nil"/>
              <w:left w:val="nil"/>
              <w:bottom w:val="single" w:sz="4" w:space="0" w:color="auto"/>
              <w:right w:val="nil"/>
            </w:tcBorders>
            <w:shd w:val="clear" w:color="auto" w:fill="auto"/>
            <w:noWrap/>
            <w:vAlign w:val="bottom"/>
            <w:hideMark/>
          </w:tcPr>
          <w:p w14:paraId="642000A4"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0.8</w:t>
            </w:r>
          </w:p>
        </w:tc>
        <w:tc>
          <w:tcPr>
            <w:tcW w:w="500" w:type="dxa"/>
            <w:tcBorders>
              <w:top w:val="nil"/>
              <w:left w:val="nil"/>
              <w:bottom w:val="single" w:sz="4" w:space="0" w:color="auto"/>
              <w:right w:val="nil"/>
            </w:tcBorders>
            <w:shd w:val="clear" w:color="auto" w:fill="auto"/>
            <w:noWrap/>
            <w:vAlign w:val="bottom"/>
            <w:hideMark/>
          </w:tcPr>
          <w:p w14:paraId="3AC58878"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single" w:sz="4" w:space="0" w:color="auto"/>
              <w:right w:val="nil"/>
            </w:tcBorders>
            <w:shd w:val="clear" w:color="auto" w:fill="auto"/>
            <w:noWrap/>
            <w:vAlign w:val="bottom"/>
            <w:hideMark/>
          </w:tcPr>
          <w:p w14:paraId="471124D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1200" w:type="dxa"/>
            <w:tcBorders>
              <w:top w:val="nil"/>
              <w:left w:val="nil"/>
              <w:bottom w:val="single" w:sz="4" w:space="0" w:color="auto"/>
              <w:right w:val="nil"/>
            </w:tcBorders>
            <w:shd w:val="clear" w:color="auto" w:fill="auto"/>
            <w:noWrap/>
            <w:vAlign w:val="bottom"/>
            <w:hideMark/>
          </w:tcPr>
          <w:p w14:paraId="77BFC769"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1.2</w:t>
            </w:r>
          </w:p>
        </w:tc>
        <w:tc>
          <w:tcPr>
            <w:tcW w:w="500" w:type="dxa"/>
            <w:tcBorders>
              <w:top w:val="nil"/>
              <w:left w:val="nil"/>
              <w:bottom w:val="single" w:sz="4" w:space="0" w:color="auto"/>
              <w:right w:val="nil"/>
            </w:tcBorders>
            <w:shd w:val="clear" w:color="auto" w:fill="auto"/>
            <w:noWrap/>
            <w:vAlign w:val="bottom"/>
            <w:hideMark/>
          </w:tcPr>
          <w:p w14:paraId="13520FE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single" w:sz="4" w:space="0" w:color="auto"/>
              <w:right w:val="nil"/>
            </w:tcBorders>
            <w:shd w:val="clear" w:color="auto" w:fill="auto"/>
            <w:noWrap/>
            <w:vAlign w:val="bottom"/>
            <w:hideMark/>
          </w:tcPr>
          <w:p w14:paraId="4E38645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1.5</w:t>
            </w:r>
          </w:p>
        </w:tc>
      </w:tr>
    </w:tbl>
    <w:p w14:paraId="6D220958" w14:textId="77777777" w:rsidR="001132EE" w:rsidRPr="009C69EB" w:rsidRDefault="001132EE" w:rsidP="001132EE">
      <w:pPr>
        <w:pStyle w:val="NoSpacing"/>
        <w:rPr>
          <w:rFonts w:ascii="Times New Roman" w:hAnsi="Times New Roman" w:cs="Times New Roman"/>
          <w:sz w:val="24"/>
          <w:szCs w:val="24"/>
          <w:lang w:val="en-GB"/>
        </w:rPr>
      </w:pPr>
      <w:r w:rsidRPr="009C69EB">
        <w:rPr>
          <w:rFonts w:ascii="Times New Roman" w:hAnsi="Times New Roman" w:cs="Times New Roman"/>
          <w:sz w:val="24"/>
          <w:szCs w:val="24"/>
          <w:lang w:val="en-GB"/>
        </w:rPr>
        <w:t>*p &lt; 0.1</w:t>
      </w:r>
      <w:r>
        <w:rPr>
          <w:rFonts w:ascii="Times New Roman" w:hAnsi="Times New Roman" w:cs="Times New Roman"/>
          <w:sz w:val="24"/>
          <w:szCs w:val="24"/>
          <w:lang w:val="en-GB"/>
        </w:rPr>
        <w:t>.</w:t>
      </w:r>
      <w:r w:rsidRPr="009C69EB">
        <w:rPr>
          <w:rFonts w:ascii="Times New Roman" w:hAnsi="Times New Roman" w:cs="Times New Roman"/>
          <w:sz w:val="24"/>
          <w:szCs w:val="24"/>
          <w:lang w:val="en-GB"/>
        </w:rPr>
        <w:t xml:space="preserve"> </w:t>
      </w:r>
    </w:p>
    <w:p w14:paraId="4DCD55A0" w14:textId="77777777" w:rsidR="001132EE" w:rsidRDefault="001132EE" w:rsidP="00D73B69">
      <w:pPr>
        <w:pStyle w:val="NoSpacing"/>
        <w:rPr>
          <w:rFonts w:ascii="Times New Roman" w:hAnsi="Times New Roman" w:cs="Times New Roman"/>
          <w:sz w:val="24"/>
          <w:szCs w:val="24"/>
          <w:lang w:val="en-GB"/>
        </w:rPr>
      </w:pPr>
    </w:p>
    <w:p w14:paraId="54172B57" w14:textId="77777777" w:rsidR="00E25BDB" w:rsidRDefault="00E25BDB">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17E696C1" w14:textId="77777777" w:rsidR="00E25BDB" w:rsidRPr="009C69EB" w:rsidRDefault="00E25BDB" w:rsidP="00D73B69">
      <w:pPr>
        <w:pStyle w:val="NoSpacing"/>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Appendix</w:t>
      </w:r>
      <w:r w:rsidR="009B2E33">
        <w:rPr>
          <w:rFonts w:ascii="Times New Roman" w:hAnsi="Times New Roman" w:cs="Times New Roman"/>
          <w:b/>
          <w:sz w:val="28"/>
          <w:szCs w:val="28"/>
          <w:lang w:val="en-GB"/>
        </w:rPr>
        <w:t xml:space="preserve"> 5</w:t>
      </w:r>
      <w:r>
        <w:rPr>
          <w:rFonts w:ascii="Times New Roman" w:hAnsi="Times New Roman" w:cs="Times New Roman"/>
          <w:b/>
          <w:sz w:val="28"/>
          <w:szCs w:val="28"/>
          <w:lang w:val="en-GB"/>
        </w:rPr>
        <w:t xml:space="preserve">: </w:t>
      </w:r>
      <w:r w:rsidRPr="009C69EB">
        <w:rPr>
          <w:rFonts w:ascii="Times New Roman" w:hAnsi="Times New Roman" w:cs="Times New Roman"/>
          <w:b/>
          <w:sz w:val="28"/>
          <w:szCs w:val="28"/>
          <w:lang w:val="en-GB"/>
        </w:rPr>
        <w:t>Adjusted risk ratios (ARRs)</w:t>
      </w:r>
      <w:r>
        <w:rPr>
          <w:rFonts w:ascii="Times New Roman" w:hAnsi="Times New Roman" w:cs="Times New Roman"/>
          <w:b/>
          <w:sz w:val="28"/>
          <w:szCs w:val="28"/>
          <w:lang w:val="en-GB"/>
        </w:rPr>
        <w:t xml:space="preserve"> (high-middle group)</w:t>
      </w:r>
    </w:p>
    <w:p w14:paraId="04321E0B" w14:textId="77777777" w:rsidR="00E25BDB" w:rsidRPr="009C69EB" w:rsidRDefault="00E25BDB" w:rsidP="00D73B69">
      <w:pPr>
        <w:pStyle w:val="NoSpacing"/>
        <w:rPr>
          <w:rFonts w:ascii="Times New Roman" w:hAnsi="Times New Roman" w:cs="Times New Roman"/>
          <w:i/>
          <w:sz w:val="24"/>
          <w:szCs w:val="24"/>
          <w:lang w:val="en-GB"/>
        </w:rPr>
      </w:pPr>
    </w:p>
    <w:p w14:paraId="11B73AC1" w14:textId="77777777" w:rsidR="00E25BDB" w:rsidRPr="009C69EB" w:rsidRDefault="00E25BDB" w:rsidP="00D73B69">
      <w:pPr>
        <w:pStyle w:val="NoSpacing"/>
        <w:rPr>
          <w:rFonts w:ascii="Times New Roman" w:hAnsi="Times New Roman" w:cs="Times New Roman"/>
          <w:i/>
          <w:sz w:val="24"/>
          <w:szCs w:val="24"/>
          <w:lang w:val="en-GB"/>
        </w:rPr>
      </w:pPr>
      <w:r>
        <w:rPr>
          <w:rFonts w:ascii="Times New Roman" w:hAnsi="Times New Roman" w:cs="Times New Roman"/>
          <w:i/>
          <w:sz w:val="24"/>
          <w:szCs w:val="24"/>
          <w:lang w:val="en-GB"/>
        </w:rPr>
        <w:t>Table 6</w:t>
      </w:r>
      <w:r w:rsidRPr="009C69EB">
        <w:rPr>
          <w:rFonts w:ascii="Times New Roman" w:hAnsi="Times New Roman" w:cs="Times New Roman"/>
          <w:i/>
          <w:sz w:val="24"/>
          <w:szCs w:val="24"/>
          <w:lang w:val="en-GB"/>
        </w:rPr>
        <w:t>: Inequalities (ARRs) in spec</w:t>
      </w:r>
      <w:r>
        <w:rPr>
          <w:rFonts w:ascii="Times New Roman" w:hAnsi="Times New Roman" w:cs="Times New Roman"/>
          <w:i/>
          <w:sz w:val="24"/>
          <w:szCs w:val="24"/>
          <w:lang w:val="en-GB"/>
        </w:rPr>
        <w:t xml:space="preserve">ialist use by </w:t>
      </w:r>
      <w:r w:rsidRPr="009C69EB">
        <w:rPr>
          <w:rFonts w:ascii="Times New Roman" w:hAnsi="Times New Roman" w:cs="Times New Roman"/>
          <w:i/>
          <w:sz w:val="24"/>
          <w:szCs w:val="24"/>
          <w:lang w:val="en-GB"/>
        </w:rPr>
        <w:t>occupation, education and social network</w:t>
      </w:r>
      <w:r>
        <w:rPr>
          <w:rFonts w:ascii="Times New Roman" w:hAnsi="Times New Roman" w:cs="Times New Roman"/>
          <w:i/>
          <w:sz w:val="24"/>
          <w:szCs w:val="24"/>
          <w:lang w:val="en-GB"/>
        </w:rPr>
        <w:t>s (high-middle group)</w:t>
      </w:r>
      <w:r w:rsidRPr="009C69EB">
        <w:rPr>
          <w:rFonts w:ascii="Times New Roman" w:hAnsi="Times New Roman" w:cs="Times New Roman"/>
          <w:i/>
          <w:sz w:val="24"/>
          <w:szCs w:val="24"/>
          <w:lang w:val="en-GB"/>
        </w:rPr>
        <w:t xml:space="preserve">. </w:t>
      </w:r>
    </w:p>
    <w:p w14:paraId="3D55BEC7" w14:textId="77777777" w:rsidR="00E25BDB" w:rsidRDefault="00E25BDB" w:rsidP="00D73B69">
      <w:pPr>
        <w:pStyle w:val="NoSpacing"/>
        <w:rPr>
          <w:rFonts w:ascii="Times New Roman" w:hAnsi="Times New Roman" w:cs="Times New Roman"/>
          <w:sz w:val="24"/>
          <w:szCs w:val="24"/>
          <w:lang w:val="en-GB"/>
        </w:rPr>
      </w:pPr>
    </w:p>
    <w:tbl>
      <w:tblPr>
        <w:tblW w:w="7947" w:type="dxa"/>
        <w:tblInd w:w="55" w:type="dxa"/>
        <w:tblCellMar>
          <w:left w:w="70" w:type="dxa"/>
          <w:right w:w="70" w:type="dxa"/>
        </w:tblCellMar>
        <w:tblLook w:val="04A0" w:firstRow="1" w:lastRow="0" w:firstColumn="1" w:lastColumn="0" w:noHBand="0" w:noVBand="1"/>
      </w:tblPr>
      <w:tblGrid>
        <w:gridCol w:w="1300"/>
        <w:gridCol w:w="1247"/>
        <w:gridCol w:w="500"/>
        <w:gridCol w:w="500"/>
        <w:gridCol w:w="1200"/>
        <w:gridCol w:w="500"/>
        <w:gridCol w:w="500"/>
        <w:gridCol w:w="1200"/>
        <w:gridCol w:w="500"/>
        <w:gridCol w:w="500"/>
      </w:tblGrid>
      <w:tr w:rsidR="001132EE" w:rsidRPr="00353B2E" w14:paraId="5B442B03" w14:textId="77777777" w:rsidTr="009C4E41">
        <w:trPr>
          <w:trHeight w:val="315"/>
        </w:trPr>
        <w:tc>
          <w:tcPr>
            <w:tcW w:w="1300" w:type="dxa"/>
            <w:tcBorders>
              <w:top w:val="single" w:sz="4" w:space="0" w:color="auto"/>
              <w:left w:val="nil"/>
              <w:bottom w:val="single" w:sz="4" w:space="0" w:color="auto"/>
              <w:right w:val="nil"/>
            </w:tcBorders>
            <w:shd w:val="clear" w:color="auto" w:fill="auto"/>
            <w:noWrap/>
            <w:vAlign w:val="bottom"/>
            <w:hideMark/>
          </w:tcPr>
          <w:p w14:paraId="1D84A8C5" w14:textId="77777777" w:rsidR="001132EE" w:rsidRPr="00EF28EF" w:rsidRDefault="001132EE" w:rsidP="009C4E41">
            <w:pPr>
              <w:spacing w:after="0" w:line="240" w:lineRule="auto"/>
              <w:rPr>
                <w:rFonts w:ascii="Times New Roman" w:eastAsia="Times New Roman" w:hAnsi="Times New Roman" w:cs="Times New Roman"/>
                <w:sz w:val="24"/>
                <w:szCs w:val="24"/>
                <w:lang w:val="en-US" w:eastAsia="nb-NO"/>
              </w:rPr>
            </w:pPr>
            <w:r w:rsidRPr="00EF28EF">
              <w:rPr>
                <w:rFonts w:ascii="Times New Roman" w:eastAsia="Times New Roman" w:hAnsi="Times New Roman" w:cs="Times New Roman"/>
                <w:sz w:val="24"/>
                <w:szCs w:val="24"/>
                <w:lang w:val="en-US" w:eastAsia="nb-NO"/>
              </w:rPr>
              <w:t> </w:t>
            </w:r>
          </w:p>
        </w:tc>
        <w:tc>
          <w:tcPr>
            <w:tcW w:w="1247" w:type="dxa"/>
            <w:tcBorders>
              <w:top w:val="single" w:sz="4" w:space="0" w:color="auto"/>
              <w:left w:val="nil"/>
              <w:bottom w:val="single" w:sz="4" w:space="0" w:color="auto"/>
              <w:right w:val="nil"/>
            </w:tcBorders>
            <w:shd w:val="clear" w:color="auto" w:fill="auto"/>
            <w:noWrap/>
            <w:vAlign w:val="bottom"/>
            <w:hideMark/>
          </w:tcPr>
          <w:p w14:paraId="054B4431"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Occupation</w:t>
            </w:r>
          </w:p>
        </w:tc>
        <w:tc>
          <w:tcPr>
            <w:tcW w:w="500" w:type="dxa"/>
            <w:tcBorders>
              <w:top w:val="single" w:sz="4" w:space="0" w:color="auto"/>
              <w:left w:val="nil"/>
              <w:bottom w:val="single" w:sz="4" w:space="0" w:color="auto"/>
              <w:right w:val="nil"/>
            </w:tcBorders>
            <w:shd w:val="clear" w:color="auto" w:fill="auto"/>
            <w:noWrap/>
            <w:vAlign w:val="bottom"/>
            <w:hideMark/>
          </w:tcPr>
          <w:p w14:paraId="3383CF3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CI</w:t>
            </w:r>
          </w:p>
        </w:tc>
        <w:tc>
          <w:tcPr>
            <w:tcW w:w="500" w:type="dxa"/>
            <w:tcBorders>
              <w:top w:val="single" w:sz="4" w:space="0" w:color="auto"/>
              <w:left w:val="nil"/>
              <w:bottom w:val="single" w:sz="4" w:space="0" w:color="auto"/>
              <w:right w:val="nil"/>
            </w:tcBorders>
            <w:shd w:val="clear" w:color="auto" w:fill="auto"/>
            <w:noWrap/>
            <w:vAlign w:val="bottom"/>
            <w:hideMark/>
          </w:tcPr>
          <w:p w14:paraId="62B21CE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CI</w:t>
            </w:r>
          </w:p>
        </w:tc>
        <w:tc>
          <w:tcPr>
            <w:tcW w:w="1200" w:type="dxa"/>
            <w:tcBorders>
              <w:top w:val="single" w:sz="4" w:space="0" w:color="auto"/>
              <w:left w:val="nil"/>
              <w:bottom w:val="single" w:sz="4" w:space="0" w:color="auto"/>
              <w:right w:val="nil"/>
            </w:tcBorders>
            <w:shd w:val="clear" w:color="auto" w:fill="auto"/>
            <w:noWrap/>
            <w:vAlign w:val="bottom"/>
            <w:hideMark/>
          </w:tcPr>
          <w:p w14:paraId="660C4154"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Education</w:t>
            </w:r>
          </w:p>
        </w:tc>
        <w:tc>
          <w:tcPr>
            <w:tcW w:w="500" w:type="dxa"/>
            <w:tcBorders>
              <w:top w:val="single" w:sz="4" w:space="0" w:color="auto"/>
              <w:left w:val="nil"/>
              <w:bottom w:val="single" w:sz="4" w:space="0" w:color="auto"/>
              <w:right w:val="nil"/>
            </w:tcBorders>
            <w:shd w:val="clear" w:color="auto" w:fill="auto"/>
            <w:noWrap/>
            <w:vAlign w:val="bottom"/>
            <w:hideMark/>
          </w:tcPr>
          <w:p w14:paraId="7F332B2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CI</w:t>
            </w:r>
          </w:p>
        </w:tc>
        <w:tc>
          <w:tcPr>
            <w:tcW w:w="500" w:type="dxa"/>
            <w:tcBorders>
              <w:top w:val="single" w:sz="4" w:space="0" w:color="auto"/>
              <w:left w:val="nil"/>
              <w:bottom w:val="single" w:sz="4" w:space="0" w:color="auto"/>
              <w:right w:val="nil"/>
            </w:tcBorders>
            <w:shd w:val="clear" w:color="auto" w:fill="auto"/>
            <w:noWrap/>
            <w:vAlign w:val="bottom"/>
            <w:hideMark/>
          </w:tcPr>
          <w:p w14:paraId="690C3A4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CI</w:t>
            </w:r>
          </w:p>
        </w:tc>
        <w:tc>
          <w:tcPr>
            <w:tcW w:w="1200" w:type="dxa"/>
            <w:tcBorders>
              <w:top w:val="single" w:sz="4" w:space="0" w:color="auto"/>
              <w:left w:val="nil"/>
              <w:bottom w:val="single" w:sz="4" w:space="0" w:color="auto"/>
              <w:right w:val="nil"/>
            </w:tcBorders>
            <w:shd w:val="clear" w:color="auto" w:fill="auto"/>
            <w:noWrap/>
            <w:vAlign w:val="bottom"/>
            <w:hideMark/>
          </w:tcPr>
          <w:p w14:paraId="1523D8CF"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Social networks</w:t>
            </w:r>
          </w:p>
        </w:tc>
        <w:tc>
          <w:tcPr>
            <w:tcW w:w="500" w:type="dxa"/>
            <w:tcBorders>
              <w:top w:val="single" w:sz="4" w:space="0" w:color="auto"/>
              <w:left w:val="nil"/>
              <w:bottom w:val="single" w:sz="4" w:space="0" w:color="auto"/>
              <w:right w:val="nil"/>
            </w:tcBorders>
            <w:shd w:val="clear" w:color="auto" w:fill="auto"/>
            <w:noWrap/>
            <w:vAlign w:val="bottom"/>
            <w:hideMark/>
          </w:tcPr>
          <w:p w14:paraId="1B41471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CI</w:t>
            </w:r>
          </w:p>
        </w:tc>
        <w:tc>
          <w:tcPr>
            <w:tcW w:w="500" w:type="dxa"/>
            <w:tcBorders>
              <w:top w:val="single" w:sz="4" w:space="0" w:color="auto"/>
              <w:left w:val="nil"/>
              <w:bottom w:val="single" w:sz="4" w:space="0" w:color="auto"/>
              <w:right w:val="nil"/>
            </w:tcBorders>
            <w:shd w:val="clear" w:color="auto" w:fill="auto"/>
            <w:noWrap/>
            <w:vAlign w:val="bottom"/>
            <w:hideMark/>
          </w:tcPr>
          <w:p w14:paraId="3250A7D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CI</w:t>
            </w:r>
          </w:p>
        </w:tc>
      </w:tr>
      <w:tr w:rsidR="001132EE" w:rsidRPr="00353B2E" w14:paraId="7CDB5BAF" w14:textId="77777777" w:rsidTr="009C4E41">
        <w:trPr>
          <w:trHeight w:val="315"/>
        </w:trPr>
        <w:tc>
          <w:tcPr>
            <w:tcW w:w="1300" w:type="dxa"/>
            <w:tcBorders>
              <w:top w:val="nil"/>
              <w:left w:val="nil"/>
              <w:bottom w:val="nil"/>
              <w:right w:val="nil"/>
            </w:tcBorders>
            <w:shd w:val="clear" w:color="auto" w:fill="auto"/>
            <w:noWrap/>
            <w:vAlign w:val="bottom"/>
            <w:hideMark/>
          </w:tcPr>
          <w:p w14:paraId="6133039B"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Austria</w:t>
            </w:r>
          </w:p>
        </w:tc>
        <w:tc>
          <w:tcPr>
            <w:tcW w:w="1247" w:type="dxa"/>
            <w:tcBorders>
              <w:top w:val="nil"/>
              <w:left w:val="nil"/>
              <w:bottom w:val="nil"/>
              <w:right w:val="nil"/>
            </w:tcBorders>
            <w:shd w:val="clear" w:color="auto" w:fill="auto"/>
            <w:noWrap/>
            <w:vAlign w:val="bottom"/>
            <w:hideMark/>
          </w:tcPr>
          <w:p w14:paraId="7D1E3243"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1.2*</w:t>
            </w:r>
          </w:p>
        </w:tc>
        <w:tc>
          <w:tcPr>
            <w:tcW w:w="500" w:type="dxa"/>
            <w:tcBorders>
              <w:top w:val="nil"/>
              <w:left w:val="nil"/>
              <w:bottom w:val="nil"/>
              <w:right w:val="nil"/>
            </w:tcBorders>
            <w:shd w:val="clear" w:color="auto" w:fill="auto"/>
            <w:noWrap/>
            <w:vAlign w:val="bottom"/>
            <w:hideMark/>
          </w:tcPr>
          <w:p w14:paraId="0A7B363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33DAC76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c>
          <w:tcPr>
            <w:tcW w:w="1200" w:type="dxa"/>
            <w:tcBorders>
              <w:top w:val="nil"/>
              <w:left w:val="nil"/>
              <w:bottom w:val="nil"/>
              <w:right w:val="nil"/>
            </w:tcBorders>
            <w:shd w:val="clear" w:color="auto" w:fill="auto"/>
            <w:noWrap/>
            <w:vAlign w:val="bottom"/>
            <w:hideMark/>
          </w:tcPr>
          <w:p w14:paraId="6B206679"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550828A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350CF39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4CE924DE"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1.2*</w:t>
            </w:r>
          </w:p>
        </w:tc>
        <w:tc>
          <w:tcPr>
            <w:tcW w:w="500" w:type="dxa"/>
            <w:tcBorders>
              <w:top w:val="nil"/>
              <w:left w:val="nil"/>
              <w:bottom w:val="nil"/>
              <w:right w:val="nil"/>
            </w:tcBorders>
            <w:shd w:val="clear" w:color="auto" w:fill="auto"/>
            <w:noWrap/>
            <w:vAlign w:val="bottom"/>
            <w:hideMark/>
          </w:tcPr>
          <w:p w14:paraId="27384A0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357C4E7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r>
      <w:tr w:rsidR="001132EE" w:rsidRPr="00353B2E" w14:paraId="6EF190AA" w14:textId="77777777" w:rsidTr="009C4E41">
        <w:trPr>
          <w:trHeight w:val="315"/>
        </w:trPr>
        <w:tc>
          <w:tcPr>
            <w:tcW w:w="1300" w:type="dxa"/>
            <w:tcBorders>
              <w:top w:val="nil"/>
              <w:left w:val="nil"/>
              <w:bottom w:val="nil"/>
              <w:right w:val="nil"/>
            </w:tcBorders>
            <w:shd w:val="clear" w:color="auto" w:fill="auto"/>
            <w:noWrap/>
            <w:vAlign w:val="bottom"/>
            <w:hideMark/>
          </w:tcPr>
          <w:p w14:paraId="06593FB7"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Belgium</w:t>
            </w:r>
          </w:p>
        </w:tc>
        <w:tc>
          <w:tcPr>
            <w:tcW w:w="1247" w:type="dxa"/>
            <w:tcBorders>
              <w:top w:val="nil"/>
              <w:left w:val="nil"/>
              <w:bottom w:val="nil"/>
              <w:right w:val="nil"/>
            </w:tcBorders>
            <w:shd w:val="clear" w:color="auto" w:fill="auto"/>
            <w:noWrap/>
            <w:vAlign w:val="bottom"/>
            <w:hideMark/>
          </w:tcPr>
          <w:p w14:paraId="28EDFBC4"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4CE04F1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54470AB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44739EEB"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22A4884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1D0D86C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2AF95358"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39FF2DE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0D902BE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5922966E" w14:textId="77777777" w:rsidTr="009C4E41">
        <w:trPr>
          <w:trHeight w:val="315"/>
        </w:trPr>
        <w:tc>
          <w:tcPr>
            <w:tcW w:w="1300" w:type="dxa"/>
            <w:tcBorders>
              <w:top w:val="nil"/>
              <w:left w:val="nil"/>
              <w:bottom w:val="nil"/>
              <w:right w:val="nil"/>
            </w:tcBorders>
            <w:shd w:val="clear" w:color="auto" w:fill="auto"/>
            <w:noWrap/>
            <w:vAlign w:val="bottom"/>
            <w:hideMark/>
          </w:tcPr>
          <w:p w14:paraId="4447AFBC"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Czech Rep</w:t>
            </w:r>
          </w:p>
        </w:tc>
        <w:tc>
          <w:tcPr>
            <w:tcW w:w="1247" w:type="dxa"/>
            <w:tcBorders>
              <w:top w:val="nil"/>
              <w:left w:val="nil"/>
              <w:bottom w:val="nil"/>
              <w:right w:val="nil"/>
            </w:tcBorders>
            <w:shd w:val="clear" w:color="auto" w:fill="auto"/>
            <w:noWrap/>
            <w:vAlign w:val="bottom"/>
            <w:hideMark/>
          </w:tcPr>
          <w:p w14:paraId="0D2DA162"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1.1*</w:t>
            </w:r>
          </w:p>
        </w:tc>
        <w:tc>
          <w:tcPr>
            <w:tcW w:w="500" w:type="dxa"/>
            <w:tcBorders>
              <w:top w:val="nil"/>
              <w:left w:val="nil"/>
              <w:bottom w:val="nil"/>
              <w:right w:val="nil"/>
            </w:tcBorders>
            <w:shd w:val="clear" w:color="auto" w:fill="auto"/>
            <w:noWrap/>
            <w:vAlign w:val="bottom"/>
            <w:hideMark/>
          </w:tcPr>
          <w:p w14:paraId="2A94D72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2B0F205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7E580796"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1.1*</w:t>
            </w:r>
          </w:p>
        </w:tc>
        <w:tc>
          <w:tcPr>
            <w:tcW w:w="500" w:type="dxa"/>
            <w:tcBorders>
              <w:top w:val="nil"/>
              <w:left w:val="nil"/>
              <w:bottom w:val="nil"/>
              <w:right w:val="nil"/>
            </w:tcBorders>
            <w:shd w:val="clear" w:color="auto" w:fill="auto"/>
            <w:noWrap/>
            <w:vAlign w:val="bottom"/>
            <w:hideMark/>
          </w:tcPr>
          <w:p w14:paraId="1227F3D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21C32E3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57CFDD86"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1.3*</w:t>
            </w:r>
          </w:p>
        </w:tc>
        <w:tc>
          <w:tcPr>
            <w:tcW w:w="500" w:type="dxa"/>
            <w:tcBorders>
              <w:top w:val="nil"/>
              <w:left w:val="nil"/>
              <w:bottom w:val="nil"/>
              <w:right w:val="nil"/>
            </w:tcBorders>
            <w:shd w:val="clear" w:color="auto" w:fill="auto"/>
            <w:noWrap/>
            <w:vAlign w:val="bottom"/>
            <w:hideMark/>
          </w:tcPr>
          <w:p w14:paraId="5C7241B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264FA96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1.5</w:t>
            </w:r>
          </w:p>
        </w:tc>
      </w:tr>
      <w:tr w:rsidR="001132EE" w:rsidRPr="00353B2E" w14:paraId="643245FF" w14:textId="77777777" w:rsidTr="009C4E41">
        <w:trPr>
          <w:trHeight w:val="315"/>
        </w:trPr>
        <w:tc>
          <w:tcPr>
            <w:tcW w:w="1300" w:type="dxa"/>
            <w:tcBorders>
              <w:top w:val="nil"/>
              <w:left w:val="nil"/>
              <w:bottom w:val="nil"/>
              <w:right w:val="nil"/>
            </w:tcBorders>
            <w:shd w:val="clear" w:color="auto" w:fill="auto"/>
            <w:noWrap/>
            <w:vAlign w:val="bottom"/>
            <w:hideMark/>
          </w:tcPr>
          <w:p w14:paraId="1EF1D4C7"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Denmark</w:t>
            </w:r>
          </w:p>
        </w:tc>
        <w:tc>
          <w:tcPr>
            <w:tcW w:w="1247" w:type="dxa"/>
            <w:tcBorders>
              <w:top w:val="nil"/>
              <w:left w:val="nil"/>
              <w:bottom w:val="nil"/>
              <w:right w:val="nil"/>
            </w:tcBorders>
            <w:shd w:val="clear" w:color="auto" w:fill="auto"/>
            <w:noWrap/>
            <w:vAlign w:val="bottom"/>
            <w:hideMark/>
          </w:tcPr>
          <w:p w14:paraId="3E7C8F77"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4B98926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3735993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1E44A3DC"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4A4EFB9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5316094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0F6E983A"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20D29BB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4AACD9F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r>
      <w:tr w:rsidR="001132EE" w:rsidRPr="00353B2E" w14:paraId="3AD301FB" w14:textId="77777777" w:rsidTr="009C4E41">
        <w:trPr>
          <w:trHeight w:val="315"/>
        </w:trPr>
        <w:tc>
          <w:tcPr>
            <w:tcW w:w="1300" w:type="dxa"/>
            <w:tcBorders>
              <w:top w:val="nil"/>
              <w:left w:val="nil"/>
              <w:bottom w:val="nil"/>
              <w:right w:val="nil"/>
            </w:tcBorders>
            <w:shd w:val="clear" w:color="auto" w:fill="auto"/>
            <w:noWrap/>
            <w:vAlign w:val="bottom"/>
            <w:hideMark/>
          </w:tcPr>
          <w:p w14:paraId="77B4381A"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Estonia</w:t>
            </w:r>
          </w:p>
        </w:tc>
        <w:tc>
          <w:tcPr>
            <w:tcW w:w="1247" w:type="dxa"/>
            <w:tcBorders>
              <w:top w:val="nil"/>
              <w:left w:val="nil"/>
              <w:bottom w:val="nil"/>
              <w:right w:val="nil"/>
            </w:tcBorders>
            <w:shd w:val="clear" w:color="auto" w:fill="auto"/>
            <w:noWrap/>
            <w:vAlign w:val="bottom"/>
            <w:hideMark/>
          </w:tcPr>
          <w:p w14:paraId="57D92FEF"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4210D2A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1A6DD03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01D9CABD"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1.1*</w:t>
            </w:r>
          </w:p>
        </w:tc>
        <w:tc>
          <w:tcPr>
            <w:tcW w:w="500" w:type="dxa"/>
            <w:tcBorders>
              <w:top w:val="nil"/>
              <w:left w:val="nil"/>
              <w:bottom w:val="nil"/>
              <w:right w:val="nil"/>
            </w:tcBorders>
            <w:shd w:val="clear" w:color="auto" w:fill="auto"/>
            <w:noWrap/>
            <w:vAlign w:val="bottom"/>
            <w:hideMark/>
          </w:tcPr>
          <w:p w14:paraId="1B4378B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067A1BD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1589A832"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5D06516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566D514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r>
      <w:tr w:rsidR="001132EE" w:rsidRPr="00353B2E" w14:paraId="2DAFCC60" w14:textId="77777777" w:rsidTr="009C4E41">
        <w:trPr>
          <w:trHeight w:val="315"/>
        </w:trPr>
        <w:tc>
          <w:tcPr>
            <w:tcW w:w="1300" w:type="dxa"/>
            <w:tcBorders>
              <w:top w:val="nil"/>
              <w:left w:val="nil"/>
              <w:bottom w:val="nil"/>
              <w:right w:val="nil"/>
            </w:tcBorders>
            <w:shd w:val="clear" w:color="auto" w:fill="auto"/>
            <w:noWrap/>
            <w:vAlign w:val="bottom"/>
            <w:hideMark/>
          </w:tcPr>
          <w:p w14:paraId="4BFFCC14"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Finland</w:t>
            </w:r>
          </w:p>
        </w:tc>
        <w:tc>
          <w:tcPr>
            <w:tcW w:w="1247" w:type="dxa"/>
            <w:tcBorders>
              <w:top w:val="nil"/>
              <w:left w:val="nil"/>
              <w:bottom w:val="nil"/>
              <w:right w:val="nil"/>
            </w:tcBorders>
            <w:shd w:val="clear" w:color="auto" w:fill="auto"/>
            <w:noWrap/>
            <w:vAlign w:val="bottom"/>
            <w:hideMark/>
          </w:tcPr>
          <w:p w14:paraId="2F450990"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068C9B2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5B29DA3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6FA5A47B"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1.2*</w:t>
            </w:r>
          </w:p>
        </w:tc>
        <w:tc>
          <w:tcPr>
            <w:tcW w:w="500" w:type="dxa"/>
            <w:tcBorders>
              <w:top w:val="nil"/>
              <w:left w:val="nil"/>
              <w:bottom w:val="nil"/>
              <w:right w:val="nil"/>
            </w:tcBorders>
            <w:shd w:val="clear" w:color="auto" w:fill="auto"/>
            <w:noWrap/>
            <w:vAlign w:val="bottom"/>
            <w:hideMark/>
          </w:tcPr>
          <w:p w14:paraId="40A3F27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6C9A0C7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6CDCD20C"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1.2*</w:t>
            </w:r>
          </w:p>
        </w:tc>
        <w:tc>
          <w:tcPr>
            <w:tcW w:w="500" w:type="dxa"/>
            <w:tcBorders>
              <w:top w:val="nil"/>
              <w:left w:val="nil"/>
              <w:bottom w:val="nil"/>
              <w:right w:val="nil"/>
            </w:tcBorders>
            <w:shd w:val="clear" w:color="auto" w:fill="auto"/>
            <w:noWrap/>
            <w:vAlign w:val="bottom"/>
            <w:hideMark/>
          </w:tcPr>
          <w:p w14:paraId="6E7305C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4DB1810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r>
      <w:tr w:rsidR="001132EE" w:rsidRPr="00353B2E" w14:paraId="172C5497" w14:textId="77777777" w:rsidTr="009C4E41">
        <w:trPr>
          <w:trHeight w:val="315"/>
        </w:trPr>
        <w:tc>
          <w:tcPr>
            <w:tcW w:w="1300" w:type="dxa"/>
            <w:tcBorders>
              <w:top w:val="nil"/>
              <w:left w:val="nil"/>
              <w:bottom w:val="nil"/>
              <w:right w:val="nil"/>
            </w:tcBorders>
            <w:shd w:val="clear" w:color="auto" w:fill="auto"/>
            <w:noWrap/>
            <w:vAlign w:val="bottom"/>
            <w:hideMark/>
          </w:tcPr>
          <w:p w14:paraId="4C4048C1"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 xml:space="preserve">France </w:t>
            </w:r>
          </w:p>
        </w:tc>
        <w:tc>
          <w:tcPr>
            <w:tcW w:w="1247" w:type="dxa"/>
            <w:tcBorders>
              <w:top w:val="nil"/>
              <w:left w:val="nil"/>
              <w:bottom w:val="nil"/>
              <w:right w:val="nil"/>
            </w:tcBorders>
            <w:shd w:val="clear" w:color="auto" w:fill="auto"/>
            <w:noWrap/>
            <w:vAlign w:val="bottom"/>
            <w:hideMark/>
          </w:tcPr>
          <w:p w14:paraId="5933F1B3"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38CC34D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0D1433F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5B1B2B81"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3C60CF5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68FF813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c>
          <w:tcPr>
            <w:tcW w:w="1200" w:type="dxa"/>
            <w:tcBorders>
              <w:top w:val="nil"/>
              <w:left w:val="nil"/>
              <w:bottom w:val="nil"/>
              <w:right w:val="nil"/>
            </w:tcBorders>
            <w:shd w:val="clear" w:color="auto" w:fill="auto"/>
            <w:noWrap/>
            <w:vAlign w:val="bottom"/>
            <w:hideMark/>
          </w:tcPr>
          <w:p w14:paraId="2D0D0CCC"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1.2*</w:t>
            </w:r>
          </w:p>
        </w:tc>
        <w:tc>
          <w:tcPr>
            <w:tcW w:w="500" w:type="dxa"/>
            <w:tcBorders>
              <w:top w:val="nil"/>
              <w:left w:val="nil"/>
              <w:bottom w:val="nil"/>
              <w:right w:val="nil"/>
            </w:tcBorders>
            <w:shd w:val="clear" w:color="auto" w:fill="auto"/>
            <w:noWrap/>
            <w:vAlign w:val="bottom"/>
            <w:hideMark/>
          </w:tcPr>
          <w:p w14:paraId="68B0C49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60722CC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r>
      <w:tr w:rsidR="001132EE" w:rsidRPr="00353B2E" w14:paraId="59839982" w14:textId="77777777" w:rsidTr="009C4E41">
        <w:trPr>
          <w:trHeight w:val="315"/>
        </w:trPr>
        <w:tc>
          <w:tcPr>
            <w:tcW w:w="1300" w:type="dxa"/>
            <w:tcBorders>
              <w:top w:val="nil"/>
              <w:left w:val="nil"/>
              <w:bottom w:val="nil"/>
              <w:right w:val="nil"/>
            </w:tcBorders>
            <w:shd w:val="clear" w:color="auto" w:fill="auto"/>
            <w:noWrap/>
            <w:vAlign w:val="bottom"/>
            <w:hideMark/>
          </w:tcPr>
          <w:p w14:paraId="1AB5E239"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Germany</w:t>
            </w:r>
          </w:p>
        </w:tc>
        <w:tc>
          <w:tcPr>
            <w:tcW w:w="1247" w:type="dxa"/>
            <w:tcBorders>
              <w:top w:val="nil"/>
              <w:left w:val="nil"/>
              <w:bottom w:val="nil"/>
              <w:right w:val="nil"/>
            </w:tcBorders>
            <w:shd w:val="clear" w:color="auto" w:fill="auto"/>
            <w:noWrap/>
            <w:vAlign w:val="bottom"/>
            <w:hideMark/>
          </w:tcPr>
          <w:p w14:paraId="4EB4757B"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7C0BC22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6A25380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30E32BCD"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1614275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1E364CF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2432513B"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3963073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2717DCF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4312F631" w14:textId="77777777" w:rsidTr="009C4E41">
        <w:trPr>
          <w:trHeight w:val="315"/>
        </w:trPr>
        <w:tc>
          <w:tcPr>
            <w:tcW w:w="1300" w:type="dxa"/>
            <w:tcBorders>
              <w:top w:val="nil"/>
              <w:left w:val="nil"/>
              <w:bottom w:val="nil"/>
              <w:right w:val="nil"/>
            </w:tcBorders>
            <w:shd w:val="clear" w:color="auto" w:fill="auto"/>
            <w:noWrap/>
            <w:vAlign w:val="bottom"/>
            <w:hideMark/>
          </w:tcPr>
          <w:p w14:paraId="28A50484"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Hungary</w:t>
            </w:r>
          </w:p>
        </w:tc>
        <w:tc>
          <w:tcPr>
            <w:tcW w:w="1247" w:type="dxa"/>
            <w:tcBorders>
              <w:top w:val="nil"/>
              <w:left w:val="nil"/>
              <w:bottom w:val="nil"/>
              <w:right w:val="nil"/>
            </w:tcBorders>
            <w:shd w:val="clear" w:color="auto" w:fill="auto"/>
            <w:noWrap/>
            <w:vAlign w:val="bottom"/>
            <w:hideMark/>
          </w:tcPr>
          <w:p w14:paraId="5DAB1232"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06E5E4A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3C80AD8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2F8D36D5"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577D64B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008DAA6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55D011A8"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2A422FC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482EB64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r>
      <w:tr w:rsidR="001132EE" w:rsidRPr="00353B2E" w14:paraId="37C1DB3D" w14:textId="77777777" w:rsidTr="009C4E41">
        <w:trPr>
          <w:trHeight w:val="315"/>
        </w:trPr>
        <w:tc>
          <w:tcPr>
            <w:tcW w:w="1300" w:type="dxa"/>
            <w:tcBorders>
              <w:top w:val="nil"/>
              <w:left w:val="nil"/>
              <w:bottom w:val="nil"/>
              <w:right w:val="nil"/>
            </w:tcBorders>
            <w:shd w:val="clear" w:color="auto" w:fill="auto"/>
            <w:noWrap/>
            <w:vAlign w:val="bottom"/>
            <w:hideMark/>
          </w:tcPr>
          <w:p w14:paraId="497B8513"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Ireland</w:t>
            </w:r>
          </w:p>
        </w:tc>
        <w:tc>
          <w:tcPr>
            <w:tcW w:w="1247" w:type="dxa"/>
            <w:tcBorders>
              <w:top w:val="nil"/>
              <w:left w:val="nil"/>
              <w:bottom w:val="nil"/>
              <w:right w:val="nil"/>
            </w:tcBorders>
            <w:shd w:val="clear" w:color="auto" w:fill="auto"/>
            <w:noWrap/>
            <w:vAlign w:val="bottom"/>
            <w:hideMark/>
          </w:tcPr>
          <w:p w14:paraId="22AD0A7D"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6378160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10F2FD3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1200" w:type="dxa"/>
            <w:tcBorders>
              <w:top w:val="nil"/>
              <w:left w:val="nil"/>
              <w:bottom w:val="nil"/>
              <w:right w:val="nil"/>
            </w:tcBorders>
            <w:shd w:val="clear" w:color="auto" w:fill="auto"/>
            <w:noWrap/>
            <w:vAlign w:val="bottom"/>
            <w:hideMark/>
          </w:tcPr>
          <w:p w14:paraId="54E8F08F"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07618607"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435F797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40C453B4"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46CBE91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17B938B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46209738" w14:textId="77777777" w:rsidTr="009C4E41">
        <w:trPr>
          <w:trHeight w:val="315"/>
        </w:trPr>
        <w:tc>
          <w:tcPr>
            <w:tcW w:w="1300" w:type="dxa"/>
            <w:tcBorders>
              <w:top w:val="nil"/>
              <w:left w:val="nil"/>
              <w:bottom w:val="nil"/>
              <w:right w:val="nil"/>
            </w:tcBorders>
            <w:shd w:val="clear" w:color="auto" w:fill="auto"/>
            <w:noWrap/>
            <w:vAlign w:val="bottom"/>
            <w:hideMark/>
          </w:tcPr>
          <w:p w14:paraId="23047852"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Israel</w:t>
            </w:r>
          </w:p>
        </w:tc>
        <w:tc>
          <w:tcPr>
            <w:tcW w:w="1247" w:type="dxa"/>
            <w:tcBorders>
              <w:top w:val="nil"/>
              <w:left w:val="nil"/>
              <w:bottom w:val="nil"/>
              <w:right w:val="nil"/>
            </w:tcBorders>
            <w:shd w:val="clear" w:color="auto" w:fill="auto"/>
            <w:noWrap/>
            <w:vAlign w:val="bottom"/>
            <w:hideMark/>
          </w:tcPr>
          <w:p w14:paraId="7D88AE5D"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7F96180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3C2584B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066119CE"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5627A59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4A085CB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3DD97734"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5ABECB7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6491BD8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0157E942" w14:textId="77777777" w:rsidTr="009C4E41">
        <w:trPr>
          <w:trHeight w:val="315"/>
        </w:trPr>
        <w:tc>
          <w:tcPr>
            <w:tcW w:w="1300" w:type="dxa"/>
            <w:tcBorders>
              <w:top w:val="nil"/>
              <w:left w:val="nil"/>
              <w:bottom w:val="nil"/>
              <w:right w:val="nil"/>
            </w:tcBorders>
            <w:shd w:val="clear" w:color="auto" w:fill="auto"/>
            <w:noWrap/>
            <w:vAlign w:val="bottom"/>
            <w:hideMark/>
          </w:tcPr>
          <w:p w14:paraId="6B561B81"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Lithuania</w:t>
            </w:r>
          </w:p>
        </w:tc>
        <w:tc>
          <w:tcPr>
            <w:tcW w:w="1247" w:type="dxa"/>
            <w:tcBorders>
              <w:top w:val="nil"/>
              <w:left w:val="nil"/>
              <w:bottom w:val="nil"/>
              <w:right w:val="nil"/>
            </w:tcBorders>
            <w:shd w:val="clear" w:color="auto" w:fill="auto"/>
            <w:noWrap/>
            <w:vAlign w:val="bottom"/>
            <w:hideMark/>
          </w:tcPr>
          <w:p w14:paraId="616A0DBC"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3C9DD87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0E8607A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46E14566"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4B3033D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1340C9F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3791F2C9"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751BD6D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480EF84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r>
      <w:tr w:rsidR="001132EE" w:rsidRPr="00353B2E" w14:paraId="7A6698CC" w14:textId="77777777" w:rsidTr="009C4E41">
        <w:trPr>
          <w:trHeight w:val="315"/>
        </w:trPr>
        <w:tc>
          <w:tcPr>
            <w:tcW w:w="1300" w:type="dxa"/>
            <w:tcBorders>
              <w:top w:val="nil"/>
              <w:left w:val="nil"/>
              <w:bottom w:val="nil"/>
              <w:right w:val="nil"/>
            </w:tcBorders>
            <w:shd w:val="clear" w:color="auto" w:fill="auto"/>
            <w:noWrap/>
            <w:vAlign w:val="bottom"/>
            <w:hideMark/>
          </w:tcPr>
          <w:p w14:paraId="249C2933"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Netherlands</w:t>
            </w:r>
          </w:p>
        </w:tc>
        <w:tc>
          <w:tcPr>
            <w:tcW w:w="1247" w:type="dxa"/>
            <w:tcBorders>
              <w:top w:val="nil"/>
              <w:left w:val="nil"/>
              <w:bottom w:val="nil"/>
              <w:right w:val="nil"/>
            </w:tcBorders>
            <w:shd w:val="clear" w:color="auto" w:fill="auto"/>
            <w:noWrap/>
            <w:vAlign w:val="bottom"/>
            <w:hideMark/>
          </w:tcPr>
          <w:p w14:paraId="15E5410E"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16FD658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122DC1E8"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00749DCA"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14D6089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72136B0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6DFD7F52"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310A6B3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77BF211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6B91F81C" w14:textId="77777777" w:rsidTr="009C4E41">
        <w:trPr>
          <w:trHeight w:val="315"/>
        </w:trPr>
        <w:tc>
          <w:tcPr>
            <w:tcW w:w="1300" w:type="dxa"/>
            <w:tcBorders>
              <w:top w:val="nil"/>
              <w:left w:val="nil"/>
              <w:bottom w:val="nil"/>
              <w:right w:val="nil"/>
            </w:tcBorders>
            <w:shd w:val="clear" w:color="auto" w:fill="auto"/>
            <w:noWrap/>
            <w:vAlign w:val="bottom"/>
            <w:hideMark/>
          </w:tcPr>
          <w:p w14:paraId="4D00B1BC"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Norway</w:t>
            </w:r>
          </w:p>
        </w:tc>
        <w:tc>
          <w:tcPr>
            <w:tcW w:w="1247" w:type="dxa"/>
            <w:tcBorders>
              <w:top w:val="nil"/>
              <w:left w:val="nil"/>
              <w:bottom w:val="nil"/>
              <w:right w:val="nil"/>
            </w:tcBorders>
            <w:shd w:val="clear" w:color="auto" w:fill="auto"/>
            <w:noWrap/>
            <w:vAlign w:val="bottom"/>
            <w:hideMark/>
          </w:tcPr>
          <w:p w14:paraId="2EAF5B3B"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184BA96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29AF568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4698092F"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1.2*</w:t>
            </w:r>
          </w:p>
        </w:tc>
        <w:tc>
          <w:tcPr>
            <w:tcW w:w="500" w:type="dxa"/>
            <w:tcBorders>
              <w:top w:val="nil"/>
              <w:left w:val="nil"/>
              <w:bottom w:val="nil"/>
              <w:right w:val="nil"/>
            </w:tcBorders>
            <w:shd w:val="clear" w:color="auto" w:fill="auto"/>
            <w:noWrap/>
            <w:vAlign w:val="bottom"/>
            <w:hideMark/>
          </w:tcPr>
          <w:p w14:paraId="51A51F1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500" w:type="dxa"/>
            <w:tcBorders>
              <w:top w:val="nil"/>
              <w:left w:val="nil"/>
              <w:bottom w:val="nil"/>
              <w:right w:val="nil"/>
            </w:tcBorders>
            <w:shd w:val="clear" w:color="auto" w:fill="auto"/>
            <w:noWrap/>
            <w:vAlign w:val="bottom"/>
            <w:hideMark/>
          </w:tcPr>
          <w:p w14:paraId="46A7DA4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1.4</w:t>
            </w:r>
          </w:p>
        </w:tc>
        <w:tc>
          <w:tcPr>
            <w:tcW w:w="1200" w:type="dxa"/>
            <w:tcBorders>
              <w:top w:val="nil"/>
              <w:left w:val="nil"/>
              <w:bottom w:val="nil"/>
              <w:right w:val="nil"/>
            </w:tcBorders>
            <w:shd w:val="clear" w:color="auto" w:fill="auto"/>
            <w:noWrap/>
            <w:vAlign w:val="bottom"/>
            <w:hideMark/>
          </w:tcPr>
          <w:p w14:paraId="306EA759"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2016BFF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23CF879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r>
      <w:tr w:rsidR="001132EE" w:rsidRPr="00353B2E" w14:paraId="21983E10" w14:textId="77777777" w:rsidTr="009C4E41">
        <w:trPr>
          <w:trHeight w:val="315"/>
        </w:trPr>
        <w:tc>
          <w:tcPr>
            <w:tcW w:w="1300" w:type="dxa"/>
            <w:tcBorders>
              <w:top w:val="nil"/>
              <w:left w:val="nil"/>
              <w:bottom w:val="nil"/>
              <w:right w:val="nil"/>
            </w:tcBorders>
            <w:shd w:val="clear" w:color="auto" w:fill="auto"/>
            <w:noWrap/>
            <w:vAlign w:val="bottom"/>
            <w:hideMark/>
          </w:tcPr>
          <w:p w14:paraId="59E829DB"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Poland</w:t>
            </w:r>
          </w:p>
        </w:tc>
        <w:tc>
          <w:tcPr>
            <w:tcW w:w="1247" w:type="dxa"/>
            <w:tcBorders>
              <w:top w:val="nil"/>
              <w:left w:val="nil"/>
              <w:bottom w:val="nil"/>
              <w:right w:val="nil"/>
            </w:tcBorders>
            <w:shd w:val="clear" w:color="auto" w:fill="auto"/>
            <w:noWrap/>
            <w:vAlign w:val="bottom"/>
            <w:hideMark/>
          </w:tcPr>
          <w:p w14:paraId="3A9A8EC0"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56632D9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35D8215E"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3F84D922"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1.4*</w:t>
            </w:r>
          </w:p>
        </w:tc>
        <w:tc>
          <w:tcPr>
            <w:tcW w:w="500" w:type="dxa"/>
            <w:tcBorders>
              <w:top w:val="nil"/>
              <w:left w:val="nil"/>
              <w:bottom w:val="nil"/>
              <w:right w:val="nil"/>
            </w:tcBorders>
            <w:shd w:val="clear" w:color="auto" w:fill="auto"/>
            <w:noWrap/>
            <w:vAlign w:val="bottom"/>
            <w:hideMark/>
          </w:tcPr>
          <w:p w14:paraId="668AB9D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500" w:type="dxa"/>
            <w:tcBorders>
              <w:top w:val="nil"/>
              <w:left w:val="nil"/>
              <w:bottom w:val="nil"/>
              <w:right w:val="nil"/>
            </w:tcBorders>
            <w:shd w:val="clear" w:color="auto" w:fill="auto"/>
            <w:noWrap/>
            <w:vAlign w:val="bottom"/>
            <w:hideMark/>
          </w:tcPr>
          <w:p w14:paraId="7308CB7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1.6</w:t>
            </w:r>
          </w:p>
        </w:tc>
        <w:tc>
          <w:tcPr>
            <w:tcW w:w="1200" w:type="dxa"/>
            <w:tcBorders>
              <w:top w:val="nil"/>
              <w:left w:val="nil"/>
              <w:bottom w:val="nil"/>
              <w:right w:val="nil"/>
            </w:tcBorders>
            <w:shd w:val="clear" w:color="auto" w:fill="auto"/>
            <w:noWrap/>
            <w:vAlign w:val="bottom"/>
            <w:hideMark/>
          </w:tcPr>
          <w:p w14:paraId="33737ECF"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70D4A389"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2892C4E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r>
      <w:tr w:rsidR="001132EE" w:rsidRPr="00353B2E" w14:paraId="4A5BE3E9" w14:textId="77777777" w:rsidTr="009C4E41">
        <w:trPr>
          <w:trHeight w:val="315"/>
        </w:trPr>
        <w:tc>
          <w:tcPr>
            <w:tcW w:w="1300" w:type="dxa"/>
            <w:tcBorders>
              <w:top w:val="nil"/>
              <w:left w:val="nil"/>
              <w:bottom w:val="nil"/>
              <w:right w:val="nil"/>
            </w:tcBorders>
            <w:shd w:val="clear" w:color="auto" w:fill="auto"/>
            <w:noWrap/>
            <w:vAlign w:val="bottom"/>
            <w:hideMark/>
          </w:tcPr>
          <w:p w14:paraId="6891C07B"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Portugal</w:t>
            </w:r>
          </w:p>
        </w:tc>
        <w:tc>
          <w:tcPr>
            <w:tcW w:w="1247" w:type="dxa"/>
            <w:tcBorders>
              <w:top w:val="nil"/>
              <w:left w:val="nil"/>
              <w:bottom w:val="nil"/>
              <w:right w:val="nil"/>
            </w:tcBorders>
            <w:shd w:val="clear" w:color="auto" w:fill="auto"/>
            <w:noWrap/>
            <w:vAlign w:val="bottom"/>
            <w:hideMark/>
          </w:tcPr>
          <w:p w14:paraId="3A921244"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0.9</w:t>
            </w:r>
          </w:p>
        </w:tc>
        <w:tc>
          <w:tcPr>
            <w:tcW w:w="500" w:type="dxa"/>
            <w:tcBorders>
              <w:top w:val="nil"/>
              <w:left w:val="nil"/>
              <w:bottom w:val="nil"/>
              <w:right w:val="nil"/>
            </w:tcBorders>
            <w:shd w:val="clear" w:color="auto" w:fill="auto"/>
            <w:noWrap/>
            <w:vAlign w:val="bottom"/>
            <w:hideMark/>
          </w:tcPr>
          <w:p w14:paraId="10D37D8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0.7</w:t>
            </w:r>
          </w:p>
        </w:tc>
        <w:tc>
          <w:tcPr>
            <w:tcW w:w="500" w:type="dxa"/>
            <w:tcBorders>
              <w:top w:val="nil"/>
              <w:left w:val="nil"/>
              <w:bottom w:val="nil"/>
              <w:right w:val="nil"/>
            </w:tcBorders>
            <w:shd w:val="clear" w:color="auto" w:fill="auto"/>
            <w:noWrap/>
            <w:vAlign w:val="bottom"/>
            <w:hideMark/>
          </w:tcPr>
          <w:p w14:paraId="1C83F1E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1200" w:type="dxa"/>
            <w:tcBorders>
              <w:top w:val="nil"/>
              <w:left w:val="nil"/>
              <w:bottom w:val="nil"/>
              <w:right w:val="nil"/>
            </w:tcBorders>
            <w:shd w:val="clear" w:color="auto" w:fill="auto"/>
            <w:noWrap/>
            <w:vAlign w:val="bottom"/>
            <w:hideMark/>
          </w:tcPr>
          <w:p w14:paraId="0CE2D095"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1.6*</w:t>
            </w:r>
          </w:p>
        </w:tc>
        <w:tc>
          <w:tcPr>
            <w:tcW w:w="500" w:type="dxa"/>
            <w:tcBorders>
              <w:top w:val="nil"/>
              <w:left w:val="nil"/>
              <w:bottom w:val="nil"/>
              <w:right w:val="nil"/>
            </w:tcBorders>
            <w:shd w:val="clear" w:color="auto" w:fill="auto"/>
            <w:noWrap/>
            <w:vAlign w:val="bottom"/>
            <w:hideMark/>
          </w:tcPr>
          <w:p w14:paraId="74688C1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69D23AE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2.4</w:t>
            </w:r>
          </w:p>
        </w:tc>
        <w:tc>
          <w:tcPr>
            <w:tcW w:w="1200" w:type="dxa"/>
            <w:tcBorders>
              <w:top w:val="nil"/>
              <w:left w:val="nil"/>
              <w:bottom w:val="nil"/>
              <w:right w:val="nil"/>
            </w:tcBorders>
            <w:shd w:val="clear" w:color="auto" w:fill="auto"/>
            <w:noWrap/>
            <w:vAlign w:val="bottom"/>
            <w:hideMark/>
          </w:tcPr>
          <w:p w14:paraId="412A5169"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1.3*</w:t>
            </w:r>
          </w:p>
        </w:tc>
        <w:tc>
          <w:tcPr>
            <w:tcW w:w="500" w:type="dxa"/>
            <w:tcBorders>
              <w:top w:val="nil"/>
              <w:left w:val="nil"/>
              <w:bottom w:val="nil"/>
              <w:right w:val="nil"/>
            </w:tcBorders>
            <w:shd w:val="clear" w:color="auto" w:fill="auto"/>
            <w:noWrap/>
            <w:vAlign w:val="bottom"/>
            <w:hideMark/>
          </w:tcPr>
          <w:p w14:paraId="0F820A68"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0AD5E26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1.6</w:t>
            </w:r>
          </w:p>
        </w:tc>
      </w:tr>
      <w:tr w:rsidR="001132EE" w:rsidRPr="00353B2E" w14:paraId="7ACD97A3" w14:textId="77777777" w:rsidTr="009C4E41">
        <w:trPr>
          <w:trHeight w:val="315"/>
        </w:trPr>
        <w:tc>
          <w:tcPr>
            <w:tcW w:w="1300" w:type="dxa"/>
            <w:tcBorders>
              <w:top w:val="nil"/>
              <w:left w:val="nil"/>
              <w:bottom w:val="nil"/>
              <w:right w:val="nil"/>
            </w:tcBorders>
            <w:shd w:val="clear" w:color="auto" w:fill="auto"/>
            <w:noWrap/>
            <w:vAlign w:val="bottom"/>
            <w:hideMark/>
          </w:tcPr>
          <w:p w14:paraId="42432E99"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Slovenia</w:t>
            </w:r>
          </w:p>
        </w:tc>
        <w:tc>
          <w:tcPr>
            <w:tcW w:w="1247" w:type="dxa"/>
            <w:tcBorders>
              <w:top w:val="nil"/>
              <w:left w:val="nil"/>
              <w:bottom w:val="nil"/>
              <w:right w:val="nil"/>
            </w:tcBorders>
            <w:shd w:val="clear" w:color="auto" w:fill="auto"/>
            <w:noWrap/>
            <w:vAlign w:val="bottom"/>
            <w:hideMark/>
          </w:tcPr>
          <w:p w14:paraId="265F6BF7"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35BDA80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0.8</w:t>
            </w:r>
          </w:p>
        </w:tc>
        <w:tc>
          <w:tcPr>
            <w:tcW w:w="500" w:type="dxa"/>
            <w:tcBorders>
              <w:top w:val="nil"/>
              <w:left w:val="nil"/>
              <w:bottom w:val="nil"/>
              <w:right w:val="nil"/>
            </w:tcBorders>
            <w:shd w:val="clear" w:color="auto" w:fill="auto"/>
            <w:noWrap/>
            <w:vAlign w:val="bottom"/>
            <w:hideMark/>
          </w:tcPr>
          <w:p w14:paraId="47E4622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1F960F78"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5ADC22E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4A337CC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344723CE"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2835682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23EA9E7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r>
      <w:tr w:rsidR="001132EE" w:rsidRPr="00353B2E" w14:paraId="3B2ED7D8" w14:textId="77777777" w:rsidTr="009C4E41">
        <w:trPr>
          <w:trHeight w:val="315"/>
        </w:trPr>
        <w:tc>
          <w:tcPr>
            <w:tcW w:w="1300" w:type="dxa"/>
            <w:tcBorders>
              <w:top w:val="nil"/>
              <w:left w:val="nil"/>
              <w:bottom w:val="nil"/>
              <w:right w:val="nil"/>
            </w:tcBorders>
            <w:shd w:val="clear" w:color="auto" w:fill="auto"/>
            <w:noWrap/>
            <w:vAlign w:val="bottom"/>
            <w:hideMark/>
          </w:tcPr>
          <w:p w14:paraId="3C3F3DB4"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Spain</w:t>
            </w:r>
          </w:p>
        </w:tc>
        <w:tc>
          <w:tcPr>
            <w:tcW w:w="1247" w:type="dxa"/>
            <w:tcBorders>
              <w:top w:val="nil"/>
              <w:left w:val="nil"/>
              <w:bottom w:val="nil"/>
              <w:right w:val="nil"/>
            </w:tcBorders>
            <w:shd w:val="clear" w:color="auto" w:fill="auto"/>
            <w:noWrap/>
            <w:vAlign w:val="bottom"/>
            <w:hideMark/>
          </w:tcPr>
          <w:p w14:paraId="612EF509"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617B4185"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508D70B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5D292D49"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1.4*</w:t>
            </w:r>
          </w:p>
        </w:tc>
        <w:tc>
          <w:tcPr>
            <w:tcW w:w="500" w:type="dxa"/>
            <w:tcBorders>
              <w:top w:val="nil"/>
              <w:left w:val="nil"/>
              <w:bottom w:val="nil"/>
              <w:right w:val="nil"/>
            </w:tcBorders>
            <w:shd w:val="clear" w:color="auto" w:fill="auto"/>
            <w:noWrap/>
            <w:vAlign w:val="bottom"/>
            <w:hideMark/>
          </w:tcPr>
          <w:p w14:paraId="0FBB347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c>
          <w:tcPr>
            <w:tcW w:w="500" w:type="dxa"/>
            <w:tcBorders>
              <w:top w:val="nil"/>
              <w:left w:val="nil"/>
              <w:bottom w:val="nil"/>
              <w:right w:val="nil"/>
            </w:tcBorders>
            <w:shd w:val="clear" w:color="auto" w:fill="auto"/>
            <w:noWrap/>
            <w:vAlign w:val="bottom"/>
            <w:hideMark/>
          </w:tcPr>
          <w:p w14:paraId="1BD7B49C"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1.7</w:t>
            </w:r>
          </w:p>
        </w:tc>
        <w:tc>
          <w:tcPr>
            <w:tcW w:w="1200" w:type="dxa"/>
            <w:tcBorders>
              <w:top w:val="nil"/>
              <w:left w:val="nil"/>
              <w:bottom w:val="nil"/>
              <w:right w:val="nil"/>
            </w:tcBorders>
            <w:shd w:val="clear" w:color="auto" w:fill="auto"/>
            <w:noWrap/>
            <w:vAlign w:val="bottom"/>
            <w:hideMark/>
          </w:tcPr>
          <w:p w14:paraId="3D388B2E"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3D403AA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641600F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73FF732E" w14:textId="77777777" w:rsidTr="009C4E41">
        <w:trPr>
          <w:trHeight w:val="315"/>
        </w:trPr>
        <w:tc>
          <w:tcPr>
            <w:tcW w:w="1300" w:type="dxa"/>
            <w:tcBorders>
              <w:top w:val="nil"/>
              <w:left w:val="nil"/>
              <w:bottom w:val="nil"/>
              <w:right w:val="nil"/>
            </w:tcBorders>
            <w:shd w:val="clear" w:color="auto" w:fill="auto"/>
            <w:noWrap/>
            <w:vAlign w:val="bottom"/>
            <w:hideMark/>
          </w:tcPr>
          <w:p w14:paraId="0F1B5F73"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Sweden</w:t>
            </w:r>
          </w:p>
        </w:tc>
        <w:tc>
          <w:tcPr>
            <w:tcW w:w="1247" w:type="dxa"/>
            <w:tcBorders>
              <w:top w:val="nil"/>
              <w:left w:val="nil"/>
              <w:bottom w:val="nil"/>
              <w:right w:val="nil"/>
            </w:tcBorders>
            <w:shd w:val="clear" w:color="auto" w:fill="auto"/>
            <w:noWrap/>
            <w:vAlign w:val="bottom"/>
            <w:hideMark/>
          </w:tcPr>
          <w:p w14:paraId="28297A6C"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1.1*</w:t>
            </w:r>
          </w:p>
        </w:tc>
        <w:tc>
          <w:tcPr>
            <w:tcW w:w="500" w:type="dxa"/>
            <w:tcBorders>
              <w:top w:val="nil"/>
              <w:left w:val="nil"/>
              <w:bottom w:val="nil"/>
              <w:right w:val="nil"/>
            </w:tcBorders>
            <w:shd w:val="clear" w:color="auto" w:fill="auto"/>
            <w:noWrap/>
            <w:vAlign w:val="bottom"/>
            <w:hideMark/>
          </w:tcPr>
          <w:p w14:paraId="5A4A4B3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6F3354FD"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1F5064F9"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6A3E700F"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785DD3D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42953B52"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72118CA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264D0682"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1.1</w:t>
            </w:r>
          </w:p>
        </w:tc>
      </w:tr>
      <w:tr w:rsidR="001132EE" w:rsidRPr="00353B2E" w14:paraId="09FF3980" w14:textId="77777777" w:rsidTr="009C4E41">
        <w:trPr>
          <w:trHeight w:val="315"/>
        </w:trPr>
        <w:tc>
          <w:tcPr>
            <w:tcW w:w="1300" w:type="dxa"/>
            <w:tcBorders>
              <w:top w:val="nil"/>
              <w:left w:val="nil"/>
              <w:bottom w:val="nil"/>
              <w:right w:val="nil"/>
            </w:tcBorders>
            <w:shd w:val="clear" w:color="auto" w:fill="auto"/>
            <w:noWrap/>
            <w:vAlign w:val="bottom"/>
            <w:hideMark/>
          </w:tcPr>
          <w:p w14:paraId="29F29044"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Switzerland</w:t>
            </w:r>
          </w:p>
        </w:tc>
        <w:tc>
          <w:tcPr>
            <w:tcW w:w="1247" w:type="dxa"/>
            <w:tcBorders>
              <w:top w:val="nil"/>
              <w:left w:val="nil"/>
              <w:bottom w:val="nil"/>
              <w:right w:val="nil"/>
            </w:tcBorders>
            <w:shd w:val="clear" w:color="auto" w:fill="auto"/>
            <w:noWrap/>
            <w:vAlign w:val="bottom"/>
            <w:hideMark/>
          </w:tcPr>
          <w:p w14:paraId="5995518D"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1.1*</w:t>
            </w:r>
          </w:p>
        </w:tc>
        <w:tc>
          <w:tcPr>
            <w:tcW w:w="500" w:type="dxa"/>
            <w:tcBorders>
              <w:top w:val="nil"/>
              <w:left w:val="nil"/>
              <w:bottom w:val="nil"/>
              <w:right w:val="nil"/>
            </w:tcBorders>
            <w:shd w:val="clear" w:color="auto" w:fill="auto"/>
            <w:noWrap/>
            <w:vAlign w:val="bottom"/>
            <w:hideMark/>
          </w:tcPr>
          <w:p w14:paraId="506667B0"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nil"/>
              <w:right w:val="nil"/>
            </w:tcBorders>
            <w:shd w:val="clear" w:color="auto" w:fill="auto"/>
            <w:noWrap/>
            <w:vAlign w:val="bottom"/>
            <w:hideMark/>
          </w:tcPr>
          <w:p w14:paraId="03A4A023"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1.3</w:t>
            </w:r>
          </w:p>
        </w:tc>
        <w:tc>
          <w:tcPr>
            <w:tcW w:w="1200" w:type="dxa"/>
            <w:tcBorders>
              <w:top w:val="nil"/>
              <w:left w:val="nil"/>
              <w:bottom w:val="nil"/>
              <w:right w:val="nil"/>
            </w:tcBorders>
            <w:shd w:val="clear" w:color="auto" w:fill="auto"/>
            <w:noWrap/>
            <w:vAlign w:val="bottom"/>
            <w:hideMark/>
          </w:tcPr>
          <w:p w14:paraId="5D9FFFFB"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nil"/>
              <w:right w:val="nil"/>
            </w:tcBorders>
            <w:shd w:val="clear" w:color="auto" w:fill="auto"/>
            <w:noWrap/>
            <w:vAlign w:val="bottom"/>
            <w:hideMark/>
          </w:tcPr>
          <w:p w14:paraId="5E2C32E6"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60A97EE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nil"/>
              <w:right w:val="nil"/>
            </w:tcBorders>
            <w:shd w:val="clear" w:color="auto" w:fill="auto"/>
            <w:noWrap/>
            <w:vAlign w:val="bottom"/>
            <w:hideMark/>
          </w:tcPr>
          <w:p w14:paraId="6176BD49"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1.0</w:t>
            </w:r>
          </w:p>
        </w:tc>
        <w:tc>
          <w:tcPr>
            <w:tcW w:w="500" w:type="dxa"/>
            <w:tcBorders>
              <w:top w:val="nil"/>
              <w:left w:val="nil"/>
              <w:bottom w:val="nil"/>
              <w:right w:val="nil"/>
            </w:tcBorders>
            <w:shd w:val="clear" w:color="auto" w:fill="auto"/>
            <w:noWrap/>
            <w:vAlign w:val="bottom"/>
            <w:hideMark/>
          </w:tcPr>
          <w:p w14:paraId="2348710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0.9</w:t>
            </w:r>
          </w:p>
        </w:tc>
        <w:tc>
          <w:tcPr>
            <w:tcW w:w="500" w:type="dxa"/>
            <w:tcBorders>
              <w:top w:val="nil"/>
              <w:left w:val="nil"/>
              <w:bottom w:val="nil"/>
              <w:right w:val="nil"/>
            </w:tcBorders>
            <w:shd w:val="clear" w:color="auto" w:fill="auto"/>
            <w:noWrap/>
            <w:vAlign w:val="bottom"/>
            <w:hideMark/>
          </w:tcPr>
          <w:p w14:paraId="2D25461B"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r>
      <w:tr w:rsidR="001132EE" w:rsidRPr="00353B2E" w14:paraId="38C16FC5" w14:textId="77777777" w:rsidTr="009C4E41">
        <w:trPr>
          <w:trHeight w:val="315"/>
        </w:trPr>
        <w:tc>
          <w:tcPr>
            <w:tcW w:w="1300" w:type="dxa"/>
            <w:tcBorders>
              <w:top w:val="nil"/>
              <w:left w:val="nil"/>
              <w:bottom w:val="single" w:sz="4" w:space="0" w:color="auto"/>
              <w:right w:val="nil"/>
            </w:tcBorders>
            <w:shd w:val="clear" w:color="auto" w:fill="auto"/>
            <w:noWrap/>
            <w:vAlign w:val="bottom"/>
            <w:hideMark/>
          </w:tcPr>
          <w:p w14:paraId="1F4DA61D" w14:textId="77777777" w:rsidR="001132EE" w:rsidRPr="00353B2E" w:rsidRDefault="001132EE" w:rsidP="009C4E41">
            <w:pPr>
              <w:spacing w:after="0" w:line="240" w:lineRule="auto"/>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UK</w:t>
            </w:r>
          </w:p>
        </w:tc>
        <w:tc>
          <w:tcPr>
            <w:tcW w:w="1247" w:type="dxa"/>
            <w:tcBorders>
              <w:top w:val="nil"/>
              <w:left w:val="nil"/>
              <w:bottom w:val="single" w:sz="4" w:space="0" w:color="auto"/>
              <w:right w:val="nil"/>
            </w:tcBorders>
            <w:shd w:val="clear" w:color="auto" w:fill="auto"/>
            <w:noWrap/>
            <w:vAlign w:val="bottom"/>
            <w:hideMark/>
          </w:tcPr>
          <w:p w14:paraId="00EA6C5F"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single" w:sz="4" w:space="0" w:color="auto"/>
              <w:right w:val="nil"/>
            </w:tcBorders>
            <w:shd w:val="clear" w:color="auto" w:fill="auto"/>
            <w:noWrap/>
            <w:vAlign w:val="bottom"/>
            <w:hideMark/>
          </w:tcPr>
          <w:p w14:paraId="3C4C371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single" w:sz="4" w:space="0" w:color="auto"/>
              <w:right w:val="nil"/>
            </w:tcBorders>
            <w:shd w:val="clear" w:color="auto" w:fill="auto"/>
            <w:noWrap/>
            <w:vAlign w:val="bottom"/>
            <w:hideMark/>
          </w:tcPr>
          <w:p w14:paraId="52E9C771"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single" w:sz="4" w:space="0" w:color="auto"/>
              <w:right w:val="nil"/>
            </w:tcBorders>
            <w:shd w:val="clear" w:color="auto" w:fill="auto"/>
            <w:noWrap/>
            <w:vAlign w:val="bottom"/>
            <w:hideMark/>
          </w:tcPr>
          <w:p w14:paraId="6D9522CC" w14:textId="77777777" w:rsidR="001132EE" w:rsidRPr="00353B2E" w:rsidRDefault="001132EE" w:rsidP="009C4E41">
            <w:pPr>
              <w:spacing w:after="0" w:line="240" w:lineRule="auto"/>
              <w:jc w:val="center"/>
              <w:rPr>
                <w:rFonts w:ascii="Times New Roman" w:eastAsia="Times New Roman" w:hAnsi="Times New Roman" w:cs="Times New Roman"/>
                <w:bCs/>
                <w:sz w:val="24"/>
                <w:szCs w:val="24"/>
                <w:lang w:eastAsia="nb-NO"/>
              </w:rPr>
            </w:pPr>
            <w:r w:rsidRPr="00353B2E">
              <w:rPr>
                <w:rFonts w:ascii="Times New Roman" w:eastAsia="Times New Roman" w:hAnsi="Times New Roman" w:cs="Times New Roman"/>
                <w:bCs/>
                <w:sz w:val="24"/>
                <w:szCs w:val="24"/>
                <w:lang w:eastAsia="nb-NO"/>
              </w:rPr>
              <w:t>1.1*</w:t>
            </w:r>
          </w:p>
        </w:tc>
        <w:tc>
          <w:tcPr>
            <w:tcW w:w="500" w:type="dxa"/>
            <w:tcBorders>
              <w:top w:val="nil"/>
              <w:left w:val="nil"/>
              <w:bottom w:val="single" w:sz="4" w:space="0" w:color="auto"/>
              <w:right w:val="nil"/>
            </w:tcBorders>
            <w:shd w:val="clear" w:color="auto" w:fill="auto"/>
            <w:noWrap/>
            <w:vAlign w:val="bottom"/>
            <w:hideMark/>
          </w:tcPr>
          <w:p w14:paraId="0D64E9C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single" w:sz="4" w:space="0" w:color="auto"/>
              <w:right w:val="nil"/>
            </w:tcBorders>
            <w:shd w:val="clear" w:color="auto" w:fill="auto"/>
            <w:noWrap/>
            <w:vAlign w:val="bottom"/>
            <w:hideMark/>
          </w:tcPr>
          <w:p w14:paraId="7368CF34"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c>
          <w:tcPr>
            <w:tcW w:w="1200" w:type="dxa"/>
            <w:tcBorders>
              <w:top w:val="nil"/>
              <w:left w:val="nil"/>
              <w:bottom w:val="single" w:sz="4" w:space="0" w:color="auto"/>
              <w:right w:val="nil"/>
            </w:tcBorders>
            <w:shd w:val="clear" w:color="auto" w:fill="auto"/>
            <w:noWrap/>
            <w:vAlign w:val="bottom"/>
            <w:hideMark/>
          </w:tcPr>
          <w:p w14:paraId="16E1F747" w14:textId="77777777" w:rsidR="001132EE" w:rsidRPr="00353B2E" w:rsidRDefault="001132EE" w:rsidP="009C4E41">
            <w:pPr>
              <w:spacing w:after="0" w:line="240" w:lineRule="auto"/>
              <w:jc w:val="center"/>
              <w:rPr>
                <w:rFonts w:ascii="Times New Roman" w:eastAsia="Times New Roman" w:hAnsi="Times New Roman" w:cs="Times New Roman"/>
                <w:sz w:val="24"/>
                <w:szCs w:val="24"/>
                <w:lang w:eastAsia="nb-NO"/>
              </w:rPr>
            </w:pPr>
            <w:r w:rsidRPr="00353B2E">
              <w:rPr>
                <w:rFonts w:ascii="Times New Roman" w:eastAsia="Times New Roman" w:hAnsi="Times New Roman" w:cs="Times New Roman"/>
                <w:sz w:val="24"/>
                <w:szCs w:val="24"/>
                <w:lang w:eastAsia="nb-NO"/>
              </w:rPr>
              <w:t>1.1</w:t>
            </w:r>
          </w:p>
        </w:tc>
        <w:tc>
          <w:tcPr>
            <w:tcW w:w="500" w:type="dxa"/>
            <w:tcBorders>
              <w:top w:val="nil"/>
              <w:left w:val="nil"/>
              <w:bottom w:val="single" w:sz="4" w:space="0" w:color="auto"/>
              <w:right w:val="nil"/>
            </w:tcBorders>
            <w:shd w:val="clear" w:color="auto" w:fill="auto"/>
            <w:noWrap/>
            <w:vAlign w:val="bottom"/>
            <w:hideMark/>
          </w:tcPr>
          <w:p w14:paraId="75D81C28"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1.0</w:t>
            </w:r>
          </w:p>
        </w:tc>
        <w:tc>
          <w:tcPr>
            <w:tcW w:w="500" w:type="dxa"/>
            <w:tcBorders>
              <w:top w:val="nil"/>
              <w:left w:val="nil"/>
              <w:bottom w:val="single" w:sz="4" w:space="0" w:color="auto"/>
              <w:right w:val="nil"/>
            </w:tcBorders>
            <w:shd w:val="clear" w:color="auto" w:fill="auto"/>
            <w:noWrap/>
            <w:vAlign w:val="bottom"/>
            <w:hideMark/>
          </w:tcPr>
          <w:p w14:paraId="7EBD21AA" w14:textId="77777777" w:rsidR="001132EE" w:rsidRPr="00353B2E" w:rsidRDefault="001132EE" w:rsidP="009C4E41">
            <w:pPr>
              <w:spacing w:after="0" w:line="240" w:lineRule="auto"/>
              <w:jc w:val="center"/>
              <w:rPr>
                <w:rFonts w:ascii="Times New Roman" w:eastAsia="Times New Roman" w:hAnsi="Times New Roman" w:cs="Times New Roman"/>
                <w:color w:val="000000"/>
                <w:sz w:val="24"/>
                <w:szCs w:val="24"/>
                <w:lang w:eastAsia="nb-NO"/>
              </w:rPr>
            </w:pPr>
            <w:r w:rsidRPr="00353B2E">
              <w:rPr>
                <w:rFonts w:ascii="Times New Roman" w:eastAsia="Times New Roman" w:hAnsi="Times New Roman" w:cs="Times New Roman"/>
                <w:color w:val="000000"/>
                <w:sz w:val="24"/>
                <w:szCs w:val="24"/>
                <w:lang w:eastAsia="nb-NO"/>
              </w:rPr>
              <w:t>1.2</w:t>
            </w:r>
          </w:p>
        </w:tc>
      </w:tr>
    </w:tbl>
    <w:p w14:paraId="6FE99987" w14:textId="77777777" w:rsidR="001132EE" w:rsidRPr="009C69EB" w:rsidRDefault="001132EE" w:rsidP="001132EE">
      <w:pPr>
        <w:pStyle w:val="NoSpacing"/>
        <w:rPr>
          <w:rFonts w:ascii="Times New Roman" w:hAnsi="Times New Roman" w:cs="Times New Roman"/>
          <w:sz w:val="24"/>
          <w:szCs w:val="24"/>
          <w:lang w:val="en-GB"/>
        </w:rPr>
      </w:pPr>
      <w:r w:rsidRPr="009C69EB">
        <w:rPr>
          <w:rFonts w:ascii="Times New Roman" w:hAnsi="Times New Roman" w:cs="Times New Roman"/>
          <w:sz w:val="24"/>
          <w:szCs w:val="24"/>
          <w:lang w:val="en-GB"/>
        </w:rPr>
        <w:t>*p &lt; 0.1</w:t>
      </w:r>
      <w:r>
        <w:rPr>
          <w:rFonts w:ascii="Times New Roman" w:hAnsi="Times New Roman" w:cs="Times New Roman"/>
          <w:sz w:val="24"/>
          <w:szCs w:val="24"/>
          <w:lang w:val="en-GB"/>
        </w:rPr>
        <w:t>.</w:t>
      </w:r>
      <w:r w:rsidRPr="009C69EB">
        <w:rPr>
          <w:rFonts w:ascii="Times New Roman" w:hAnsi="Times New Roman" w:cs="Times New Roman"/>
          <w:sz w:val="24"/>
          <w:szCs w:val="24"/>
          <w:lang w:val="en-GB"/>
        </w:rPr>
        <w:t xml:space="preserve"> </w:t>
      </w:r>
    </w:p>
    <w:p w14:paraId="6FB3BC63" w14:textId="77777777" w:rsidR="001132EE" w:rsidRDefault="001132EE" w:rsidP="00D73B69">
      <w:pPr>
        <w:pStyle w:val="NoSpacing"/>
        <w:rPr>
          <w:rFonts w:ascii="Times New Roman" w:hAnsi="Times New Roman" w:cs="Times New Roman"/>
          <w:sz w:val="24"/>
          <w:szCs w:val="24"/>
          <w:lang w:val="en-GB"/>
        </w:rPr>
      </w:pPr>
    </w:p>
    <w:p w14:paraId="5D4F14FA" w14:textId="77777777" w:rsidR="001132EE" w:rsidRDefault="001132EE" w:rsidP="00D73B69">
      <w:pPr>
        <w:pStyle w:val="NoSpacing"/>
        <w:rPr>
          <w:rFonts w:ascii="Times New Roman" w:hAnsi="Times New Roman" w:cs="Times New Roman"/>
          <w:sz w:val="24"/>
          <w:szCs w:val="24"/>
          <w:lang w:val="en-GB"/>
        </w:rPr>
      </w:pPr>
    </w:p>
    <w:p w14:paraId="06554F86" w14:textId="77777777" w:rsidR="00E25BDB" w:rsidRDefault="00E25BDB" w:rsidP="00D73B69">
      <w:pPr>
        <w:pStyle w:val="NoSpacing"/>
        <w:rPr>
          <w:rFonts w:ascii="Times New Roman" w:hAnsi="Times New Roman" w:cs="Times New Roman"/>
          <w:sz w:val="24"/>
          <w:szCs w:val="24"/>
          <w:lang w:val="en-GB"/>
        </w:rPr>
      </w:pPr>
    </w:p>
    <w:p w14:paraId="11D86C2C" w14:textId="77777777" w:rsidR="00E25BDB" w:rsidRDefault="00E25BDB">
      <w:pPr>
        <w:rPr>
          <w:rFonts w:ascii="Times New Roman" w:hAnsi="Times New Roman" w:cs="Times New Roman"/>
          <w:b/>
          <w:sz w:val="28"/>
          <w:szCs w:val="28"/>
          <w:lang w:val="en-GB"/>
        </w:rPr>
      </w:pPr>
    </w:p>
    <w:p w14:paraId="36BA9912" w14:textId="77777777" w:rsidR="00E25BDB" w:rsidRDefault="00E25BDB">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2F8F0D26" w14:textId="77777777" w:rsidR="00E25BDB" w:rsidRPr="009C69EB" w:rsidRDefault="00E25BDB" w:rsidP="00D73B69">
      <w:pPr>
        <w:pStyle w:val="NoSpacing"/>
        <w:rPr>
          <w:rFonts w:ascii="Times New Roman" w:hAnsi="Times New Roman" w:cs="Times New Roman"/>
          <w:b/>
          <w:sz w:val="28"/>
          <w:szCs w:val="28"/>
          <w:lang w:val="en-GB"/>
        </w:rPr>
      </w:pPr>
      <w:r w:rsidRPr="009C69EB">
        <w:rPr>
          <w:rFonts w:ascii="Times New Roman" w:hAnsi="Times New Roman" w:cs="Times New Roman"/>
          <w:b/>
          <w:sz w:val="28"/>
          <w:szCs w:val="28"/>
          <w:lang w:val="en-GB"/>
        </w:rPr>
        <w:lastRenderedPageBreak/>
        <w:t>Appendix</w:t>
      </w:r>
      <w:r w:rsidR="009B2E33">
        <w:rPr>
          <w:rFonts w:ascii="Times New Roman" w:hAnsi="Times New Roman" w:cs="Times New Roman"/>
          <w:b/>
          <w:sz w:val="28"/>
          <w:szCs w:val="28"/>
          <w:lang w:val="en-GB"/>
        </w:rPr>
        <w:t xml:space="preserve"> 6</w:t>
      </w:r>
      <w:r w:rsidRPr="009C69EB">
        <w:rPr>
          <w:rFonts w:ascii="Times New Roman" w:hAnsi="Times New Roman" w:cs="Times New Roman"/>
          <w:b/>
          <w:sz w:val="28"/>
          <w:szCs w:val="28"/>
          <w:lang w:val="en-GB"/>
        </w:rPr>
        <w:t xml:space="preserve">: Relative and absolute inequalities </w:t>
      </w:r>
    </w:p>
    <w:p w14:paraId="1DF83AD5" w14:textId="77777777" w:rsidR="00E25BDB" w:rsidRPr="009C69EB" w:rsidRDefault="00E25BDB" w:rsidP="00D73B69">
      <w:pPr>
        <w:pStyle w:val="NoSpacing"/>
        <w:rPr>
          <w:lang w:val="en-GB"/>
        </w:rPr>
      </w:pPr>
    </w:p>
    <w:p w14:paraId="2A8313C0" w14:textId="70DE9008" w:rsidR="00E25BDB" w:rsidRPr="009C69EB" w:rsidRDefault="00E25BDB" w:rsidP="00D73B69">
      <w:pPr>
        <w:pStyle w:val="NoSpacing"/>
        <w:rPr>
          <w:rFonts w:ascii="Times New Roman" w:hAnsi="Times New Roman" w:cs="Times New Roman"/>
          <w:sz w:val="24"/>
          <w:szCs w:val="24"/>
          <w:lang w:val="en-GB"/>
        </w:rPr>
      </w:pPr>
      <w:r w:rsidRPr="009C69EB">
        <w:rPr>
          <w:rFonts w:ascii="Times New Roman" w:hAnsi="Times New Roman" w:cs="Times New Roman"/>
          <w:sz w:val="24"/>
          <w:szCs w:val="24"/>
          <w:lang w:val="en-GB"/>
        </w:rPr>
        <w:t xml:space="preserve"> </w:t>
      </w:r>
    </w:p>
    <w:p w14:paraId="01997044" w14:textId="77777777" w:rsidR="00E25BDB" w:rsidRPr="009C69EB" w:rsidRDefault="00E25BDB" w:rsidP="00D73B69">
      <w:pPr>
        <w:rPr>
          <w:rFonts w:ascii="Times New Roman" w:hAnsi="Times New Roman" w:cs="Times New Roman"/>
          <w:i/>
          <w:sz w:val="24"/>
          <w:szCs w:val="24"/>
          <w:lang w:val="en-GB"/>
        </w:rPr>
      </w:pPr>
      <w:r>
        <w:rPr>
          <w:rFonts w:ascii="Times New Roman" w:hAnsi="Times New Roman" w:cs="Times New Roman"/>
          <w:i/>
          <w:sz w:val="24"/>
          <w:szCs w:val="24"/>
          <w:lang w:val="en-GB"/>
        </w:rPr>
        <w:t>Table 7</w:t>
      </w:r>
      <w:r w:rsidRPr="009C69EB">
        <w:rPr>
          <w:rFonts w:ascii="Times New Roman" w:hAnsi="Times New Roman" w:cs="Times New Roman"/>
          <w:i/>
          <w:sz w:val="24"/>
          <w:szCs w:val="24"/>
          <w:lang w:val="en-GB"/>
        </w:rPr>
        <w:t>: Relative and absolute inequalities in specialist utilization by education, in rising order of relative inequalities.</w:t>
      </w:r>
    </w:p>
    <w:tbl>
      <w:tblPr>
        <w:tblW w:w="3600"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00"/>
        <w:gridCol w:w="1200"/>
        <w:gridCol w:w="1200"/>
      </w:tblGrid>
      <w:tr w:rsidR="00E25BDB" w:rsidRPr="009C69EB" w14:paraId="44B4C90B" w14:textId="77777777" w:rsidTr="00D73B69">
        <w:trPr>
          <w:trHeight w:val="300"/>
        </w:trPr>
        <w:tc>
          <w:tcPr>
            <w:tcW w:w="1200" w:type="dxa"/>
            <w:tcBorders>
              <w:bottom w:val="nil"/>
            </w:tcBorders>
            <w:shd w:val="clear" w:color="auto" w:fill="auto"/>
            <w:noWrap/>
            <w:vAlign w:val="bottom"/>
            <w:hideMark/>
          </w:tcPr>
          <w:p w14:paraId="76748710" w14:textId="77777777" w:rsidR="00E25BDB" w:rsidRPr="009C69EB" w:rsidRDefault="00E25BDB" w:rsidP="00D73B69">
            <w:pPr>
              <w:spacing w:after="0" w:line="240" w:lineRule="auto"/>
              <w:rPr>
                <w:rFonts w:ascii="Times New Roman" w:eastAsia="Times New Roman" w:hAnsi="Times New Roman" w:cs="Times New Roman"/>
                <w:b/>
                <w:color w:val="000000"/>
                <w:sz w:val="24"/>
                <w:szCs w:val="24"/>
                <w:lang w:val="en-GB" w:eastAsia="nb-NO"/>
              </w:rPr>
            </w:pPr>
          </w:p>
        </w:tc>
        <w:tc>
          <w:tcPr>
            <w:tcW w:w="1200" w:type="dxa"/>
            <w:tcBorders>
              <w:bottom w:val="nil"/>
            </w:tcBorders>
            <w:shd w:val="clear" w:color="auto" w:fill="auto"/>
            <w:noWrap/>
            <w:vAlign w:val="bottom"/>
            <w:hideMark/>
          </w:tcPr>
          <w:p w14:paraId="6F6E7103" w14:textId="77777777" w:rsidR="00E25BDB" w:rsidRPr="009C69EB" w:rsidRDefault="00E25BDB" w:rsidP="00D73B69">
            <w:pPr>
              <w:spacing w:after="0" w:line="240" w:lineRule="auto"/>
              <w:jc w:val="right"/>
              <w:rPr>
                <w:rFonts w:ascii="Times New Roman" w:eastAsia="Times New Roman" w:hAnsi="Times New Roman" w:cs="Times New Roman"/>
                <w:b/>
                <w:color w:val="000000"/>
                <w:sz w:val="24"/>
                <w:szCs w:val="24"/>
                <w:lang w:val="en-GB" w:eastAsia="nb-NO"/>
              </w:rPr>
            </w:pPr>
            <w:r w:rsidRPr="009C69EB">
              <w:rPr>
                <w:rFonts w:ascii="Times New Roman" w:eastAsia="Times New Roman" w:hAnsi="Times New Roman" w:cs="Times New Roman"/>
                <w:b/>
                <w:color w:val="000000"/>
                <w:sz w:val="24"/>
                <w:szCs w:val="24"/>
                <w:lang w:val="en-GB" w:eastAsia="nb-NO"/>
              </w:rPr>
              <w:t>Specialist</w:t>
            </w:r>
          </w:p>
        </w:tc>
        <w:tc>
          <w:tcPr>
            <w:tcW w:w="1200" w:type="dxa"/>
            <w:tcBorders>
              <w:bottom w:val="nil"/>
            </w:tcBorders>
            <w:shd w:val="clear" w:color="auto" w:fill="auto"/>
            <w:noWrap/>
            <w:vAlign w:val="bottom"/>
            <w:hideMark/>
          </w:tcPr>
          <w:p w14:paraId="7AF283BC" w14:textId="77777777" w:rsidR="00E25BDB" w:rsidRPr="009C69EB" w:rsidRDefault="00E25BDB" w:rsidP="00D73B69">
            <w:pPr>
              <w:spacing w:after="0" w:line="240" w:lineRule="auto"/>
              <w:jc w:val="right"/>
              <w:rPr>
                <w:rFonts w:ascii="Times New Roman" w:eastAsia="Times New Roman" w:hAnsi="Times New Roman" w:cs="Times New Roman"/>
                <w:b/>
                <w:color w:val="000000"/>
                <w:sz w:val="24"/>
                <w:szCs w:val="24"/>
                <w:lang w:val="en-GB" w:eastAsia="nb-NO"/>
              </w:rPr>
            </w:pPr>
          </w:p>
        </w:tc>
      </w:tr>
      <w:tr w:rsidR="00E25BDB" w:rsidRPr="009C69EB" w14:paraId="105AFBC9" w14:textId="77777777" w:rsidTr="00D73B69">
        <w:trPr>
          <w:trHeight w:val="300"/>
        </w:trPr>
        <w:tc>
          <w:tcPr>
            <w:tcW w:w="1200" w:type="dxa"/>
            <w:tcBorders>
              <w:top w:val="nil"/>
              <w:bottom w:val="single" w:sz="4" w:space="0" w:color="auto"/>
            </w:tcBorders>
            <w:shd w:val="clear" w:color="auto" w:fill="auto"/>
            <w:noWrap/>
            <w:vAlign w:val="bottom"/>
            <w:hideMark/>
          </w:tcPr>
          <w:p w14:paraId="66918DAD" w14:textId="77777777" w:rsidR="00E25BDB" w:rsidRPr="009C69EB" w:rsidRDefault="00E25BDB" w:rsidP="00D73B69">
            <w:pPr>
              <w:spacing w:after="0" w:line="240" w:lineRule="auto"/>
              <w:rPr>
                <w:rFonts w:ascii="Times New Roman" w:eastAsia="Times New Roman" w:hAnsi="Times New Roman" w:cs="Times New Roman"/>
                <w:i/>
                <w:color w:val="000000"/>
                <w:sz w:val="24"/>
                <w:szCs w:val="24"/>
                <w:lang w:val="en-GB" w:eastAsia="nb-NO"/>
              </w:rPr>
            </w:pPr>
            <w:r w:rsidRPr="009C69EB">
              <w:rPr>
                <w:rFonts w:ascii="Times New Roman" w:eastAsia="Times New Roman" w:hAnsi="Times New Roman" w:cs="Times New Roman"/>
                <w:i/>
                <w:color w:val="000000"/>
                <w:sz w:val="24"/>
                <w:szCs w:val="24"/>
                <w:lang w:val="en-GB" w:eastAsia="nb-NO"/>
              </w:rPr>
              <w:t>Education</w:t>
            </w:r>
          </w:p>
        </w:tc>
        <w:tc>
          <w:tcPr>
            <w:tcW w:w="1200" w:type="dxa"/>
            <w:tcBorders>
              <w:top w:val="nil"/>
              <w:bottom w:val="single" w:sz="4" w:space="0" w:color="auto"/>
            </w:tcBorders>
            <w:shd w:val="clear" w:color="auto" w:fill="auto"/>
            <w:noWrap/>
            <w:vAlign w:val="bottom"/>
            <w:hideMark/>
          </w:tcPr>
          <w:p w14:paraId="78F50827" w14:textId="77777777" w:rsidR="00E25BDB" w:rsidRPr="009C69EB" w:rsidRDefault="00E25BDB" w:rsidP="00D73B69">
            <w:pPr>
              <w:spacing w:after="0" w:line="240" w:lineRule="auto"/>
              <w:jc w:val="right"/>
              <w:rPr>
                <w:rFonts w:ascii="Times New Roman" w:eastAsia="Times New Roman" w:hAnsi="Times New Roman" w:cs="Times New Roman"/>
                <w:i/>
                <w:color w:val="000000"/>
                <w:sz w:val="24"/>
                <w:szCs w:val="24"/>
                <w:lang w:val="en-GB" w:eastAsia="nb-NO"/>
              </w:rPr>
            </w:pPr>
            <w:r w:rsidRPr="009C69EB">
              <w:rPr>
                <w:rFonts w:ascii="Times New Roman" w:eastAsia="Times New Roman" w:hAnsi="Times New Roman" w:cs="Times New Roman"/>
                <w:i/>
                <w:color w:val="000000"/>
                <w:sz w:val="24"/>
                <w:szCs w:val="24"/>
                <w:lang w:val="en-GB" w:eastAsia="nb-NO"/>
              </w:rPr>
              <w:t>ARR</w:t>
            </w:r>
          </w:p>
        </w:tc>
        <w:tc>
          <w:tcPr>
            <w:tcW w:w="1200" w:type="dxa"/>
            <w:tcBorders>
              <w:top w:val="nil"/>
              <w:bottom w:val="single" w:sz="4" w:space="0" w:color="auto"/>
            </w:tcBorders>
            <w:shd w:val="clear" w:color="auto" w:fill="auto"/>
            <w:noWrap/>
            <w:vAlign w:val="bottom"/>
            <w:hideMark/>
          </w:tcPr>
          <w:p w14:paraId="6B46A5FE" w14:textId="77777777" w:rsidR="00E25BDB" w:rsidRPr="009C69EB" w:rsidRDefault="00E25BDB" w:rsidP="00D73B69">
            <w:pPr>
              <w:spacing w:after="0" w:line="240" w:lineRule="auto"/>
              <w:jc w:val="right"/>
              <w:rPr>
                <w:rFonts w:ascii="Times New Roman" w:eastAsia="Times New Roman" w:hAnsi="Times New Roman" w:cs="Times New Roman"/>
                <w:i/>
                <w:color w:val="000000"/>
                <w:sz w:val="24"/>
                <w:szCs w:val="24"/>
                <w:lang w:val="en-GB" w:eastAsia="nb-NO"/>
              </w:rPr>
            </w:pPr>
            <w:r w:rsidRPr="009C69EB">
              <w:rPr>
                <w:rFonts w:ascii="Times New Roman" w:eastAsia="Times New Roman" w:hAnsi="Times New Roman" w:cs="Times New Roman"/>
                <w:i/>
                <w:color w:val="000000"/>
                <w:sz w:val="24"/>
                <w:szCs w:val="24"/>
                <w:lang w:val="en-GB" w:eastAsia="nb-NO"/>
              </w:rPr>
              <w:t>ARD</w:t>
            </w:r>
          </w:p>
        </w:tc>
      </w:tr>
      <w:tr w:rsidR="00E25BDB" w:rsidRPr="009C69EB" w14:paraId="0004F976" w14:textId="77777777" w:rsidTr="00D73B69">
        <w:trPr>
          <w:trHeight w:val="300"/>
        </w:trPr>
        <w:tc>
          <w:tcPr>
            <w:tcW w:w="1200" w:type="dxa"/>
            <w:tcBorders>
              <w:top w:val="single" w:sz="4" w:space="0" w:color="auto"/>
            </w:tcBorders>
            <w:shd w:val="clear" w:color="auto" w:fill="auto"/>
            <w:noWrap/>
            <w:vAlign w:val="bottom"/>
            <w:hideMark/>
          </w:tcPr>
          <w:p w14:paraId="0D7A00E6"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Lithuania</w:t>
            </w:r>
          </w:p>
        </w:tc>
        <w:tc>
          <w:tcPr>
            <w:tcW w:w="1200" w:type="dxa"/>
            <w:tcBorders>
              <w:top w:val="single" w:sz="4" w:space="0" w:color="auto"/>
            </w:tcBorders>
            <w:shd w:val="clear" w:color="auto" w:fill="auto"/>
            <w:noWrap/>
            <w:vAlign w:val="bottom"/>
            <w:hideMark/>
          </w:tcPr>
          <w:p w14:paraId="1C8137D8"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0</w:t>
            </w:r>
          </w:p>
        </w:tc>
        <w:tc>
          <w:tcPr>
            <w:tcW w:w="1200" w:type="dxa"/>
            <w:tcBorders>
              <w:top w:val="single" w:sz="4" w:space="0" w:color="auto"/>
            </w:tcBorders>
            <w:shd w:val="clear" w:color="auto" w:fill="auto"/>
            <w:noWrap/>
            <w:vAlign w:val="bottom"/>
            <w:hideMark/>
          </w:tcPr>
          <w:p w14:paraId="24482D77"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w:t>
            </w: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03</w:t>
            </w:r>
          </w:p>
        </w:tc>
      </w:tr>
      <w:tr w:rsidR="00E25BDB" w:rsidRPr="009C69EB" w14:paraId="5B7EDEAA" w14:textId="77777777" w:rsidTr="00D73B69">
        <w:trPr>
          <w:trHeight w:val="300"/>
        </w:trPr>
        <w:tc>
          <w:tcPr>
            <w:tcW w:w="1200" w:type="dxa"/>
            <w:shd w:val="clear" w:color="auto" w:fill="auto"/>
            <w:noWrap/>
            <w:vAlign w:val="bottom"/>
            <w:hideMark/>
          </w:tcPr>
          <w:p w14:paraId="59E2E56E"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Ireland</w:t>
            </w:r>
          </w:p>
        </w:tc>
        <w:tc>
          <w:tcPr>
            <w:tcW w:w="1200" w:type="dxa"/>
            <w:shd w:val="clear" w:color="auto" w:fill="auto"/>
            <w:noWrap/>
            <w:vAlign w:val="bottom"/>
            <w:hideMark/>
          </w:tcPr>
          <w:p w14:paraId="70888453"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0</w:t>
            </w:r>
          </w:p>
        </w:tc>
        <w:tc>
          <w:tcPr>
            <w:tcW w:w="1200" w:type="dxa"/>
            <w:shd w:val="clear" w:color="auto" w:fill="auto"/>
            <w:noWrap/>
            <w:vAlign w:val="bottom"/>
            <w:hideMark/>
          </w:tcPr>
          <w:p w14:paraId="40496A46"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03</w:t>
            </w:r>
          </w:p>
        </w:tc>
      </w:tr>
      <w:tr w:rsidR="00E25BDB" w:rsidRPr="009C69EB" w14:paraId="7CAB0598" w14:textId="77777777" w:rsidTr="00D73B69">
        <w:trPr>
          <w:trHeight w:val="300"/>
        </w:trPr>
        <w:tc>
          <w:tcPr>
            <w:tcW w:w="1200" w:type="dxa"/>
            <w:shd w:val="clear" w:color="auto" w:fill="auto"/>
            <w:noWrap/>
            <w:vAlign w:val="bottom"/>
            <w:hideMark/>
          </w:tcPr>
          <w:p w14:paraId="2D30F46E"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Slovenia</w:t>
            </w:r>
          </w:p>
        </w:tc>
        <w:tc>
          <w:tcPr>
            <w:tcW w:w="1200" w:type="dxa"/>
            <w:shd w:val="clear" w:color="auto" w:fill="auto"/>
            <w:noWrap/>
            <w:vAlign w:val="bottom"/>
            <w:hideMark/>
          </w:tcPr>
          <w:p w14:paraId="4A1DDD2D"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0</w:t>
            </w:r>
          </w:p>
        </w:tc>
        <w:tc>
          <w:tcPr>
            <w:tcW w:w="1200" w:type="dxa"/>
            <w:shd w:val="clear" w:color="auto" w:fill="auto"/>
            <w:noWrap/>
            <w:vAlign w:val="bottom"/>
            <w:hideMark/>
          </w:tcPr>
          <w:p w14:paraId="76BAF08B"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03</w:t>
            </w:r>
          </w:p>
        </w:tc>
      </w:tr>
      <w:tr w:rsidR="00E25BDB" w:rsidRPr="009C69EB" w14:paraId="2FD3FC5B" w14:textId="77777777" w:rsidTr="00D73B69">
        <w:trPr>
          <w:trHeight w:val="300"/>
        </w:trPr>
        <w:tc>
          <w:tcPr>
            <w:tcW w:w="1200" w:type="dxa"/>
            <w:shd w:val="clear" w:color="auto" w:fill="auto"/>
            <w:noWrap/>
            <w:vAlign w:val="bottom"/>
            <w:hideMark/>
          </w:tcPr>
          <w:p w14:paraId="48029739"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Switzerland</w:t>
            </w:r>
          </w:p>
        </w:tc>
        <w:tc>
          <w:tcPr>
            <w:tcW w:w="1200" w:type="dxa"/>
            <w:shd w:val="clear" w:color="auto" w:fill="auto"/>
            <w:noWrap/>
            <w:vAlign w:val="bottom"/>
            <w:hideMark/>
          </w:tcPr>
          <w:p w14:paraId="26703B0D"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1</w:t>
            </w:r>
          </w:p>
        </w:tc>
        <w:tc>
          <w:tcPr>
            <w:tcW w:w="1200" w:type="dxa"/>
            <w:shd w:val="clear" w:color="auto" w:fill="auto"/>
            <w:noWrap/>
            <w:vAlign w:val="bottom"/>
            <w:hideMark/>
          </w:tcPr>
          <w:p w14:paraId="3A96374B"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04</w:t>
            </w:r>
          </w:p>
        </w:tc>
      </w:tr>
      <w:tr w:rsidR="00E25BDB" w:rsidRPr="009C69EB" w14:paraId="5B4CD398" w14:textId="77777777" w:rsidTr="00D73B69">
        <w:trPr>
          <w:trHeight w:val="300"/>
        </w:trPr>
        <w:tc>
          <w:tcPr>
            <w:tcW w:w="1200" w:type="dxa"/>
            <w:shd w:val="clear" w:color="auto" w:fill="auto"/>
            <w:noWrap/>
            <w:vAlign w:val="bottom"/>
            <w:hideMark/>
          </w:tcPr>
          <w:p w14:paraId="72850D2A"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Netherlands</w:t>
            </w:r>
          </w:p>
        </w:tc>
        <w:tc>
          <w:tcPr>
            <w:tcW w:w="1200" w:type="dxa"/>
            <w:shd w:val="clear" w:color="auto" w:fill="auto"/>
            <w:noWrap/>
            <w:vAlign w:val="bottom"/>
            <w:hideMark/>
          </w:tcPr>
          <w:p w14:paraId="755709DA"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1</w:t>
            </w:r>
          </w:p>
        </w:tc>
        <w:tc>
          <w:tcPr>
            <w:tcW w:w="1200" w:type="dxa"/>
            <w:shd w:val="clear" w:color="auto" w:fill="auto"/>
            <w:noWrap/>
            <w:vAlign w:val="bottom"/>
            <w:hideMark/>
          </w:tcPr>
          <w:p w14:paraId="2721EB4E"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04</w:t>
            </w:r>
          </w:p>
        </w:tc>
      </w:tr>
      <w:tr w:rsidR="00E25BDB" w:rsidRPr="009C69EB" w14:paraId="1B1D7D2B" w14:textId="77777777" w:rsidTr="00D73B69">
        <w:trPr>
          <w:trHeight w:val="300"/>
        </w:trPr>
        <w:tc>
          <w:tcPr>
            <w:tcW w:w="1200" w:type="dxa"/>
            <w:shd w:val="clear" w:color="auto" w:fill="auto"/>
            <w:noWrap/>
            <w:vAlign w:val="bottom"/>
            <w:hideMark/>
          </w:tcPr>
          <w:p w14:paraId="2D5E5A44"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Israel</w:t>
            </w:r>
          </w:p>
        </w:tc>
        <w:tc>
          <w:tcPr>
            <w:tcW w:w="1200" w:type="dxa"/>
            <w:shd w:val="clear" w:color="auto" w:fill="auto"/>
            <w:noWrap/>
            <w:vAlign w:val="bottom"/>
            <w:hideMark/>
          </w:tcPr>
          <w:p w14:paraId="17B9B9B3"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1</w:t>
            </w:r>
          </w:p>
        </w:tc>
        <w:tc>
          <w:tcPr>
            <w:tcW w:w="1200" w:type="dxa"/>
            <w:shd w:val="clear" w:color="auto" w:fill="auto"/>
            <w:noWrap/>
            <w:vAlign w:val="bottom"/>
            <w:hideMark/>
          </w:tcPr>
          <w:p w14:paraId="4B15B715"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03</w:t>
            </w:r>
          </w:p>
        </w:tc>
      </w:tr>
      <w:tr w:rsidR="00E25BDB" w:rsidRPr="009C69EB" w14:paraId="5949DBF3" w14:textId="77777777" w:rsidTr="00D73B69">
        <w:trPr>
          <w:trHeight w:val="300"/>
        </w:trPr>
        <w:tc>
          <w:tcPr>
            <w:tcW w:w="1200" w:type="dxa"/>
            <w:shd w:val="clear" w:color="auto" w:fill="auto"/>
            <w:noWrap/>
            <w:vAlign w:val="bottom"/>
            <w:hideMark/>
          </w:tcPr>
          <w:p w14:paraId="55579A9C"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Hungary</w:t>
            </w:r>
          </w:p>
        </w:tc>
        <w:tc>
          <w:tcPr>
            <w:tcW w:w="1200" w:type="dxa"/>
            <w:shd w:val="clear" w:color="auto" w:fill="auto"/>
            <w:noWrap/>
            <w:vAlign w:val="bottom"/>
            <w:hideMark/>
          </w:tcPr>
          <w:p w14:paraId="1CD33129"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1</w:t>
            </w:r>
          </w:p>
        </w:tc>
        <w:tc>
          <w:tcPr>
            <w:tcW w:w="1200" w:type="dxa"/>
            <w:shd w:val="clear" w:color="auto" w:fill="auto"/>
            <w:noWrap/>
            <w:vAlign w:val="bottom"/>
            <w:hideMark/>
          </w:tcPr>
          <w:p w14:paraId="6D11A73E"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08</w:t>
            </w:r>
          </w:p>
        </w:tc>
      </w:tr>
      <w:tr w:rsidR="00E25BDB" w:rsidRPr="009C69EB" w14:paraId="66FEB648" w14:textId="77777777" w:rsidTr="00D73B69">
        <w:trPr>
          <w:trHeight w:val="300"/>
        </w:trPr>
        <w:tc>
          <w:tcPr>
            <w:tcW w:w="1200" w:type="dxa"/>
            <w:shd w:val="clear" w:color="auto" w:fill="auto"/>
            <w:noWrap/>
            <w:vAlign w:val="bottom"/>
            <w:hideMark/>
          </w:tcPr>
          <w:p w14:paraId="0187DECF"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UK</w:t>
            </w:r>
          </w:p>
        </w:tc>
        <w:tc>
          <w:tcPr>
            <w:tcW w:w="1200" w:type="dxa"/>
            <w:shd w:val="clear" w:color="auto" w:fill="auto"/>
            <w:noWrap/>
            <w:vAlign w:val="bottom"/>
            <w:hideMark/>
          </w:tcPr>
          <w:p w14:paraId="547B6365"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1</w:t>
            </w:r>
          </w:p>
        </w:tc>
        <w:tc>
          <w:tcPr>
            <w:tcW w:w="1200" w:type="dxa"/>
            <w:shd w:val="clear" w:color="auto" w:fill="auto"/>
            <w:noWrap/>
            <w:vAlign w:val="bottom"/>
            <w:hideMark/>
          </w:tcPr>
          <w:p w14:paraId="1CA0FC60"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08</w:t>
            </w:r>
          </w:p>
        </w:tc>
      </w:tr>
      <w:tr w:rsidR="00E25BDB" w:rsidRPr="009C69EB" w14:paraId="74E8D853" w14:textId="77777777" w:rsidTr="00D73B69">
        <w:trPr>
          <w:trHeight w:val="300"/>
        </w:trPr>
        <w:tc>
          <w:tcPr>
            <w:tcW w:w="1200" w:type="dxa"/>
            <w:shd w:val="clear" w:color="auto" w:fill="auto"/>
            <w:noWrap/>
            <w:vAlign w:val="bottom"/>
            <w:hideMark/>
          </w:tcPr>
          <w:p w14:paraId="54A3C5F7"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Denmark</w:t>
            </w:r>
          </w:p>
        </w:tc>
        <w:tc>
          <w:tcPr>
            <w:tcW w:w="1200" w:type="dxa"/>
            <w:shd w:val="clear" w:color="auto" w:fill="auto"/>
            <w:noWrap/>
            <w:vAlign w:val="bottom"/>
            <w:hideMark/>
          </w:tcPr>
          <w:p w14:paraId="29EE7E75"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1</w:t>
            </w:r>
          </w:p>
        </w:tc>
        <w:tc>
          <w:tcPr>
            <w:tcW w:w="1200" w:type="dxa"/>
            <w:shd w:val="clear" w:color="auto" w:fill="auto"/>
            <w:noWrap/>
            <w:vAlign w:val="bottom"/>
            <w:hideMark/>
          </w:tcPr>
          <w:p w14:paraId="3D760D4B"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08</w:t>
            </w:r>
          </w:p>
        </w:tc>
      </w:tr>
      <w:tr w:rsidR="00E25BDB" w:rsidRPr="009C69EB" w14:paraId="34FB9540" w14:textId="77777777" w:rsidTr="00D73B69">
        <w:trPr>
          <w:trHeight w:val="300"/>
        </w:trPr>
        <w:tc>
          <w:tcPr>
            <w:tcW w:w="1200" w:type="dxa"/>
            <w:shd w:val="clear" w:color="auto" w:fill="auto"/>
            <w:noWrap/>
            <w:vAlign w:val="bottom"/>
            <w:hideMark/>
          </w:tcPr>
          <w:p w14:paraId="23BFDF71"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Belgium</w:t>
            </w:r>
          </w:p>
        </w:tc>
        <w:tc>
          <w:tcPr>
            <w:tcW w:w="1200" w:type="dxa"/>
            <w:shd w:val="clear" w:color="auto" w:fill="auto"/>
            <w:noWrap/>
            <w:vAlign w:val="bottom"/>
            <w:hideMark/>
          </w:tcPr>
          <w:p w14:paraId="12EBAC20"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1</w:t>
            </w:r>
          </w:p>
        </w:tc>
        <w:tc>
          <w:tcPr>
            <w:tcW w:w="1200" w:type="dxa"/>
            <w:shd w:val="clear" w:color="auto" w:fill="auto"/>
            <w:noWrap/>
            <w:vAlign w:val="bottom"/>
            <w:hideMark/>
          </w:tcPr>
          <w:p w14:paraId="7636F255"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07</w:t>
            </w:r>
          </w:p>
        </w:tc>
      </w:tr>
      <w:tr w:rsidR="00E25BDB" w:rsidRPr="009C69EB" w14:paraId="60E54039" w14:textId="77777777" w:rsidTr="00D73B69">
        <w:trPr>
          <w:trHeight w:val="300"/>
        </w:trPr>
        <w:tc>
          <w:tcPr>
            <w:tcW w:w="1200" w:type="dxa"/>
            <w:shd w:val="clear" w:color="auto" w:fill="auto"/>
            <w:noWrap/>
            <w:vAlign w:val="bottom"/>
            <w:hideMark/>
          </w:tcPr>
          <w:p w14:paraId="32998128"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Estonia</w:t>
            </w:r>
          </w:p>
        </w:tc>
        <w:tc>
          <w:tcPr>
            <w:tcW w:w="1200" w:type="dxa"/>
            <w:shd w:val="clear" w:color="auto" w:fill="auto"/>
            <w:noWrap/>
            <w:vAlign w:val="bottom"/>
            <w:hideMark/>
          </w:tcPr>
          <w:p w14:paraId="45FCAB41"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1</w:t>
            </w:r>
          </w:p>
        </w:tc>
        <w:tc>
          <w:tcPr>
            <w:tcW w:w="1200" w:type="dxa"/>
            <w:shd w:val="clear" w:color="auto" w:fill="auto"/>
            <w:noWrap/>
            <w:vAlign w:val="bottom"/>
            <w:hideMark/>
          </w:tcPr>
          <w:p w14:paraId="0942C0A5"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07</w:t>
            </w:r>
          </w:p>
        </w:tc>
      </w:tr>
      <w:tr w:rsidR="00E25BDB" w:rsidRPr="009C69EB" w14:paraId="5B4799AB" w14:textId="77777777" w:rsidTr="00D73B69">
        <w:trPr>
          <w:trHeight w:val="300"/>
        </w:trPr>
        <w:tc>
          <w:tcPr>
            <w:tcW w:w="1200" w:type="dxa"/>
            <w:shd w:val="clear" w:color="auto" w:fill="auto"/>
            <w:noWrap/>
            <w:vAlign w:val="bottom"/>
            <w:hideMark/>
          </w:tcPr>
          <w:p w14:paraId="55DDB315"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Sweden</w:t>
            </w:r>
          </w:p>
        </w:tc>
        <w:tc>
          <w:tcPr>
            <w:tcW w:w="1200" w:type="dxa"/>
            <w:shd w:val="clear" w:color="auto" w:fill="auto"/>
            <w:noWrap/>
            <w:vAlign w:val="bottom"/>
            <w:hideMark/>
          </w:tcPr>
          <w:p w14:paraId="352C0771"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1</w:t>
            </w:r>
          </w:p>
        </w:tc>
        <w:tc>
          <w:tcPr>
            <w:tcW w:w="1200" w:type="dxa"/>
            <w:shd w:val="clear" w:color="auto" w:fill="auto"/>
            <w:noWrap/>
            <w:vAlign w:val="bottom"/>
            <w:hideMark/>
          </w:tcPr>
          <w:p w14:paraId="75265995"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09</w:t>
            </w:r>
          </w:p>
        </w:tc>
      </w:tr>
      <w:tr w:rsidR="00E25BDB" w:rsidRPr="009C69EB" w14:paraId="655F8C60" w14:textId="77777777" w:rsidTr="00D73B69">
        <w:trPr>
          <w:trHeight w:val="300"/>
        </w:trPr>
        <w:tc>
          <w:tcPr>
            <w:tcW w:w="1200" w:type="dxa"/>
            <w:shd w:val="clear" w:color="auto" w:fill="auto"/>
            <w:noWrap/>
            <w:vAlign w:val="bottom"/>
            <w:hideMark/>
          </w:tcPr>
          <w:p w14:paraId="64DF2EBA"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Austria</w:t>
            </w:r>
          </w:p>
        </w:tc>
        <w:tc>
          <w:tcPr>
            <w:tcW w:w="1200" w:type="dxa"/>
            <w:shd w:val="clear" w:color="auto" w:fill="auto"/>
            <w:noWrap/>
            <w:vAlign w:val="bottom"/>
            <w:hideMark/>
          </w:tcPr>
          <w:p w14:paraId="61108E34"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2</w:t>
            </w:r>
          </w:p>
        </w:tc>
        <w:tc>
          <w:tcPr>
            <w:tcW w:w="1200" w:type="dxa"/>
            <w:shd w:val="clear" w:color="auto" w:fill="auto"/>
            <w:noWrap/>
            <w:vAlign w:val="bottom"/>
            <w:hideMark/>
          </w:tcPr>
          <w:p w14:paraId="532C4BAA"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11</w:t>
            </w:r>
          </w:p>
        </w:tc>
      </w:tr>
      <w:tr w:rsidR="00E25BDB" w:rsidRPr="009C69EB" w14:paraId="28D0B8FC" w14:textId="77777777" w:rsidTr="00D73B69">
        <w:trPr>
          <w:trHeight w:val="300"/>
        </w:trPr>
        <w:tc>
          <w:tcPr>
            <w:tcW w:w="1200" w:type="dxa"/>
            <w:shd w:val="clear" w:color="auto" w:fill="auto"/>
            <w:noWrap/>
            <w:vAlign w:val="bottom"/>
            <w:hideMark/>
          </w:tcPr>
          <w:p w14:paraId="1D9933FE"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Norway</w:t>
            </w:r>
          </w:p>
        </w:tc>
        <w:tc>
          <w:tcPr>
            <w:tcW w:w="1200" w:type="dxa"/>
            <w:shd w:val="clear" w:color="auto" w:fill="auto"/>
            <w:noWrap/>
            <w:vAlign w:val="bottom"/>
            <w:hideMark/>
          </w:tcPr>
          <w:p w14:paraId="196C4715"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2</w:t>
            </w:r>
          </w:p>
        </w:tc>
        <w:tc>
          <w:tcPr>
            <w:tcW w:w="1200" w:type="dxa"/>
            <w:shd w:val="clear" w:color="auto" w:fill="auto"/>
            <w:noWrap/>
            <w:vAlign w:val="bottom"/>
            <w:hideMark/>
          </w:tcPr>
          <w:p w14:paraId="69EF9FC2"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14</w:t>
            </w:r>
          </w:p>
        </w:tc>
      </w:tr>
      <w:tr w:rsidR="00E25BDB" w:rsidRPr="009C69EB" w14:paraId="6AE98D6D" w14:textId="77777777" w:rsidTr="00D73B69">
        <w:trPr>
          <w:trHeight w:val="300"/>
        </w:trPr>
        <w:tc>
          <w:tcPr>
            <w:tcW w:w="1200" w:type="dxa"/>
            <w:shd w:val="clear" w:color="auto" w:fill="auto"/>
            <w:noWrap/>
            <w:vAlign w:val="bottom"/>
            <w:hideMark/>
          </w:tcPr>
          <w:p w14:paraId="6A55576A"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Finland</w:t>
            </w:r>
          </w:p>
        </w:tc>
        <w:tc>
          <w:tcPr>
            <w:tcW w:w="1200" w:type="dxa"/>
            <w:shd w:val="clear" w:color="auto" w:fill="auto"/>
            <w:noWrap/>
            <w:vAlign w:val="bottom"/>
            <w:hideMark/>
          </w:tcPr>
          <w:p w14:paraId="67075C5D"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3</w:t>
            </w:r>
          </w:p>
        </w:tc>
        <w:tc>
          <w:tcPr>
            <w:tcW w:w="1200" w:type="dxa"/>
            <w:shd w:val="clear" w:color="auto" w:fill="auto"/>
            <w:noWrap/>
            <w:vAlign w:val="bottom"/>
            <w:hideMark/>
          </w:tcPr>
          <w:p w14:paraId="206F5A57"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15</w:t>
            </w:r>
          </w:p>
        </w:tc>
      </w:tr>
      <w:tr w:rsidR="00E25BDB" w:rsidRPr="009C69EB" w14:paraId="2474942E" w14:textId="77777777" w:rsidTr="00D73B69">
        <w:trPr>
          <w:trHeight w:val="300"/>
        </w:trPr>
        <w:tc>
          <w:tcPr>
            <w:tcW w:w="1200" w:type="dxa"/>
            <w:shd w:val="clear" w:color="auto" w:fill="auto"/>
            <w:noWrap/>
            <w:vAlign w:val="bottom"/>
            <w:hideMark/>
          </w:tcPr>
          <w:p w14:paraId="1CE375ED"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Czech Rep</w:t>
            </w:r>
          </w:p>
        </w:tc>
        <w:tc>
          <w:tcPr>
            <w:tcW w:w="1200" w:type="dxa"/>
            <w:shd w:val="clear" w:color="auto" w:fill="auto"/>
            <w:noWrap/>
            <w:vAlign w:val="bottom"/>
            <w:hideMark/>
          </w:tcPr>
          <w:p w14:paraId="5D2FCB27"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3</w:t>
            </w:r>
          </w:p>
        </w:tc>
        <w:tc>
          <w:tcPr>
            <w:tcW w:w="1200" w:type="dxa"/>
            <w:shd w:val="clear" w:color="auto" w:fill="auto"/>
            <w:noWrap/>
            <w:vAlign w:val="bottom"/>
            <w:hideMark/>
          </w:tcPr>
          <w:p w14:paraId="0D919101"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17</w:t>
            </w:r>
          </w:p>
        </w:tc>
      </w:tr>
      <w:tr w:rsidR="00E25BDB" w:rsidRPr="009C69EB" w14:paraId="4FECA50E" w14:textId="77777777" w:rsidTr="00D73B69">
        <w:trPr>
          <w:trHeight w:val="300"/>
        </w:trPr>
        <w:tc>
          <w:tcPr>
            <w:tcW w:w="1200" w:type="dxa"/>
            <w:shd w:val="clear" w:color="auto" w:fill="auto"/>
            <w:noWrap/>
            <w:vAlign w:val="bottom"/>
            <w:hideMark/>
          </w:tcPr>
          <w:p w14:paraId="276560C2"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 xml:space="preserve">France </w:t>
            </w:r>
          </w:p>
        </w:tc>
        <w:tc>
          <w:tcPr>
            <w:tcW w:w="1200" w:type="dxa"/>
            <w:shd w:val="clear" w:color="auto" w:fill="auto"/>
            <w:noWrap/>
            <w:vAlign w:val="bottom"/>
            <w:hideMark/>
          </w:tcPr>
          <w:p w14:paraId="773DC738"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3</w:t>
            </w:r>
          </w:p>
        </w:tc>
        <w:tc>
          <w:tcPr>
            <w:tcW w:w="1200" w:type="dxa"/>
            <w:shd w:val="clear" w:color="auto" w:fill="auto"/>
            <w:noWrap/>
            <w:vAlign w:val="bottom"/>
            <w:hideMark/>
          </w:tcPr>
          <w:p w14:paraId="181099E5"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15</w:t>
            </w:r>
          </w:p>
        </w:tc>
      </w:tr>
      <w:tr w:rsidR="00E25BDB" w:rsidRPr="009C69EB" w14:paraId="14B17065" w14:textId="77777777" w:rsidTr="00D73B69">
        <w:trPr>
          <w:trHeight w:val="300"/>
        </w:trPr>
        <w:tc>
          <w:tcPr>
            <w:tcW w:w="1200" w:type="dxa"/>
            <w:shd w:val="clear" w:color="auto" w:fill="auto"/>
            <w:noWrap/>
            <w:vAlign w:val="bottom"/>
            <w:hideMark/>
          </w:tcPr>
          <w:p w14:paraId="4484F323"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Germany</w:t>
            </w:r>
          </w:p>
        </w:tc>
        <w:tc>
          <w:tcPr>
            <w:tcW w:w="1200" w:type="dxa"/>
            <w:shd w:val="clear" w:color="auto" w:fill="auto"/>
            <w:noWrap/>
            <w:vAlign w:val="bottom"/>
            <w:hideMark/>
          </w:tcPr>
          <w:p w14:paraId="3B705284"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4</w:t>
            </w:r>
          </w:p>
        </w:tc>
        <w:tc>
          <w:tcPr>
            <w:tcW w:w="1200" w:type="dxa"/>
            <w:shd w:val="clear" w:color="auto" w:fill="auto"/>
            <w:noWrap/>
            <w:vAlign w:val="bottom"/>
            <w:hideMark/>
          </w:tcPr>
          <w:p w14:paraId="5F1A72C2"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13</w:t>
            </w:r>
          </w:p>
        </w:tc>
      </w:tr>
      <w:tr w:rsidR="00E25BDB" w:rsidRPr="009C69EB" w14:paraId="6C1E021B" w14:textId="77777777" w:rsidTr="00D73B69">
        <w:trPr>
          <w:trHeight w:val="300"/>
        </w:trPr>
        <w:tc>
          <w:tcPr>
            <w:tcW w:w="1200" w:type="dxa"/>
            <w:shd w:val="clear" w:color="auto" w:fill="auto"/>
            <w:noWrap/>
            <w:vAlign w:val="bottom"/>
            <w:hideMark/>
          </w:tcPr>
          <w:p w14:paraId="76318617"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Spain</w:t>
            </w:r>
          </w:p>
        </w:tc>
        <w:tc>
          <w:tcPr>
            <w:tcW w:w="1200" w:type="dxa"/>
            <w:shd w:val="clear" w:color="auto" w:fill="auto"/>
            <w:noWrap/>
            <w:vAlign w:val="bottom"/>
            <w:hideMark/>
          </w:tcPr>
          <w:p w14:paraId="64F2116C"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4</w:t>
            </w:r>
          </w:p>
        </w:tc>
        <w:tc>
          <w:tcPr>
            <w:tcW w:w="1200" w:type="dxa"/>
            <w:shd w:val="clear" w:color="auto" w:fill="auto"/>
            <w:noWrap/>
            <w:vAlign w:val="bottom"/>
            <w:hideMark/>
          </w:tcPr>
          <w:p w14:paraId="359339D2"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17</w:t>
            </w:r>
          </w:p>
        </w:tc>
      </w:tr>
      <w:tr w:rsidR="00E25BDB" w:rsidRPr="009C69EB" w14:paraId="388473F5" w14:textId="77777777" w:rsidTr="00D73B69">
        <w:trPr>
          <w:trHeight w:val="300"/>
        </w:trPr>
        <w:tc>
          <w:tcPr>
            <w:tcW w:w="1200" w:type="dxa"/>
            <w:shd w:val="clear" w:color="auto" w:fill="auto"/>
            <w:noWrap/>
            <w:vAlign w:val="bottom"/>
            <w:hideMark/>
          </w:tcPr>
          <w:p w14:paraId="5643B753"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Poland</w:t>
            </w:r>
          </w:p>
        </w:tc>
        <w:tc>
          <w:tcPr>
            <w:tcW w:w="1200" w:type="dxa"/>
            <w:shd w:val="clear" w:color="auto" w:fill="auto"/>
            <w:noWrap/>
            <w:vAlign w:val="bottom"/>
            <w:hideMark/>
          </w:tcPr>
          <w:p w14:paraId="7EDCCC2E"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1.</w:t>
            </w:r>
            <w:r w:rsidRPr="009C69EB">
              <w:rPr>
                <w:rFonts w:ascii="Times New Roman" w:eastAsia="Times New Roman" w:hAnsi="Times New Roman" w:cs="Times New Roman"/>
                <w:color w:val="000000"/>
                <w:sz w:val="24"/>
                <w:szCs w:val="24"/>
                <w:lang w:val="en-GB" w:eastAsia="nb-NO"/>
              </w:rPr>
              <w:t>6</w:t>
            </w:r>
          </w:p>
        </w:tc>
        <w:tc>
          <w:tcPr>
            <w:tcW w:w="1200" w:type="dxa"/>
            <w:shd w:val="clear" w:color="auto" w:fill="auto"/>
            <w:noWrap/>
            <w:vAlign w:val="bottom"/>
            <w:hideMark/>
          </w:tcPr>
          <w:p w14:paraId="77920987"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25</w:t>
            </w:r>
          </w:p>
        </w:tc>
      </w:tr>
      <w:tr w:rsidR="00E25BDB" w:rsidRPr="009C69EB" w14:paraId="67BCB2D1" w14:textId="77777777" w:rsidTr="00D73B69">
        <w:trPr>
          <w:trHeight w:val="300"/>
        </w:trPr>
        <w:tc>
          <w:tcPr>
            <w:tcW w:w="1200" w:type="dxa"/>
            <w:shd w:val="clear" w:color="auto" w:fill="auto"/>
            <w:noWrap/>
            <w:vAlign w:val="bottom"/>
            <w:hideMark/>
          </w:tcPr>
          <w:p w14:paraId="4C6157D8" w14:textId="77777777" w:rsidR="00E25BDB" w:rsidRPr="009C69EB" w:rsidRDefault="00E25BDB" w:rsidP="00D73B69">
            <w:pPr>
              <w:spacing w:after="0" w:line="240" w:lineRule="auto"/>
              <w:rPr>
                <w:rFonts w:ascii="Times New Roman" w:eastAsia="Times New Roman" w:hAnsi="Times New Roman" w:cs="Times New Roman"/>
                <w:color w:val="000000"/>
                <w:sz w:val="24"/>
                <w:szCs w:val="24"/>
                <w:lang w:val="en-GB" w:eastAsia="nb-NO"/>
              </w:rPr>
            </w:pPr>
            <w:r w:rsidRPr="009C69EB">
              <w:rPr>
                <w:rFonts w:ascii="Times New Roman" w:eastAsia="Times New Roman" w:hAnsi="Times New Roman" w:cs="Times New Roman"/>
                <w:color w:val="000000"/>
                <w:sz w:val="24"/>
                <w:szCs w:val="24"/>
                <w:lang w:val="en-GB" w:eastAsia="nb-NO"/>
              </w:rPr>
              <w:t>Portugal</w:t>
            </w:r>
          </w:p>
        </w:tc>
        <w:tc>
          <w:tcPr>
            <w:tcW w:w="1200" w:type="dxa"/>
            <w:shd w:val="clear" w:color="auto" w:fill="auto"/>
            <w:noWrap/>
            <w:vAlign w:val="bottom"/>
            <w:hideMark/>
          </w:tcPr>
          <w:p w14:paraId="4D73CB24"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2.</w:t>
            </w:r>
            <w:r w:rsidRPr="009C69EB">
              <w:rPr>
                <w:rFonts w:ascii="Times New Roman" w:eastAsia="Times New Roman" w:hAnsi="Times New Roman" w:cs="Times New Roman"/>
                <w:color w:val="000000"/>
                <w:sz w:val="24"/>
                <w:szCs w:val="24"/>
                <w:lang w:val="en-GB" w:eastAsia="nb-NO"/>
              </w:rPr>
              <w:t>0</w:t>
            </w:r>
          </w:p>
        </w:tc>
        <w:tc>
          <w:tcPr>
            <w:tcW w:w="1200" w:type="dxa"/>
            <w:shd w:val="clear" w:color="auto" w:fill="auto"/>
            <w:noWrap/>
            <w:vAlign w:val="bottom"/>
            <w:hideMark/>
          </w:tcPr>
          <w:p w14:paraId="6E44FD77" w14:textId="77777777" w:rsidR="00E25BDB" w:rsidRPr="009C69EB" w:rsidRDefault="00E25BDB" w:rsidP="00D73B69">
            <w:pPr>
              <w:spacing w:after="0" w:line="240" w:lineRule="auto"/>
              <w:jc w:val="right"/>
              <w:rPr>
                <w:rFonts w:ascii="Times New Roman" w:eastAsia="Times New Roman" w:hAnsi="Times New Roman" w:cs="Times New Roman"/>
                <w:color w:val="000000"/>
                <w:sz w:val="24"/>
                <w:szCs w:val="24"/>
                <w:lang w:val="en-GB" w:eastAsia="nb-NO"/>
              </w:rPr>
            </w:pPr>
            <w:r>
              <w:rPr>
                <w:rFonts w:ascii="Times New Roman" w:eastAsia="Times New Roman" w:hAnsi="Times New Roman" w:cs="Times New Roman"/>
                <w:color w:val="000000"/>
                <w:sz w:val="24"/>
                <w:szCs w:val="24"/>
                <w:lang w:val="en-GB" w:eastAsia="nb-NO"/>
              </w:rPr>
              <w:t>0.</w:t>
            </w:r>
            <w:r w:rsidRPr="009C69EB">
              <w:rPr>
                <w:rFonts w:ascii="Times New Roman" w:eastAsia="Times New Roman" w:hAnsi="Times New Roman" w:cs="Times New Roman"/>
                <w:color w:val="000000"/>
                <w:sz w:val="24"/>
                <w:szCs w:val="24"/>
                <w:lang w:val="en-GB" w:eastAsia="nb-NO"/>
              </w:rPr>
              <w:t>35</w:t>
            </w:r>
          </w:p>
        </w:tc>
      </w:tr>
    </w:tbl>
    <w:p w14:paraId="4D24EE0B" w14:textId="77777777" w:rsidR="00E25BDB" w:rsidRPr="009C69EB" w:rsidRDefault="00E25BDB" w:rsidP="00D73B69">
      <w:pPr>
        <w:rPr>
          <w:lang w:val="en-GB"/>
        </w:rPr>
      </w:pPr>
    </w:p>
    <w:p w14:paraId="1CCCE7FA" w14:textId="77777777" w:rsidR="00D73B69" w:rsidRDefault="00D73B69"/>
    <w:sectPr w:rsidR="00D73B69" w:rsidSect="004C104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D131C" w14:textId="77777777" w:rsidR="000C585F" w:rsidRDefault="000C585F">
      <w:pPr>
        <w:spacing w:after="0" w:line="240" w:lineRule="auto"/>
      </w:pPr>
      <w:r>
        <w:separator/>
      </w:r>
    </w:p>
  </w:endnote>
  <w:endnote w:type="continuationSeparator" w:id="0">
    <w:p w14:paraId="7579C3CC" w14:textId="77777777" w:rsidR="000C585F" w:rsidRDefault="000C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82097"/>
      <w:docPartObj>
        <w:docPartGallery w:val="Page Numbers (Bottom of Page)"/>
        <w:docPartUnique/>
      </w:docPartObj>
    </w:sdtPr>
    <w:sdtEndPr/>
    <w:sdtContent>
      <w:p w14:paraId="411CA5E7" w14:textId="0B0537C8" w:rsidR="007500AC" w:rsidRDefault="007500AC">
        <w:pPr>
          <w:pStyle w:val="Footer"/>
          <w:jc w:val="center"/>
        </w:pPr>
        <w:r>
          <w:fldChar w:fldCharType="begin"/>
        </w:r>
        <w:r>
          <w:instrText>PAGE   \* MERGEFORMAT</w:instrText>
        </w:r>
        <w:r>
          <w:fldChar w:fldCharType="separate"/>
        </w:r>
        <w:r w:rsidR="009F6895">
          <w:rPr>
            <w:noProof/>
          </w:rPr>
          <w:t>21</w:t>
        </w:r>
        <w:r>
          <w:fldChar w:fldCharType="end"/>
        </w:r>
      </w:p>
    </w:sdtContent>
  </w:sdt>
  <w:p w14:paraId="03157739" w14:textId="77777777" w:rsidR="007500AC" w:rsidRDefault="007500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80470" w14:textId="77777777" w:rsidR="000C585F" w:rsidRDefault="000C585F">
      <w:pPr>
        <w:spacing w:after="0" w:line="240" w:lineRule="auto"/>
      </w:pPr>
      <w:r>
        <w:separator/>
      </w:r>
    </w:p>
  </w:footnote>
  <w:footnote w:type="continuationSeparator" w:id="0">
    <w:p w14:paraId="07AF28AA" w14:textId="77777777" w:rsidR="000C585F" w:rsidRDefault="000C5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049C" w14:textId="77777777" w:rsidR="007500AC" w:rsidRPr="00D802CF" w:rsidRDefault="007500AC" w:rsidP="00D73B69">
    <w:pPr>
      <w:pStyle w:val="Header"/>
      <w:rPr>
        <w:lang w:val="en-US"/>
      </w:rPr>
    </w:pPr>
  </w:p>
  <w:p w14:paraId="4F309509" w14:textId="77777777" w:rsidR="007500AC" w:rsidRDefault="007500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632"/>
    <w:multiLevelType w:val="hybridMultilevel"/>
    <w:tmpl w:val="E9F4BB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0883858"/>
    <w:multiLevelType w:val="hybridMultilevel"/>
    <w:tmpl w:val="8752FC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25BDB"/>
    <w:rsid w:val="0000412A"/>
    <w:rsid w:val="00036B8B"/>
    <w:rsid w:val="00076424"/>
    <w:rsid w:val="000C585F"/>
    <w:rsid w:val="001132EE"/>
    <w:rsid w:val="00140D74"/>
    <w:rsid w:val="00197A7B"/>
    <w:rsid w:val="0021516C"/>
    <w:rsid w:val="002172A3"/>
    <w:rsid w:val="0023345D"/>
    <w:rsid w:val="00286812"/>
    <w:rsid w:val="00297E5C"/>
    <w:rsid w:val="002A0635"/>
    <w:rsid w:val="00310C97"/>
    <w:rsid w:val="00337DCA"/>
    <w:rsid w:val="0036552C"/>
    <w:rsid w:val="00366335"/>
    <w:rsid w:val="003A6036"/>
    <w:rsid w:val="003D31B6"/>
    <w:rsid w:val="003F0562"/>
    <w:rsid w:val="004723B2"/>
    <w:rsid w:val="0047374E"/>
    <w:rsid w:val="00496E9D"/>
    <w:rsid w:val="004C1049"/>
    <w:rsid w:val="004E3F23"/>
    <w:rsid w:val="00505269"/>
    <w:rsid w:val="00512444"/>
    <w:rsid w:val="00517F85"/>
    <w:rsid w:val="00653EFE"/>
    <w:rsid w:val="006721F1"/>
    <w:rsid w:val="006A319F"/>
    <w:rsid w:val="006A3EFB"/>
    <w:rsid w:val="006D1D79"/>
    <w:rsid w:val="006D46A5"/>
    <w:rsid w:val="006F37B5"/>
    <w:rsid w:val="007500AC"/>
    <w:rsid w:val="007816D8"/>
    <w:rsid w:val="00787F75"/>
    <w:rsid w:val="00794427"/>
    <w:rsid w:val="007B499F"/>
    <w:rsid w:val="008650B8"/>
    <w:rsid w:val="008C4105"/>
    <w:rsid w:val="009326BC"/>
    <w:rsid w:val="00941A18"/>
    <w:rsid w:val="00941C7F"/>
    <w:rsid w:val="00986F17"/>
    <w:rsid w:val="009B2E33"/>
    <w:rsid w:val="009B6270"/>
    <w:rsid w:val="009C4E41"/>
    <w:rsid w:val="009F6895"/>
    <w:rsid w:val="00A22EFA"/>
    <w:rsid w:val="00A3024F"/>
    <w:rsid w:val="00A71365"/>
    <w:rsid w:val="00A821DE"/>
    <w:rsid w:val="00AB1700"/>
    <w:rsid w:val="00AF231D"/>
    <w:rsid w:val="00B279AD"/>
    <w:rsid w:val="00B407F1"/>
    <w:rsid w:val="00BB1CEE"/>
    <w:rsid w:val="00BF34FA"/>
    <w:rsid w:val="00C153E9"/>
    <w:rsid w:val="00C45304"/>
    <w:rsid w:val="00C53762"/>
    <w:rsid w:val="00C742D8"/>
    <w:rsid w:val="00C92B17"/>
    <w:rsid w:val="00C95547"/>
    <w:rsid w:val="00C96A0F"/>
    <w:rsid w:val="00CB49ED"/>
    <w:rsid w:val="00D52279"/>
    <w:rsid w:val="00D73B69"/>
    <w:rsid w:val="00D82B71"/>
    <w:rsid w:val="00D877B7"/>
    <w:rsid w:val="00D9029B"/>
    <w:rsid w:val="00D90535"/>
    <w:rsid w:val="00D92BE8"/>
    <w:rsid w:val="00D94423"/>
    <w:rsid w:val="00D96B72"/>
    <w:rsid w:val="00DE59C7"/>
    <w:rsid w:val="00E25BDB"/>
    <w:rsid w:val="00E34685"/>
    <w:rsid w:val="00E4178B"/>
    <w:rsid w:val="00E91DAF"/>
    <w:rsid w:val="00EB2034"/>
    <w:rsid w:val="00EE0123"/>
    <w:rsid w:val="00EF28EF"/>
    <w:rsid w:val="00F10345"/>
    <w:rsid w:val="00F25A08"/>
    <w:rsid w:val="00F86429"/>
    <w:rsid w:val="00FC7997"/>
    <w:rsid w:val="00FD231C"/>
    <w:rsid w:val="00FF7F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C66B7"/>
  <w15:docId w15:val="{BA19055D-9F78-4F90-96B3-C7025FDD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5BDB"/>
    <w:pPr>
      <w:spacing w:after="0" w:line="240" w:lineRule="auto"/>
    </w:pPr>
  </w:style>
  <w:style w:type="paragraph" w:customStyle="1" w:styleId="EndNoteBibliographyTitle">
    <w:name w:val="EndNote Bibliography Title"/>
    <w:basedOn w:val="Normal"/>
    <w:link w:val="EndNoteBibliographyTitleTegn"/>
    <w:rsid w:val="00E25BDB"/>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E25BDB"/>
  </w:style>
  <w:style w:type="character" w:customStyle="1" w:styleId="EndNoteBibliographyTitleTegn">
    <w:name w:val="EndNote Bibliography Title Tegn"/>
    <w:basedOn w:val="NoSpacingChar"/>
    <w:link w:val="EndNoteBibliographyTitle"/>
    <w:rsid w:val="00E25BDB"/>
    <w:rPr>
      <w:rFonts w:ascii="Calibri" w:hAnsi="Calibri"/>
      <w:noProof/>
      <w:lang w:val="en-US"/>
    </w:rPr>
  </w:style>
  <w:style w:type="paragraph" w:customStyle="1" w:styleId="EndNoteBibliography">
    <w:name w:val="EndNote Bibliography"/>
    <w:basedOn w:val="Normal"/>
    <w:link w:val="EndNoteBibliographyTegn"/>
    <w:rsid w:val="00E25BDB"/>
    <w:pPr>
      <w:spacing w:line="240" w:lineRule="auto"/>
    </w:pPr>
    <w:rPr>
      <w:rFonts w:ascii="Calibri" w:hAnsi="Calibri"/>
      <w:noProof/>
      <w:lang w:val="en-US"/>
    </w:rPr>
  </w:style>
  <w:style w:type="character" w:customStyle="1" w:styleId="EndNoteBibliographyTegn">
    <w:name w:val="EndNote Bibliography Tegn"/>
    <w:basedOn w:val="NoSpacingChar"/>
    <w:link w:val="EndNoteBibliography"/>
    <w:rsid w:val="00E25BDB"/>
    <w:rPr>
      <w:rFonts w:ascii="Calibri" w:hAnsi="Calibri"/>
      <w:noProof/>
      <w:lang w:val="en-US"/>
    </w:rPr>
  </w:style>
  <w:style w:type="paragraph" w:styleId="Header">
    <w:name w:val="header"/>
    <w:basedOn w:val="Normal"/>
    <w:link w:val="HeaderChar"/>
    <w:uiPriority w:val="99"/>
    <w:unhideWhenUsed/>
    <w:rsid w:val="00E25B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BDB"/>
  </w:style>
  <w:style w:type="paragraph" w:styleId="Footer">
    <w:name w:val="footer"/>
    <w:basedOn w:val="Normal"/>
    <w:link w:val="FooterChar"/>
    <w:uiPriority w:val="99"/>
    <w:unhideWhenUsed/>
    <w:rsid w:val="00E25B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BDB"/>
  </w:style>
  <w:style w:type="character" w:styleId="Hyperlink">
    <w:name w:val="Hyperlink"/>
    <w:basedOn w:val="DefaultParagraphFont"/>
    <w:uiPriority w:val="99"/>
    <w:unhideWhenUsed/>
    <w:rsid w:val="00E25BDB"/>
    <w:rPr>
      <w:color w:val="0000FF" w:themeColor="hyperlink"/>
      <w:u w:val="single"/>
    </w:rPr>
  </w:style>
  <w:style w:type="paragraph" w:styleId="BalloonText">
    <w:name w:val="Balloon Text"/>
    <w:basedOn w:val="Normal"/>
    <w:link w:val="BalloonTextChar"/>
    <w:uiPriority w:val="99"/>
    <w:semiHidden/>
    <w:unhideWhenUsed/>
    <w:rsid w:val="00E2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BDB"/>
    <w:rPr>
      <w:rFonts w:ascii="Tahoma" w:hAnsi="Tahoma" w:cs="Tahoma"/>
      <w:sz w:val="16"/>
      <w:szCs w:val="16"/>
    </w:rPr>
  </w:style>
  <w:style w:type="paragraph" w:styleId="FootnoteText">
    <w:name w:val="footnote text"/>
    <w:basedOn w:val="Normal"/>
    <w:link w:val="FootnoteTextChar"/>
    <w:uiPriority w:val="99"/>
    <w:semiHidden/>
    <w:unhideWhenUsed/>
    <w:rsid w:val="00E25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BDB"/>
    <w:rPr>
      <w:sz w:val="20"/>
      <w:szCs w:val="20"/>
    </w:rPr>
  </w:style>
  <w:style w:type="character" w:styleId="FootnoteReference">
    <w:name w:val="footnote reference"/>
    <w:basedOn w:val="DefaultParagraphFont"/>
    <w:uiPriority w:val="99"/>
    <w:semiHidden/>
    <w:unhideWhenUsed/>
    <w:rsid w:val="00E25BDB"/>
    <w:rPr>
      <w:vertAlign w:val="superscript"/>
    </w:rPr>
  </w:style>
  <w:style w:type="table" w:styleId="TableGrid">
    <w:name w:val="Table Grid"/>
    <w:basedOn w:val="TableNormal"/>
    <w:uiPriority w:val="59"/>
    <w:rsid w:val="00E2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BDB"/>
    <w:rPr>
      <w:sz w:val="16"/>
      <w:szCs w:val="16"/>
    </w:rPr>
  </w:style>
  <w:style w:type="paragraph" w:styleId="CommentText">
    <w:name w:val="annotation text"/>
    <w:basedOn w:val="Normal"/>
    <w:link w:val="CommentTextChar"/>
    <w:uiPriority w:val="99"/>
    <w:semiHidden/>
    <w:unhideWhenUsed/>
    <w:rsid w:val="00E25BDB"/>
    <w:pPr>
      <w:spacing w:line="240" w:lineRule="auto"/>
    </w:pPr>
    <w:rPr>
      <w:sz w:val="20"/>
      <w:szCs w:val="20"/>
    </w:rPr>
  </w:style>
  <w:style w:type="character" w:customStyle="1" w:styleId="CommentTextChar">
    <w:name w:val="Comment Text Char"/>
    <w:basedOn w:val="DefaultParagraphFont"/>
    <w:link w:val="CommentText"/>
    <w:uiPriority w:val="99"/>
    <w:semiHidden/>
    <w:rsid w:val="00E25BDB"/>
    <w:rPr>
      <w:sz w:val="20"/>
      <w:szCs w:val="20"/>
    </w:rPr>
  </w:style>
  <w:style w:type="paragraph" w:styleId="CommentSubject">
    <w:name w:val="annotation subject"/>
    <w:basedOn w:val="CommentText"/>
    <w:next w:val="CommentText"/>
    <w:link w:val="CommentSubjectChar"/>
    <w:uiPriority w:val="99"/>
    <w:semiHidden/>
    <w:unhideWhenUsed/>
    <w:rsid w:val="00E25BDB"/>
    <w:rPr>
      <w:b/>
      <w:bCs/>
    </w:rPr>
  </w:style>
  <w:style w:type="character" w:customStyle="1" w:styleId="CommentSubjectChar">
    <w:name w:val="Comment Subject Char"/>
    <w:basedOn w:val="CommentTextChar"/>
    <w:link w:val="CommentSubject"/>
    <w:uiPriority w:val="99"/>
    <w:semiHidden/>
    <w:rsid w:val="00E25BDB"/>
    <w:rPr>
      <w:b/>
      <w:bCs/>
      <w:sz w:val="20"/>
      <w:szCs w:val="20"/>
    </w:rPr>
  </w:style>
  <w:style w:type="paragraph" w:styleId="Revision">
    <w:name w:val="Revision"/>
    <w:hidden/>
    <w:uiPriority w:val="99"/>
    <w:semiHidden/>
    <w:rsid w:val="00E25BDB"/>
    <w:pPr>
      <w:spacing w:after="0" w:line="240" w:lineRule="auto"/>
    </w:pPr>
  </w:style>
  <w:style w:type="character" w:customStyle="1" w:styleId="apple-converted-space">
    <w:name w:val="apple-converted-space"/>
    <w:basedOn w:val="DefaultParagraphFont"/>
    <w:rsid w:val="00E25BDB"/>
  </w:style>
  <w:style w:type="character" w:customStyle="1" w:styleId="aqj">
    <w:name w:val="aqj"/>
    <w:basedOn w:val="DefaultParagraphFont"/>
    <w:rsid w:val="00E25BDB"/>
  </w:style>
  <w:style w:type="table" w:customStyle="1" w:styleId="Tabellrutenett1">
    <w:name w:val="Tabellrutenett1"/>
    <w:basedOn w:val="TableNormal"/>
    <w:next w:val="TableGrid"/>
    <w:uiPriority w:val="59"/>
    <w:rsid w:val="00E2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home.ansatt.ntnu.no\erlenfj\Arbeidsmappe%202013-2014%20(ansatt,%20jan14)\ESS7%20data%20(Oct%202015)\ESS7%20data%20recoded%20(Jan%202016)\Data%20GP%20spes%20(2016,%2012,%20Des)\Edited%20figures%20(des)\GP_MB%204a%20and%20spes%20high-low%20CI%20figure%20(08.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ansatt.ntnu.no\erlenfj\Arbeidsmappe%202013-2014%20(ansatt,%20jan14)\ESS7%20data%20(Oct%202015)\ESS7%20data%20recoded%20(Jan%202016)\Data%20GP%20spes%20(2016,%2012,%20Des)\Edited%20figures%20(des)\GP_MB%204a%20and%20spes%20high-low%20CI%20figure%20(08.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ansatt.ntnu.no\erlenfj\Arbeidsmappe%202013-2014%20(ansatt,%20jan14)\ESS7%20data%20(Oct%202015)\ESS7%20data%20recoded%20(Jan%202016)\Data%20GP%20spes%20(2016,%2012,%20Des)\Edited%20figures%20(des)\GP_MB%204a%20and%20spes%20high-low%20CI%20figure%20(08.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ome.ansatt.ntnu.no\erlenfj\Arbeidsmappe%202013-2014%20(ansatt,%20jan14)\ESS7%20data%20(Oct%202015)\ESS7%20data%20recoded%20(Jan%202016)\Data%20GP%20spes%20(2016,%2012,%20Des)\Edited%20figures%20(des)\GP_MB%204a%20and%20spes%20high-low%20CI%20figure%20(08.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ome.ansatt.ntnu.no\erlenfj\Arbeidsmappe%202013-2014%20(ansatt,%20jan14)\ESS7%20data%20(Oct%202015)\ESS7%20data%20recoded%20(Jan%202016)\Data%20GP%20spes%20(2016,%2012,%20Des)\Edited%20figures%20(des)\Kopi%20av%20GP_MB%204a%20and%20spes%20middle-high%20CI%20(09.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ome.ansatt.ntnu.no\erlenfj\Arbeidsmappe%202013-2014%20(ansatt,%20jan14)\ESS7%20data%20(Oct%202015)\ESS7%20data%20recoded%20(Jan%202016)\Data%20GP%20spes%20(2016,%2012,%20Des)\Edited%20figures%20(des)\Kopi%20av%20GP_MB%204a%20and%20spes%20middle-high%20CI%20(09.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ome.ansatt.ntnu.no\erlenfj\Arbeidsmappe%202013-2014%20(ansatt,%20jan14)\ESS7%20data%20(Oct%202015)\ESS7%20data%20recoded%20(Jan%202016)\Data%20GP%20spes%20(2016,%2012,%20Des)\Edited%20figures%20(des)\Kopi%20av%20GP_MB%204a%20and%20spes%20middle-high%20CI%20(09.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Financial strain</a:t>
            </a:r>
          </a:p>
        </c:rich>
      </c:tx>
      <c:overlay val="0"/>
      <c:spPr>
        <a:noFill/>
        <a:ln>
          <a:noFill/>
        </a:ln>
        <a:effectLst/>
      </c:spPr>
    </c:title>
    <c:autoTitleDeleted val="0"/>
    <c:plotArea>
      <c:layout/>
      <c:barChart>
        <c:barDir val="col"/>
        <c:grouping val="clustered"/>
        <c:varyColors val="0"/>
        <c:ser>
          <c:idx val="0"/>
          <c:order val="0"/>
          <c:tx>
            <c:strRef>
              <c:f>'Ark4'!$B$2</c:f>
              <c:strCache>
                <c:ptCount val="1"/>
                <c:pt idx="0">
                  <c:v>GP</c:v>
                </c:pt>
              </c:strCache>
            </c:strRef>
          </c:tx>
          <c:spPr>
            <a:solidFill>
              <a:schemeClr val="dk1">
                <a:tint val="88500"/>
              </a:schemeClr>
            </a:solidFill>
            <a:ln>
              <a:noFill/>
            </a:ln>
            <a:effectLst/>
          </c:spPr>
          <c:invertIfNegative val="0"/>
          <c:errBars>
            <c:errBarType val="both"/>
            <c:errValType val="cust"/>
            <c:noEndCap val="0"/>
            <c:plus>
              <c:numRef>
                <c:f>'Ark4'!$E$3:$E$23</c:f>
                <c:numCache>
                  <c:formatCode>General</c:formatCode>
                  <c:ptCount val="21"/>
                  <c:pt idx="0">
                    <c:v>0.58811721500815328</c:v>
                  </c:pt>
                  <c:pt idx="1">
                    <c:v>0.22270803914878079</c:v>
                  </c:pt>
                  <c:pt idx="2">
                    <c:v>0.31093170686900018</c:v>
                  </c:pt>
                  <c:pt idx="3">
                    <c:v>0.22405549918221168</c:v>
                  </c:pt>
                  <c:pt idx="4">
                    <c:v>0.15527331215408791</c:v>
                  </c:pt>
                  <c:pt idx="5">
                    <c:v>0.66870339753419517</c:v>
                  </c:pt>
                  <c:pt idx="6">
                    <c:v>0.47164285409796092</c:v>
                  </c:pt>
                  <c:pt idx="7">
                    <c:v>0.2613974134715894</c:v>
                  </c:pt>
                  <c:pt idx="8">
                    <c:v>0.29893806230227149</c:v>
                  </c:pt>
                  <c:pt idx="9">
                    <c:v>0.44614019583189646</c:v>
                  </c:pt>
                  <c:pt idx="10">
                    <c:v>0.29372022223751304</c:v>
                  </c:pt>
                  <c:pt idx="11">
                    <c:v>0.30217215872993353</c:v>
                  </c:pt>
                  <c:pt idx="12">
                    <c:v>0.16120625976250436</c:v>
                  </c:pt>
                  <c:pt idx="13">
                    <c:v>0.29102203557744222</c:v>
                  </c:pt>
                  <c:pt idx="14">
                    <c:v>0.1722403135225179</c:v>
                  </c:pt>
                  <c:pt idx="15">
                    <c:v>0.19511795953832456</c:v>
                  </c:pt>
                  <c:pt idx="16">
                    <c:v>0.38093135364736375</c:v>
                  </c:pt>
                  <c:pt idx="17">
                    <c:v>0.35273104404658207</c:v>
                  </c:pt>
                  <c:pt idx="18">
                    <c:v>0.42910449944556817</c:v>
                  </c:pt>
                  <c:pt idx="19">
                    <c:v>0.42594565281533492</c:v>
                  </c:pt>
                  <c:pt idx="20">
                    <c:v>0.69514543337917201</c:v>
                  </c:pt>
                </c:numCache>
              </c:numRef>
            </c:plus>
            <c:minus>
              <c:numRef>
                <c:f>'Ark4'!$D$3:$D$23</c:f>
                <c:numCache>
                  <c:formatCode>General</c:formatCode>
                  <c:ptCount val="21"/>
                  <c:pt idx="0">
                    <c:v>0.29088278499184678</c:v>
                  </c:pt>
                  <c:pt idx="1">
                    <c:v>0.11559196085121914</c:v>
                  </c:pt>
                  <c:pt idx="2">
                    <c:v>0.16086829313099982</c:v>
                  </c:pt>
                  <c:pt idx="3">
                    <c:v>0.18944450081778841</c:v>
                  </c:pt>
                  <c:pt idx="4">
                    <c:v>0.16952668784591218</c:v>
                  </c:pt>
                  <c:pt idx="5">
                    <c:v>0.36389660246580474</c:v>
                  </c:pt>
                  <c:pt idx="6">
                    <c:v>0.287157145902039</c:v>
                  </c:pt>
                  <c:pt idx="7">
                    <c:v>0.21810258652841064</c:v>
                  </c:pt>
                  <c:pt idx="8">
                    <c:v>0.13726193769772843</c:v>
                  </c:pt>
                  <c:pt idx="9">
                    <c:v>0.39145980416810355</c:v>
                  </c:pt>
                  <c:pt idx="10">
                    <c:v>0.30177977776248688</c:v>
                  </c:pt>
                  <c:pt idx="11">
                    <c:v>0.25222784127006637</c:v>
                  </c:pt>
                  <c:pt idx="12">
                    <c:v>0.25089374023749567</c:v>
                  </c:pt>
                  <c:pt idx="13">
                    <c:v>0.24367796442255774</c:v>
                  </c:pt>
                  <c:pt idx="14">
                    <c:v>0.19585968647748209</c:v>
                  </c:pt>
                  <c:pt idx="15">
                    <c:v>0.25538204046167545</c:v>
                  </c:pt>
                  <c:pt idx="16">
                    <c:v>0.30396864635263632</c:v>
                  </c:pt>
                  <c:pt idx="17">
                    <c:v>0.26436895595341792</c:v>
                  </c:pt>
                  <c:pt idx="18">
                    <c:v>0.37399550055443187</c:v>
                  </c:pt>
                  <c:pt idx="19">
                    <c:v>0.33535434718466517</c:v>
                  </c:pt>
                  <c:pt idx="20">
                    <c:v>0.42405456662082774</c:v>
                  </c:pt>
                </c:numCache>
              </c:numRef>
            </c:minus>
            <c:spPr>
              <a:noFill/>
              <a:ln w="9525" cap="flat" cmpd="sng" algn="ctr">
                <a:solidFill>
                  <a:schemeClr val="tx1">
                    <a:lumMod val="65000"/>
                    <a:lumOff val="35000"/>
                  </a:schemeClr>
                </a:solidFill>
                <a:round/>
              </a:ln>
              <a:effectLst/>
            </c:spPr>
          </c:errBars>
          <c:cat>
            <c:strRef>
              <c:f>'Ark4'!$A$3:$A$23</c:f>
              <c:strCache>
                <c:ptCount val="21"/>
                <c:pt idx="0">
                  <c:v>Denmark</c:v>
                </c:pt>
                <c:pt idx="1">
                  <c:v>Estonia(*)</c:v>
                </c:pt>
                <c:pt idx="2">
                  <c:v>Israel*</c:v>
                </c:pt>
                <c:pt idx="3">
                  <c:v>Spain</c:v>
                </c:pt>
                <c:pt idx="4">
                  <c:v>Ireland(*)</c:v>
                </c:pt>
                <c:pt idx="5">
                  <c:v>Norway</c:v>
                </c:pt>
                <c:pt idx="6">
                  <c:v>Slovenia</c:v>
                </c:pt>
                <c:pt idx="7">
                  <c:v>UK</c:v>
                </c:pt>
                <c:pt idx="8">
                  <c:v>Poland*</c:v>
                </c:pt>
                <c:pt idx="9">
                  <c:v>Portugal</c:v>
                </c:pt>
                <c:pt idx="10">
                  <c:v>Switzerland</c:v>
                </c:pt>
                <c:pt idx="11">
                  <c:v>Finland</c:v>
                </c:pt>
                <c:pt idx="12">
                  <c:v>Lithuania</c:v>
                </c:pt>
                <c:pt idx="13">
                  <c:v>Sweden</c:v>
                </c:pt>
                <c:pt idx="14">
                  <c:v>Hungary</c:v>
                </c:pt>
                <c:pt idx="15">
                  <c:v>Czech Rep</c:v>
                </c:pt>
                <c:pt idx="16">
                  <c:v>Austria</c:v>
                </c:pt>
                <c:pt idx="17">
                  <c:v>Netherlands</c:v>
                </c:pt>
                <c:pt idx="18">
                  <c:v>Germany</c:v>
                </c:pt>
                <c:pt idx="19">
                  <c:v>Belgium(*)</c:v>
                </c:pt>
                <c:pt idx="20">
                  <c:v>France(*) </c:v>
                </c:pt>
              </c:strCache>
            </c:strRef>
          </c:cat>
          <c:val>
            <c:numRef>
              <c:f>'Ark4'!$B$3:$B$23</c:f>
              <c:numCache>
                <c:formatCode>General</c:formatCode>
                <c:ptCount val="21"/>
                <c:pt idx="0">
                  <c:v>0.59688278499184677</c:v>
                </c:pt>
                <c:pt idx="1">
                  <c:v>0.76869196085121916</c:v>
                </c:pt>
                <c:pt idx="2">
                  <c:v>0.77606829313099979</c:v>
                </c:pt>
                <c:pt idx="3">
                  <c:v>0.82744450081778842</c:v>
                </c:pt>
                <c:pt idx="4">
                  <c:v>0.82812668784591215</c:v>
                </c:pt>
                <c:pt idx="5">
                  <c:v>0.85429660246580474</c:v>
                </c:pt>
                <c:pt idx="6">
                  <c:v>0.85535714590203904</c:v>
                </c:pt>
                <c:pt idx="7">
                  <c:v>0.89950258652841064</c:v>
                </c:pt>
                <c:pt idx="8">
                  <c:v>0.95776193769772844</c:v>
                </c:pt>
                <c:pt idx="9">
                  <c:v>1.0178598041681035</c:v>
                </c:pt>
                <c:pt idx="10">
                  <c:v>1.0312797777624869</c:v>
                </c:pt>
                <c:pt idx="11">
                  <c:v>1.0535278412700664</c:v>
                </c:pt>
                <c:pt idx="12">
                  <c:v>1.1062937402374957</c:v>
                </c:pt>
                <c:pt idx="13">
                  <c:v>1.1290779644225577</c:v>
                </c:pt>
                <c:pt idx="14">
                  <c:v>1.1380596864774821</c:v>
                </c:pt>
                <c:pt idx="15">
                  <c:v>1.1494820404616755</c:v>
                </c:pt>
                <c:pt idx="16">
                  <c:v>1.1773686463526363</c:v>
                </c:pt>
                <c:pt idx="17">
                  <c:v>1.1778689559534179</c:v>
                </c:pt>
                <c:pt idx="18">
                  <c:v>1.2584955005544318</c:v>
                </c:pt>
                <c:pt idx="19">
                  <c:v>1.4105543471846651</c:v>
                </c:pt>
                <c:pt idx="20">
                  <c:v>1.5989545666208278</c:v>
                </c:pt>
              </c:numCache>
            </c:numRef>
          </c:val>
        </c:ser>
        <c:ser>
          <c:idx val="1"/>
          <c:order val="1"/>
          <c:tx>
            <c:strRef>
              <c:f>'Ark4'!$C$2</c:f>
              <c:strCache>
                <c:ptCount val="1"/>
                <c:pt idx="0">
                  <c:v>Specialist</c:v>
                </c:pt>
              </c:strCache>
            </c:strRef>
          </c:tx>
          <c:spPr>
            <a:solidFill>
              <a:schemeClr val="dk1">
                <a:tint val="55000"/>
              </a:schemeClr>
            </a:solidFill>
            <a:ln>
              <a:noFill/>
            </a:ln>
            <a:effectLst/>
          </c:spPr>
          <c:invertIfNegative val="0"/>
          <c:errBars>
            <c:errBarType val="both"/>
            <c:errValType val="cust"/>
            <c:noEndCap val="0"/>
            <c:plus>
              <c:numRef>
                <c:f>'Ark4'!$G$3:$G$23</c:f>
                <c:numCache>
                  <c:formatCode>General</c:formatCode>
                  <c:ptCount val="21"/>
                  <c:pt idx="0">
                    <c:v>0.25743631919774668</c:v>
                  </c:pt>
                  <c:pt idx="1">
                    <c:v>0.18247262427195754</c:v>
                  </c:pt>
                  <c:pt idx="2">
                    <c:v>0.21708467957764954</c:v>
                  </c:pt>
                  <c:pt idx="3">
                    <c:v>0.22180912726139546</c:v>
                  </c:pt>
                  <c:pt idx="4">
                    <c:v>7.2544950121333107E-2</c:v>
                  </c:pt>
                  <c:pt idx="5">
                    <c:v>0.17037570687874304</c:v>
                  </c:pt>
                  <c:pt idx="6">
                    <c:v>0.20658337936491422</c:v>
                  </c:pt>
                  <c:pt idx="7">
                    <c:v>0.14349690525686087</c:v>
                  </c:pt>
                  <c:pt idx="8">
                    <c:v>0.22805327521488183</c:v>
                  </c:pt>
                  <c:pt idx="9">
                    <c:v>0.2073365569557295</c:v>
                  </c:pt>
                  <c:pt idx="10">
                    <c:v>0.23311742623427345</c:v>
                  </c:pt>
                  <c:pt idx="11">
                    <c:v>0.21993971325160677</c:v>
                  </c:pt>
                  <c:pt idx="12">
                    <c:v>8.4881859804005311E-2</c:v>
                  </c:pt>
                  <c:pt idx="13">
                    <c:v>0.21978785916967059</c:v>
                  </c:pt>
                  <c:pt idx="14">
                    <c:v>0.14068022164912009</c:v>
                  </c:pt>
                  <c:pt idx="15">
                    <c:v>0.14622599833934324</c:v>
                  </c:pt>
                  <c:pt idx="16">
                    <c:v>0.25701595835419111</c:v>
                  </c:pt>
                  <c:pt idx="17">
                    <c:v>0.16511425586216211</c:v>
                  </c:pt>
                  <c:pt idx="18">
                    <c:v>0.30747347218901122</c:v>
                  </c:pt>
                  <c:pt idx="19">
                    <c:v>0.16861259933908668</c:v>
                  </c:pt>
                  <c:pt idx="20">
                    <c:v>0.27297455226368328</c:v>
                  </c:pt>
                </c:numCache>
              </c:numRef>
            </c:plus>
            <c:minus>
              <c:numRef>
                <c:f>'Ark4'!$F$3:$F$23</c:f>
                <c:numCache>
                  <c:formatCode>General</c:formatCode>
                  <c:ptCount val="21"/>
                  <c:pt idx="0">
                    <c:v>0.15276368080225322</c:v>
                  </c:pt>
                  <c:pt idx="1">
                    <c:v>5.5227375728042372E-2</c:v>
                  </c:pt>
                  <c:pt idx="2">
                    <c:v>7.0315320422350447E-2</c:v>
                  </c:pt>
                  <c:pt idx="3">
                    <c:v>2.2490872738604617E-2</c:v>
                  </c:pt>
                  <c:pt idx="4">
                    <c:v>3.1155049878666796E-2</c:v>
                  </c:pt>
                  <c:pt idx="5">
                    <c:v>0.12692429312125697</c:v>
                  </c:pt>
                  <c:pt idx="6">
                    <c:v>0.12761662063508572</c:v>
                  </c:pt>
                  <c:pt idx="7">
                    <c:v>5.1203094743138999E-2</c:v>
                  </c:pt>
                  <c:pt idx="8">
                    <c:v>3.4146724785118154E-2</c:v>
                  </c:pt>
                  <c:pt idx="9">
                    <c:v>7.5963443044270607E-2</c:v>
                  </c:pt>
                  <c:pt idx="10">
                    <c:v>8.3882573765726498E-2</c:v>
                  </c:pt>
                  <c:pt idx="11">
                    <c:v>6.5660286748393193E-2</c:v>
                  </c:pt>
                  <c:pt idx="12">
                    <c:v>8.7618140195994676E-2</c:v>
                  </c:pt>
                  <c:pt idx="13">
                    <c:v>0.10151214083032933</c:v>
                  </c:pt>
                  <c:pt idx="14">
                    <c:v>1.8619778350879912E-2</c:v>
                  </c:pt>
                  <c:pt idx="15">
                    <c:v>2.2874001660656673E-2</c:v>
                  </c:pt>
                  <c:pt idx="16">
                    <c:v>4.7684041645808861E-2</c:v>
                  </c:pt>
                  <c:pt idx="17">
                    <c:v>0.13538574413783788</c:v>
                  </c:pt>
                  <c:pt idx="18">
                    <c:v>0.1168265278109889</c:v>
                  </c:pt>
                  <c:pt idx="19">
                    <c:v>8.4987400660913259E-2</c:v>
                  </c:pt>
                  <c:pt idx="20">
                    <c:v>6.2925447736316809E-2</c:v>
                  </c:pt>
                </c:numCache>
              </c:numRef>
            </c:minus>
            <c:spPr>
              <a:noFill/>
              <a:ln w="9525" cap="flat" cmpd="sng" algn="ctr">
                <a:solidFill>
                  <a:schemeClr val="tx1">
                    <a:lumMod val="65000"/>
                    <a:lumOff val="35000"/>
                  </a:schemeClr>
                </a:solidFill>
                <a:round/>
              </a:ln>
              <a:effectLst/>
            </c:spPr>
          </c:errBars>
          <c:cat>
            <c:strRef>
              <c:f>'Ark4'!$A$3:$A$23</c:f>
              <c:strCache>
                <c:ptCount val="21"/>
                <c:pt idx="0">
                  <c:v>Denmark</c:v>
                </c:pt>
                <c:pt idx="1">
                  <c:v>Estonia(*)</c:v>
                </c:pt>
                <c:pt idx="2">
                  <c:v>Israel*</c:v>
                </c:pt>
                <c:pt idx="3">
                  <c:v>Spain</c:v>
                </c:pt>
                <c:pt idx="4">
                  <c:v>Ireland(*)</c:v>
                </c:pt>
                <c:pt idx="5">
                  <c:v>Norway</c:v>
                </c:pt>
                <c:pt idx="6">
                  <c:v>Slovenia</c:v>
                </c:pt>
                <c:pt idx="7">
                  <c:v>UK</c:v>
                </c:pt>
                <c:pt idx="8">
                  <c:v>Poland*</c:v>
                </c:pt>
                <c:pt idx="9">
                  <c:v>Portugal</c:v>
                </c:pt>
                <c:pt idx="10">
                  <c:v>Switzerland</c:v>
                </c:pt>
                <c:pt idx="11">
                  <c:v>Finland</c:v>
                </c:pt>
                <c:pt idx="12">
                  <c:v>Lithuania</c:v>
                </c:pt>
                <c:pt idx="13">
                  <c:v>Sweden</c:v>
                </c:pt>
                <c:pt idx="14">
                  <c:v>Hungary</c:v>
                </c:pt>
                <c:pt idx="15">
                  <c:v>Czech Rep</c:v>
                </c:pt>
                <c:pt idx="16">
                  <c:v>Austria</c:v>
                </c:pt>
                <c:pt idx="17">
                  <c:v>Netherlands</c:v>
                </c:pt>
                <c:pt idx="18">
                  <c:v>Germany</c:v>
                </c:pt>
                <c:pt idx="19">
                  <c:v>Belgium(*)</c:v>
                </c:pt>
                <c:pt idx="20">
                  <c:v>France(*) </c:v>
                </c:pt>
              </c:strCache>
            </c:strRef>
          </c:cat>
          <c:val>
            <c:numRef>
              <c:f>'Ark4'!$C$3:$C$23</c:f>
              <c:numCache>
                <c:formatCode>General</c:formatCode>
                <c:ptCount val="21"/>
                <c:pt idx="0">
                  <c:v>1.1221636808022533</c:v>
                </c:pt>
                <c:pt idx="1">
                  <c:v>0.97972737572804236</c:v>
                </c:pt>
                <c:pt idx="2">
                  <c:v>0.79541532042235041</c:v>
                </c:pt>
                <c:pt idx="3">
                  <c:v>0.99369087273860457</c:v>
                </c:pt>
                <c:pt idx="4">
                  <c:v>0.98885504987866679</c:v>
                </c:pt>
                <c:pt idx="5">
                  <c:v>0.98292429312125695</c:v>
                </c:pt>
                <c:pt idx="6">
                  <c:v>0.93551662063508567</c:v>
                </c:pt>
                <c:pt idx="7">
                  <c:v>0.93810309474313902</c:v>
                </c:pt>
                <c:pt idx="8">
                  <c:v>1.1069467247851181</c:v>
                </c:pt>
                <c:pt idx="9">
                  <c:v>1.0602634430442706</c:v>
                </c:pt>
                <c:pt idx="10">
                  <c:v>1.0238825737657264</c:v>
                </c:pt>
                <c:pt idx="11">
                  <c:v>0.88876028674839325</c:v>
                </c:pt>
                <c:pt idx="12">
                  <c:v>0.99211814019599465</c:v>
                </c:pt>
                <c:pt idx="13">
                  <c:v>0.95611214083032936</c:v>
                </c:pt>
                <c:pt idx="14">
                  <c:v>0.94451977835087986</c:v>
                </c:pt>
                <c:pt idx="15">
                  <c:v>0.99957400166065669</c:v>
                </c:pt>
                <c:pt idx="16">
                  <c:v>0.92878404164580886</c:v>
                </c:pt>
                <c:pt idx="17">
                  <c:v>1.0487857441378379</c:v>
                </c:pt>
                <c:pt idx="18">
                  <c:v>0.97402652781098886</c:v>
                </c:pt>
                <c:pt idx="19">
                  <c:v>0.98528740066091325</c:v>
                </c:pt>
                <c:pt idx="20">
                  <c:v>1.0816254477363167</c:v>
                </c:pt>
              </c:numCache>
            </c:numRef>
          </c:val>
        </c:ser>
        <c:dLbls>
          <c:showLegendKey val="0"/>
          <c:showVal val="0"/>
          <c:showCatName val="0"/>
          <c:showSerName val="0"/>
          <c:showPercent val="0"/>
          <c:showBubbleSize val="0"/>
        </c:dLbls>
        <c:gapWidth val="219"/>
        <c:overlap val="-27"/>
        <c:axId val="865774984"/>
        <c:axId val="716580184"/>
      </c:barChart>
      <c:catAx>
        <c:axId val="86577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80184"/>
        <c:crosses val="autoZero"/>
        <c:auto val="1"/>
        <c:lblAlgn val="ctr"/>
        <c:lblOffset val="100"/>
        <c:noMultiLvlLbl val="0"/>
      </c:catAx>
      <c:valAx>
        <c:axId val="716580184"/>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nb-NO"/>
                  <a:t>ARR</a:t>
                </a:r>
              </a:p>
            </c:rich>
          </c:tx>
          <c:overlay val="0"/>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774984"/>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Occupation</a:t>
            </a:r>
          </a:p>
        </c:rich>
      </c:tx>
      <c:overlay val="0"/>
      <c:spPr>
        <a:noFill/>
        <a:ln>
          <a:noFill/>
        </a:ln>
        <a:effectLst/>
      </c:spPr>
    </c:title>
    <c:autoTitleDeleted val="0"/>
    <c:plotArea>
      <c:layout/>
      <c:barChart>
        <c:barDir val="col"/>
        <c:grouping val="clustered"/>
        <c:varyColors val="0"/>
        <c:ser>
          <c:idx val="0"/>
          <c:order val="0"/>
          <c:tx>
            <c:strRef>
              <c:f>'Ark5'!$C$2</c:f>
              <c:strCache>
                <c:ptCount val="1"/>
                <c:pt idx="0">
                  <c:v>GP</c:v>
                </c:pt>
              </c:strCache>
            </c:strRef>
          </c:tx>
          <c:spPr>
            <a:solidFill>
              <a:schemeClr val="dk1">
                <a:tint val="88500"/>
              </a:schemeClr>
            </a:solidFill>
            <a:ln>
              <a:noFill/>
            </a:ln>
            <a:effectLst/>
          </c:spPr>
          <c:invertIfNegative val="0"/>
          <c:errBars>
            <c:errBarType val="both"/>
            <c:errValType val="cust"/>
            <c:noEndCap val="0"/>
            <c:plus>
              <c:numRef>
                <c:f>'Ark5'!$F$3:$F$23</c:f>
                <c:numCache>
                  <c:formatCode>General</c:formatCode>
                  <c:ptCount val="21"/>
                  <c:pt idx="0">
                    <c:v>0.23112484399611932</c:v>
                  </c:pt>
                  <c:pt idx="1">
                    <c:v>0.40010198042660761</c:v>
                  </c:pt>
                  <c:pt idx="2">
                    <c:v>0.30998726022159695</c:v>
                  </c:pt>
                  <c:pt idx="3">
                    <c:v>0.26614469552578934</c:v>
                  </c:pt>
                  <c:pt idx="4">
                    <c:v>0.18231854674381054</c:v>
                  </c:pt>
                  <c:pt idx="5">
                    <c:v>0.25392147712377999</c:v>
                  </c:pt>
                  <c:pt idx="6">
                    <c:v>0.2437660585404634</c:v>
                  </c:pt>
                  <c:pt idx="7">
                    <c:v>0.54105371608452746</c:v>
                  </c:pt>
                  <c:pt idx="8">
                    <c:v>0.32889822668487012</c:v>
                  </c:pt>
                  <c:pt idx="9">
                    <c:v>0.34458009175972437</c:v>
                  </c:pt>
                  <c:pt idx="10">
                    <c:v>0.30718084660602996</c:v>
                  </c:pt>
                  <c:pt idx="11">
                    <c:v>0.44923398787706748</c:v>
                  </c:pt>
                  <c:pt idx="12">
                    <c:v>0.31442929676320031</c:v>
                  </c:pt>
                  <c:pt idx="13">
                    <c:v>0.45234725710085266</c:v>
                  </c:pt>
                  <c:pt idx="14">
                    <c:v>0.30570304244691981</c:v>
                  </c:pt>
                  <c:pt idx="15">
                    <c:v>0.45804800669105505</c:v>
                  </c:pt>
                  <c:pt idx="16">
                    <c:v>0.27765414996489479</c:v>
                  </c:pt>
                  <c:pt idx="17">
                    <c:v>0.46753964697808525</c:v>
                  </c:pt>
                  <c:pt idx="18">
                    <c:v>0.27759588073743058</c:v>
                  </c:pt>
                  <c:pt idx="19">
                    <c:v>0.33064281608370494</c:v>
                  </c:pt>
                  <c:pt idx="20">
                    <c:v>1.181881463755758</c:v>
                  </c:pt>
                </c:numCache>
              </c:numRef>
            </c:plus>
            <c:minus>
              <c:numRef>
                <c:f>'Ark5'!$E$3:$E$23</c:f>
                <c:numCache>
                  <c:formatCode>General</c:formatCode>
                  <c:ptCount val="21"/>
                  <c:pt idx="0">
                    <c:v>0.17147515600388069</c:v>
                  </c:pt>
                  <c:pt idx="1">
                    <c:v>0.26649801957339236</c:v>
                  </c:pt>
                  <c:pt idx="2">
                    <c:v>0.22921273977840306</c:v>
                  </c:pt>
                  <c:pt idx="3">
                    <c:v>0.20685530447421063</c:v>
                  </c:pt>
                  <c:pt idx="4">
                    <c:v>0.15258145325618944</c:v>
                  </c:pt>
                  <c:pt idx="5">
                    <c:v>0.20047852287622003</c:v>
                  </c:pt>
                  <c:pt idx="6">
                    <c:v>0.19583394145953659</c:v>
                  </c:pt>
                  <c:pt idx="7">
                    <c:v>0.35364628391547259</c:v>
                  </c:pt>
                  <c:pt idx="8">
                    <c:v>0.24890177331512986</c:v>
                  </c:pt>
                  <c:pt idx="9">
                    <c:v>0.25821990824027563</c:v>
                  </c:pt>
                  <c:pt idx="10">
                    <c:v>0.2377191533939701</c:v>
                  </c:pt>
                  <c:pt idx="11">
                    <c:v>0.3159660121229324</c:v>
                  </c:pt>
                  <c:pt idx="12">
                    <c:v>0.24347070323679965</c:v>
                  </c:pt>
                  <c:pt idx="13">
                    <c:v>0.32045274289914727</c:v>
                  </c:pt>
                  <c:pt idx="14">
                    <c:v>0.23989695755308027</c:v>
                  </c:pt>
                  <c:pt idx="15">
                    <c:v>0.32595199330894498</c:v>
                  </c:pt>
                  <c:pt idx="16">
                    <c:v>0.22324585003510522</c:v>
                  </c:pt>
                  <c:pt idx="17">
                    <c:v>0.33256035302191478</c:v>
                  </c:pt>
                  <c:pt idx="18">
                    <c:v>0.22410411926256935</c:v>
                  </c:pt>
                  <c:pt idx="19">
                    <c:v>0.25755718391629512</c:v>
                  </c:pt>
                  <c:pt idx="20">
                    <c:v>0.65601853624424189</c:v>
                  </c:pt>
                </c:numCache>
              </c:numRef>
            </c:minus>
            <c:spPr>
              <a:noFill/>
              <a:ln w="9525" cap="flat" cmpd="sng" algn="ctr">
                <a:solidFill>
                  <a:schemeClr val="tx1">
                    <a:lumMod val="65000"/>
                    <a:lumOff val="35000"/>
                  </a:schemeClr>
                </a:solidFill>
                <a:round/>
              </a:ln>
              <a:effectLst/>
            </c:spPr>
          </c:errBars>
          <c:cat>
            <c:strRef>
              <c:f>'Ark5'!$B$3:$B$23</c:f>
              <c:strCache>
                <c:ptCount val="21"/>
                <c:pt idx="0">
                  <c:v>Germany(*)</c:v>
                </c:pt>
                <c:pt idx="1">
                  <c:v>Slovenia</c:v>
                </c:pt>
                <c:pt idx="2">
                  <c:v>Spain</c:v>
                </c:pt>
                <c:pt idx="3">
                  <c:v>Netherlands</c:v>
                </c:pt>
                <c:pt idx="4">
                  <c:v>Sweden*</c:v>
                </c:pt>
                <c:pt idx="5">
                  <c:v>Switzerland*</c:v>
                </c:pt>
                <c:pt idx="6">
                  <c:v>Estonia*</c:v>
                </c:pt>
                <c:pt idx="7">
                  <c:v>France*</c:v>
                </c:pt>
                <c:pt idx="8">
                  <c:v>Czech Rep*</c:v>
                </c:pt>
                <c:pt idx="9">
                  <c:v>Austria*</c:v>
                </c:pt>
                <c:pt idx="10">
                  <c:v>Poland</c:v>
                </c:pt>
                <c:pt idx="11">
                  <c:v>Belgium</c:v>
                </c:pt>
                <c:pt idx="12">
                  <c:v>Hungary*</c:v>
                </c:pt>
                <c:pt idx="13">
                  <c:v>Denmark*</c:v>
                </c:pt>
                <c:pt idx="14">
                  <c:v>Lithuania</c:v>
                </c:pt>
                <c:pt idx="15">
                  <c:v>Norway</c:v>
                </c:pt>
                <c:pt idx="16">
                  <c:v>Finland*</c:v>
                </c:pt>
                <c:pt idx="17">
                  <c:v>Israel</c:v>
                </c:pt>
                <c:pt idx="18">
                  <c:v>Ireland*</c:v>
                </c:pt>
                <c:pt idx="19">
                  <c:v>UK</c:v>
                </c:pt>
                <c:pt idx="20">
                  <c:v>Portugal</c:v>
                </c:pt>
              </c:strCache>
            </c:strRef>
          </c:cat>
          <c:val>
            <c:numRef>
              <c:f>'Ark5'!$C$3:$C$23</c:f>
              <c:numCache>
                <c:formatCode>General</c:formatCode>
                <c:ptCount val="21"/>
                <c:pt idx="0">
                  <c:v>0.66397515600388068</c:v>
                </c:pt>
                <c:pt idx="1">
                  <c:v>0.79759801957339238</c:v>
                </c:pt>
                <c:pt idx="2">
                  <c:v>0.87951273977840305</c:v>
                </c:pt>
                <c:pt idx="3">
                  <c:v>0.92785530447421061</c:v>
                </c:pt>
                <c:pt idx="4">
                  <c:v>0.93438145325618949</c:v>
                </c:pt>
                <c:pt idx="5">
                  <c:v>0.95357852287622002</c:v>
                </c:pt>
                <c:pt idx="6">
                  <c:v>0.99583394145953663</c:v>
                </c:pt>
                <c:pt idx="7">
                  <c:v>1.0210462839154726</c:v>
                </c:pt>
                <c:pt idx="8">
                  <c:v>1.0236017733151299</c:v>
                </c:pt>
                <c:pt idx="9">
                  <c:v>1.0300199082402757</c:v>
                </c:pt>
                <c:pt idx="10">
                  <c:v>1.0510191533939701</c:v>
                </c:pt>
                <c:pt idx="11">
                  <c:v>1.0655660121229324</c:v>
                </c:pt>
                <c:pt idx="12">
                  <c:v>1.0789707032367997</c:v>
                </c:pt>
                <c:pt idx="13">
                  <c:v>1.0988527428991473</c:v>
                </c:pt>
                <c:pt idx="14">
                  <c:v>1.1132969575530802</c:v>
                </c:pt>
                <c:pt idx="15">
                  <c:v>1.1307519933089449</c:v>
                </c:pt>
                <c:pt idx="16">
                  <c:v>1.1376458500351052</c:v>
                </c:pt>
                <c:pt idx="17">
                  <c:v>1.1515603530219147</c:v>
                </c:pt>
                <c:pt idx="18">
                  <c:v>1.1628041192625693</c:v>
                </c:pt>
                <c:pt idx="19">
                  <c:v>1.1664571839162952</c:v>
                </c:pt>
                <c:pt idx="20">
                  <c:v>1.4744185362442419</c:v>
                </c:pt>
              </c:numCache>
            </c:numRef>
          </c:val>
        </c:ser>
        <c:ser>
          <c:idx val="1"/>
          <c:order val="1"/>
          <c:tx>
            <c:strRef>
              <c:f>'Ark5'!$D$2</c:f>
              <c:strCache>
                <c:ptCount val="1"/>
                <c:pt idx="0">
                  <c:v>Specialist</c:v>
                </c:pt>
              </c:strCache>
            </c:strRef>
          </c:tx>
          <c:spPr>
            <a:solidFill>
              <a:schemeClr val="dk1">
                <a:tint val="55000"/>
              </a:schemeClr>
            </a:solidFill>
            <a:ln>
              <a:noFill/>
            </a:ln>
            <a:effectLst/>
          </c:spPr>
          <c:invertIfNegative val="0"/>
          <c:errBars>
            <c:errBarType val="both"/>
            <c:errValType val="cust"/>
            <c:noEndCap val="0"/>
            <c:plus>
              <c:numRef>
                <c:f>'Ark5'!$H$3:$H$23</c:f>
                <c:numCache>
                  <c:formatCode>General</c:formatCode>
                  <c:ptCount val="21"/>
                  <c:pt idx="0">
                    <c:v>0.20303974969529248</c:v>
                  </c:pt>
                  <c:pt idx="1">
                    <c:v>0.21038690016075279</c:v>
                  </c:pt>
                  <c:pt idx="2">
                    <c:v>0.20366861089018595</c:v>
                  </c:pt>
                  <c:pt idx="3">
                    <c:v>0.14291944224275621</c:v>
                  </c:pt>
                  <c:pt idx="4">
                    <c:v>0.13632463452696841</c:v>
                  </c:pt>
                  <c:pt idx="5">
                    <c:v>0.17260341233907162</c:v>
                  </c:pt>
                  <c:pt idx="6">
                    <c:v>0.17946601112833416</c:v>
                  </c:pt>
                  <c:pt idx="7">
                    <c:v>0.22512771903738305</c:v>
                  </c:pt>
                  <c:pt idx="8">
                    <c:v>0.1272102796583241</c:v>
                  </c:pt>
                  <c:pt idx="9">
                    <c:v>0.225778078774868</c:v>
                  </c:pt>
                  <c:pt idx="10">
                    <c:v>0.16392756863689883</c:v>
                  </c:pt>
                  <c:pt idx="11">
                    <c:v>0.16442668174109842</c:v>
                  </c:pt>
                  <c:pt idx="12">
                    <c:v>0.1582852128705714</c:v>
                  </c:pt>
                  <c:pt idx="13">
                    <c:v>0.18705335041209037</c:v>
                  </c:pt>
                  <c:pt idx="14">
                    <c:v>0.10568483963513353</c:v>
                  </c:pt>
                  <c:pt idx="15">
                    <c:v>0.1113457201860516</c:v>
                  </c:pt>
                  <c:pt idx="16">
                    <c:v>0.1520325945705765</c:v>
                  </c:pt>
                  <c:pt idx="17">
                    <c:v>0.25274659009326461</c:v>
                  </c:pt>
                  <c:pt idx="18">
                    <c:v>6.3679413122563311E-2</c:v>
                  </c:pt>
                  <c:pt idx="19">
                    <c:v>0.11110559385297614</c:v>
                  </c:pt>
                  <c:pt idx="20">
                    <c:v>0.20756017786746828</c:v>
                  </c:pt>
                </c:numCache>
              </c:numRef>
            </c:plus>
            <c:minus>
              <c:numRef>
                <c:f>'Ark5'!$G$3:$G$23</c:f>
                <c:numCache>
                  <c:formatCode>General</c:formatCode>
                  <c:ptCount val="21"/>
                  <c:pt idx="0">
                    <c:v>0.17236025030470759</c:v>
                  </c:pt>
                  <c:pt idx="1">
                    <c:v>0.17651309983924723</c:v>
                  </c:pt>
                  <c:pt idx="2">
                    <c:v>0.17253138910981403</c:v>
                  </c:pt>
                  <c:pt idx="3">
                    <c:v>0.12428055775724378</c:v>
                  </c:pt>
                  <c:pt idx="4">
                    <c:v>0.12147536547303173</c:v>
                  </c:pt>
                  <c:pt idx="5">
                    <c:v>0.15179658766092841</c:v>
                  </c:pt>
                  <c:pt idx="6">
                    <c:v>0.15543398887166582</c:v>
                  </c:pt>
                  <c:pt idx="7">
                    <c:v>0.19057228096261691</c:v>
                  </c:pt>
                  <c:pt idx="8">
                    <c:v>0.1144897203416757</c:v>
                  </c:pt>
                  <c:pt idx="9">
                    <c:v>0.19352192122513201</c:v>
                  </c:pt>
                  <c:pt idx="10">
                    <c:v>0.14147243136310128</c:v>
                  </c:pt>
                  <c:pt idx="11">
                    <c:v>0.14297331825890147</c:v>
                  </c:pt>
                  <c:pt idx="12">
                    <c:v>0.13871478712942864</c:v>
                  </c:pt>
                  <c:pt idx="13">
                    <c:v>0.16174664958790963</c:v>
                  </c:pt>
                  <c:pt idx="14">
                    <c:v>9.5615160364866503E-2</c:v>
                  </c:pt>
                  <c:pt idx="15">
                    <c:v>9.9554279813948265E-2</c:v>
                  </c:pt>
                  <c:pt idx="16">
                    <c:v>0.13386740542942366</c:v>
                  </c:pt>
                  <c:pt idx="17">
                    <c:v>0.20755340990673532</c:v>
                  </c:pt>
                  <c:pt idx="18">
                    <c:v>6.0020586877436721E-2</c:v>
                  </c:pt>
                  <c:pt idx="19">
                    <c:v>0.10049440614702376</c:v>
                  </c:pt>
                  <c:pt idx="20">
                    <c:v>0.17043982213253184</c:v>
                  </c:pt>
                </c:numCache>
              </c:numRef>
            </c:minus>
            <c:spPr>
              <a:noFill/>
              <a:ln w="9525" cap="flat" cmpd="sng" algn="ctr">
                <a:solidFill>
                  <a:schemeClr val="tx1">
                    <a:lumMod val="65000"/>
                    <a:lumOff val="35000"/>
                  </a:schemeClr>
                </a:solidFill>
                <a:round/>
              </a:ln>
              <a:effectLst/>
            </c:spPr>
          </c:errBars>
          <c:cat>
            <c:strRef>
              <c:f>'Ark5'!$B$3:$B$23</c:f>
              <c:strCache>
                <c:ptCount val="21"/>
                <c:pt idx="0">
                  <c:v>Germany(*)</c:v>
                </c:pt>
                <c:pt idx="1">
                  <c:v>Slovenia</c:v>
                </c:pt>
                <c:pt idx="2">
                  <c:v>Spain</c:v>
                </c:pt>
                <c:pt idx="3">
                  <c:v>Netherlands</c:v>
                </c:pt>
                <c:pt idx="4">
                  <c:v>Sweden*</c:v>
                </c:pt>
                <c:pt idx="5">
                  <c:v>Switzerland*</c:v>
                </c:pt>
                <c:pt idx="6">
                  <c:v>Estonia*</c:v>
                </c:pt>
                <c:pt idx="7">
                  <c:v>France*</c:v>
                </c:pt>
                <c:pt idx="8">
                  <c:v>Czech Rep*</c:v>
                </c:pt>
                <c:pt idx="9">
                  <c:v>Austria*</c:v>
                </c:pt>
                <c:pt idx="10">
                  <c:v>Poland</c:v>
                </c:pt>
                <c:pt idx="11">
                  <c:v>Belgium</c:v>
                </c:pt>
                <c:pt idx="12">
                  <c:v>Hungary*</c:v>
                </c:pt>
                <c:pt idx="13">
                  <c:v>Denmark*</c:v>
                </c:pt>
                <c:pt idx="14">
                  <c:v>Lithuania</c:v>
                </c:pt>
                <c:pt idx="15">
                  <c:v>Norway</c:v>
                </c:pt>
                <c:pt idx="16">
                  <c:v>Finland*</c:v>
                </c:pt>
                <c:pt idx="17">
                  <c:v>Israel</c:v>
                </c:pt>
                <c:pt idx="18">
                  <c:v>Ireland*</c:v>
                </c:pt>
                <c:pt idx="19">
                  <c:v>UK</c:v>
                </c:pt>
                <c:pt idx="20">
                  <c:v>Portugal</c:v>
                </c:pt>
              </c:strCache>
            </c:strRef>
          </c:cat>
          <c:val>
            <c:numRef>
              <c:f>'Ark5'!$D$3:$D$23</c:f>
              <c:numCache>
                <c:formatCode>General</c:formatCode>
                <c:ptCount val="21"/>
                <c:pt idx="0">
                  <c:v>1.1409602503047076</c:v>
                </c:pt>
                <c:pt idx="1">
                  <c:v>1.0956130998392473</c:v>
                </c:pt>
                <c:pt idx="2">
                  <c:v>1.127031389109814</c:v>
                </c:pt>
                <c:pt idx="3">
                  <c:v>0.95428055775724374</c:v>
                </c:pt>
                <c:pt idx="4">
                  <c:v>1.1126753654730317</c:v>
                </c:pt>
                <c:pt idx="5">
                  <c:v>1.2584965876609284</c:v>
                </c:pt>
                <c:pt idx="6">
                  <c:v>1.1632339888716658</c:v>
                </c:pt>
                <c:pt idx="7">
                  <c:v>1.240472280962617</c:v>
                </c:pt>
                <c:pt idx="8">
                  <c:v>1.1499897203416758</c:v>
                </c:pt>
                <c:pt idx="9">
                  <c:v>1.3519219212251321</c:v>
                </c:pt>
                <c:pt idx="10">
                  <c:v>1.0347724313631013</c:v>
                </c:pt>
                <c:pt idx="11">
                  <c:v>1.0964733182589015</c:v>
                </c:pt>
                <c:pt idx="12">
                  <c:v>1.1234147871294287</c:v>
                </c:pt>
                <c:pt idx="13">
                  <c:v>1.1929466495879095</c:v>
                </c:pt>
                <c:pt idx="14">
                  <c:v>1.0070151603648665</c:v>
                </c:pt>
                <c:pt idx="15">
                  <c:v>0.9379542798139483</c:v>
                </c:pt>
                <c:pt idx="16">
                  <c:v>1.1232674054294236</c:v>
                </c:pt>
                <c:pt idx="17">
                  <c:v>1.1589534099067353</c:v>
                </c:pt>
                <c:pt idx="18">
                  <c:v>1.0589205868774367</c:v>
                </c:pt>
                <c:pt idx="19">
                  <c:v>1.0551944061470238</c:v>
                </c:pt>
                <c:pt idx="20">
                  <c:v>0.95473982213253183</c:v>
                </c:pt>
              </c:numCache>
            </c:numRef>
          </c:val>
        </c:ser>
        <c:dLbls>
          <c:showLegendKey val="0"/>
          <c:showVal val="0"/>
          <c:showCatName val="0"/>
          <c:showSerName val="0"/>
          <c:showPercent val="0"/>
          <c:showBubbleSize val="0"/>
        </c:dLbls>
        <c:gapWidth val="219"/>
        <c:overlap val="-27"/>
        <c:axId val="716576656"/>
        <c:axId val="716574304"/>
      </c:barChart>
      <c:catAx>
        <c:axId val="71657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74304"/>
        <c:crosses val="autoZero"/>
        <c:auto val="1"/>
        <c:lblAlgn val="ctr"/>
        <c:lblOffset val="100"/>
        <c:noMultiLvlLbl val="0"/>
      </c:catAx>
      <c:valAx>
        <c:axId val="716574304"/>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nb-NO"/>
                  <a:t>ARR</a:t>
                </a:r>
              </a:p>
            </c:rich>
          </c:tx>
          <c:overlay val="0"/>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76656"/>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Education</a:t>
            </a:r>
          </a:p>
        </c:rich>
      </c:tx>
      <c:overlay val="0"/>
      <c:spPr>
        <a:noFill/>
        <a:ln>
          <a:noFill/>
        </a:ln>
        <a:effectLst/>
      </c:spPr>
    </c:title>
    <c:autoTitleDeleted val="0"/>
    <c:plotArea>
      <c:layout/>
      <c:barChart>
        <c:barDir val="col"/>
        <c:grouping val="clustered"/>
        <c:varyColors val="0"/>
        <c:ser>
          <c:idx val="0"/>
          <c:order val="0"/>
          <c:tx>
            <c:strRef>
              <c:f>'Ark6'!$C$3</c:f>
              <c:strCache>
                <c:ptCount val="1"/>
                <c:pt idx="0">
                  <c:v>GP</c:v>
                </c:pt>
              </c:strCache>
            </c:strRef>
          </c:tx>
          <c:spPr>
            <a:solidFill>
              <a:schemeClr val="dk1">
                <a:tint val="88500"/>
              </a:schemeClr>
            </a:solidFill>
            <a:ln>
              <a:noFill/>
            </a:ln>
            <a:effectLst/>
          </c:spPr>
          <c:invertIfNegative val="0"/>
          <c:errBars>
            <c:errBarType val="both"/>
            <c:errValType val="cust"/>
            <c:noEndCap val="0"/>
            <c:plus>
              <c:numRef>
                <c:f>'Ark6'!$F$4:$F$24</c:f>
                <c:numCache>
                  <c:formatCode>General</c:formatCode>
                  <c:ptCount val="21"/>
                  <c:pt idx="0">
                    <c:v>0.31772639451233448</c:v>
                  </c:pt>
                  <c:pt idx="1">
                    <c:v>0.27043342353098021</c:v>
                  </c:pt>
                  <c:pt idx="2">
                    <c:v>0.42564177521031266</c:v>
                  </c:pt>
                  <c:pt idx="3">
                    <c:v>0.63912920026739584</c:v>
                  </c:pt>
                  <c:pt idx="4">
                    <c:v>0.22754206795788967</c:v>
                  </c:pt>
                  <c:pt idx="5">
                    <c:v>0.25447098160770121</c:v>
                  </c:pt>
                  <c:pt idx="6">
                    <c:v>0.40842298980006053</c:v>
                  </c:pt>
                  <c:pt idx="7">
                    <c:v>0.31005105156297963</c:v>
                  </c:pt>
                  <c:pt idx="8">
                    <c:v>0.34392396795324898</c:v>
                  </c:pt>
                  <c:pt idx="9">
                    <c:v>0.41539508169177597</c:v>
                  </c:pt>
                  <c:pt idx="10">
                    <c:v>0.36511624809129339</c:v>
                  </c:pt>
                  <c:pt idx="11">
                    <c:v>0.59036676337741922</c:v>
                  </c:pt>
                  <c:pt idx="12">
                    <c:v>0.30247650347723853</c:v>
                  </c:pt>
                  <c:pt idx="13">
                    <c:v>0.7939689498027096</c:v>
                  </c:pt>
                  <c:pt idx="14">
                    <c:v>0.7734417499045978</c:v>
                  </c:pt>
                  <c:pt idx="15">
                    <c:v>0.33227809715177781</c:v>
                  </c:pt>
                  <c:pt idx="16">
                    <c:v>0.63686134352263712</c:v>
                  </c:pt>
                  <c:pt idx="17">
                    <c:v>0.63866657927323689</c:v>
                  </c:pt>
                  <c:pt idx="18">
                    <c:v>0.46428716089139277</c:v>
                  </c:pt>
                  <c:pt idx="19">
                    <c:v>0.47806663689744799</c:v>
                  </c:pt>
                  <c:pt idx="20">
                    <c:v>1.5307076315171662</c:v>
                  </c:pt>
                </c:numCache>
              </c:numRef>
            </c:plus>
            <c:minus>
              <c:numRef>
                <c:f>'Ark6'!$E$4:$E$24</c:f>
                <c:numCache>
                  <c:formatCode>General</c:formatCode>
                  <c:ptCount val="21"/>
                  <c:pt idx="0">
                    <c:v>0.19077360548766553</c:v>
                  </c:pt>
                  <c:pt idx="1">
                    <c:v>0.18886657646901978</c:v>
                  </c:pt>
                  <c:pt idx="2">
                    <c:v>0.25615822478968731</c:v>
                  </c:pt>
                  <c:pt idx="3">
                    <c:v>0.33797079973260424</c:v>
                  </c:pt>
                  <c:pt idx="4">
                    <c:v>0.17415793204211028</c:v>
                  </c:pt>
                  <c:pt idx="5">
                    <c:v>0.19332901839229888</c:v>
                  </c:pt>
                  <c:pt idx="6">
                    <c:v>0.27137701019993954</c:v>
                  </c:pt>
                  <c:pt idx="7">
                    <c:v>0.22484894843702041</c:v>
                  </c:pt>
                  <c:pt idx="8">
                    <c:v>0.250076032046751</c:v>
                  </c:pt>
                  <c:pt idx="9">
                    <c:v>0.2896049183082241</c:v>
                  </c:pt>
                  <c:pt idx="10">
                    <c:v>0.26558375190870653</c:v>
                  </c:pt>
                  <c:pt idx="11">
                    <c:v>0.37683323662258084</c:v>
                  </c:pt>
                  <c:pt idx="12">
                    <c:v>0.23752349652276139</c:v>
                  </c:pt>
                  <c:pt idx="13">
                    <c:v>0.46513105019729051</c:v>
                  </c:pt>
                  <c:pt idx="14">
                    <c:v>0.45985825009540215</c:v>
                  </c:pt>
                  <c:pt idx="15">
                    <c:v>0.25922190284822233</c:v>
                  </c:pt>
                  <c:pt idx="16">
                    <c:v>0.42163865647736298</c:v>
                  </c:pt>
                  <c:pt idx="17">
                    <c:v>0.42353342072676325</c:v>
                  </c:pt>
                  <c:pt idx="18">
                    <c:v>0.34591283910860726</c:v>
                  </c:pt>
                  <c:pt idx="19">
                    <c:v>0.35613336310255206</c:v>
                  </c:pt>
                  <c:pt idx="20">
                    <c:v>0.84199236848283388</c:v>
                  </c:pt>
                </c:numCache>
              </c:numRef>
            </c:minus>
            <c:spPr>
              <a:noFill/>
              <a:ln w="9525" cap="flat" cmpd="sng" algn="ctr">
                <a:solidFill>
                  <a:schemeClr val="tx1">
                    <a:lumMod val="65000"/>
                    <a:lumOff val="35000"/>
                  </a:schemeClr>
                </a:solidFill>
                <a:round/>
              </a:ln>
              <a:effectLst/>
            </c:spPr>
          </c:errBars>
          <c:cat>
            <c:strRef>
              <c:f>'Ark6'!$B$4:$B$24</c:f>
              <c:strCache>
                <c:ptCount val="21"/>
                <c:pt idx="0">
                  <c:v>Portugal*(*)</c:v>
                </c:pt>
                <c:pt idx="1">
                  <c:v>Lithuania(*)</c:v>
                </c:pt>
                <c:pt idx="2">
                  <c:v>Norway*</c:v>
                </c:pt>
                <c:pt idx="3">
                  <c:v>Czech Rep*</c:v>
                </c:pt>
                <c:pt idx="4">
                  <c:v>Ireland(*)</c:v>
                </c:pt>
                <c:pt idx="5">
                  <c:v>UK*</c:v>
                </c:pt>
                <c:pt idx="6">
                  <c:v>Austria*</c:v>
                </c:pt>
                <c:pt idx="7">
                  <c:v>Finland*</c:v>
                </c:pt>
                <c:pt idx="8">
                  <c:v>Switzerland</c:v>
                </c:pt>
                <c:pt idx="9">
                  <c:v>Hungary</c:v>
                </c:pt>
                <c:pt idx="10">
                  <c:v>Spain*</c:v>
                </c:pt>
                <c:pt idx="11">
                  <c:v>Belgium</c:v>
                </c:pt>
                <c:pt idx="12">
                  <c:v>Sweden*</c:v>
                </c:pt>
                <c:pt idx="13">
                  <c:v>France* </c:v>
                </c:pt>
                <c:pt idx="14">
                  <c:v>Israel</c:v>
                </c:pt>
                <c:pt idx="15">
                  <c:v>Netherlands</c:v>
                </c:pt>
                <c:pt idx="16">
                  <c:v>Germany*</c:v>
                </c:pt>
                <c:pt idx="17">
                  <c:v>Denmark</c:v>
                </c:pt>
                <c:pt idx="18">
                  <c:v>Estonia(*)</c:v>
                </c:pt>
                <c:pt idx="19">
                  <c:v>Poland*(*)</c:v>
                </c:pt>
                <c:pt idx="20">
                  <c:v>Slovenia(*)</c:v>
                </c:pt>
              </c:strCache>
            </c:strRef>
          </c:cat>
          <c:val>
            <c:numRef>
              <c:f>'Ark6'!$C$4:$C$24</c:f>
              <c:numCache>
                <c:formatCode>General</c:formatCode>
                <c:ptCount val="21"/>
                <c:pt idx="0">
                  <c:v>0.47737360548766555</c:v>
                </c:pt>
                <c:pt idx="1">
                  <c:v>0.6256665764690198</c:v>
                </c:pt>
                <c:pt idx="2">
                  <c:v>0.64315822478968732</c:v>
                </c:pt>
                <c:pt idx="3">
                  <c:v>0.71717079973260422</c:v>
                </c:pt>
                <c:pt idx="4">
                  <c:v>0.74255793204211029</c:v>
                </c:pt>
                <c:pt idx="5">
                  <c:v>0.80512901839229889</c:v>
                </c:pt>
                <c:pt idx="6">
                  <c:v>0.80877701019993953</c:v>
                </c:pt>
                <c:pt idx="7">
                  <c:v>0.81824894843702045</c:v>
                </c:pt>
                <c:pt idx="8">
                  <c:v>0.916376032046751</c:v>
                </c:pt>
                <c:pt idx="9">
                  <c:v>0.9570049183082241</c:v>
                </c:pt>
                <c:pt idx="10">
                  <c:v>0.97438375190870652</c:v>
                </c:pt>
                <c:pt idx="11">
                  <c:v>1.0422332366225808</c:v>
                </c:pt>
                <c:pt idx="12">
                  <c:v>1.1054234965227614</c:v>
                </c:pt>
                <c:pt idx="13">
                  <c:v>1.1227310501972905</c:v>
                </c:pt>
                <c:pt idx="14">
                  <c:v>1.1339582500954022</c:v>
                </c:pt>
                <c:pt idx="15">
                  <c:v>1.1789219028482223</c:v>
                </c:pt>
                <c:pt idx="16">
                  <c:v>1.247438656477363</c:v>
                </c:pt>
                <c:pt idx="17">
                  <c:v>1.2575334207267632</c:v>
                </c:pt>
                <c:pt idx="18">
                  <c:v>1.3567128391086072</c:v>
                </c:pt>
                <c:pt idx="19">
                  <c:v>1.3954333631025519</c:v>
                </c:pt>
                <c:pt idx="20">
                  <c:v>1.871292368482834</c:v>
                </c:pt>
              </c:numCache>
            </c:numRef>
          </c:val>
        </c:ser>
        <c:ser>
          <c:idx val="1"/>
          <c:order val="1"/>
          <c:tx>
            <c:strRef>
              <c:f>'Ark6'!$D$3</c:f>
              <c:strCache>
                <c:ptCount val="1"/>
                <c:pt idx="0">
                  <c:v>Specialist </c:v>
                </c:pt>
              </c:strCache>
            </c:strRef>
          </c:tx>
          <c:spPr>
            <a:solidFill>
              <a:schemeClr val="dk1">
                <a:tint val="55000"/>
              </a:schemeClr>
            </a:solidFill>
            <a:ln>
              <a:noFill/>
            </a:ln>
            <a:effectLst/>
          </c:spPr>
          <c:invertIfNegative val="0"/>
          <c:errBars>
            <c:errBarType val="both"/>
            <c:errValType val="cust"/>
            <c:noEndCap val="0"/>
            <c:plus>
              <c:numRef>
                <c:f>'Ark6'!$H$4:$H$24</c:f>
                <c:numCache>
                  <c:formatCode>General</c:formatCode>
                  <c:ptCount val="21"/>
                  <c:pt idx="0">
                    <c:v>1.0075804321527815</c:v>
                  </c:pt>
                  <c:pt idx="1">
                    <c:v>0.13891997643441312</c:v>
                  </c:pt>
                  <c:pt idx="2">
                    <c:v>0.19324587499933821</c:v>
                  </c:pt>
                  <c:pt idx="3">
                    <c:v>0.24618667586685317</c:v>
                  </c:pt>
                  <c:pt idx="4">
                    <c:v>8.4565632069931507E-2</c:v>
                  </c:pt>
                  <c:pt idx="5">
                    <c:v>0.13094894964919424</c:v>
                  </c:pt>
                  <c:pt idx="6">
                    <c:v>0.25166121012349985</c:v>
                  </c:pt>
                  <c:pt idx="7">
                    <c:v>0.24182571914915552</c:v>
                  </c:pt>
                  <c:pt idx="8">
                    <c:v>0.21611686156726773</c:v>
                  </c:pt>
                  <c:pt idx="9">
                    <c:v>0.21094737922339246</c:v>
                  </c:pt>
                  <c:pt idx="10">
                    <c:v>0.30956385940549658</c:v>
                  </c:pt>
                  <c:pt idx="11">
                    <c:v>0.20171490386067026</c:v>
                  </c:pt>
                  <c:pt idx="12">
                    <c:v>0.19047854533545627</c:v>
                  </c:pt>
                  <c:pt idx="13">
                    <c:v>0.33778012641508459</c:v>
                  </c:pt>
                  <c:pt idx="14">
                    <c:v>0.36193673118693925</c:v>
                  </c:pt>
                  <c:pt idx="15">
                    <c:v>0.1629191990763319</c:v>
                  </c:pt>
                  <c:pt idx="16">
                    <c:v>0.35652950383045812</c:v>
                  </c:pt>
                  <c:pt idx="17">
                    <c:v>0.19735686420217147</c:v>
                  </c:pt>
                  <c:pt idx="18">
                    <c:v>0.26501415705578113</c:v>
                  </c:pt>
                  <c:pt idx="19">
                    <c:v>0.34187666588959953</c:v>
                  </c:pt>
                  <c:pt idx="20">
                    <c:v>0.32440824821019931</c:v>
                  </c:pt>
                </c:numCache>
              </c:numRef>
            </c:plus>
            <c:minus>
              <c:numRef>
                <c:f>'Ark6'!$G$4:$G$24</c:f>
                <c:numCache>
                  <c:formatCode>General</c:formatCode>
                  <c:ptCount val="21"/>
                  <c:pt idx="0">
                    <c:v>0.67441956784721868</c:v>
                  </c:pt>
                  <c:pt idx="1">
                    <c:v>0.12138002356558686</c:v>
                  </c:pt>
                  <c:pt idx="2">
                    <c:v>0.16695412500066187</c:v>
                  </c:pt>
                  <c:pt idx="3">
                    <c:v>0.20671332413314691</c:v>
                  </c:pt>
                  <c:pt idx="4">
                    <c:v>7.8234367930068438E-2</c:v>
                  </c:pt>
                  <c:pt idx="5">
                    <c:v>0.11725105035080596</c:v>
                  </c:pt>
                  <c:pt idx="6">
                    <c:v>0.20823878987650013</c:v>
                  </c:pt>
                  <c:pt idx="7">
                    <c:v>0.20347428085084451</c:v>
                  </c:pt>
                  <c:pt idx="8">
                    <c:v>0.1796831384327322</c:v>
                  </c:pt>
                  <c:pt idx="9">
                    <c:v>0.17755262077660761</c:v>
                  </c:pt>
                  <c:pt idx="10">
                    <c:v>0.25423614059450328</c:v>
                  </c:pt>
                  <c:pt idx="11">
                    <c:v>0.17138509613932984</c:v>
                  </c:pt>
                  <c:pt idx="12">
                    <c:v>0.16342145466454372</c:v>
                  </c:pt>
                  <c:pt idx="13">
                    <c:v>0.2691198735849154</c:v>
                  </c:pt>
                  <c:pt idx="14">
                    <c:v>0.27146326881306082</c:v>
                  </c:pt>
                  <c:pt idx="15">
                    <c:v>0.141380800923668</c:v>
                  </c:pt>
                  <c:pt idx="16">
                    <c:v>0.28307049616954183</c:v>
                  </c:pt>
                  <c:pt idx="17">
                    <c:v>0.16814313579782847</c:v>
                  </c:pt>
                  <c:pt idx="18">
                    <c:v>0.21498584294421896</c:v>
                  </c:pt>
                  <c:pt idx="19">
                    <c:v>0.2817233341104004</c:v>
                  </c:pt>
                  <c:pt idx="20">
                    <c:v>0.24759175178980075</c:v>
                  </c:pt>
                </c:numCache>
              </c:numRef>
            </c:minus>
            <c:spPr>
              <a:noFill/>
              <a:ln w="9525" cap="flat" cmpd="sng" algn="ctr">
                <a:solidFill>
                  <a:schemeClr val="tx1">
                    <a:lumMod val="65000"/>
                    <a:lumOff val="35000"/>
                  </a:schemeClr>
                </a:solidFill>
                <a:round/>
              </a:ln>
              <a:effectLst/>
            </c:spPr>
          </c:errBars>
          <c:cat>
            <c:strRef>
              <c:f>'Ark6'!$B$4:$B$24</c:f>
              <c:strCache>
                <c:ptCount val="21"/>
                <c:pt idx="0">
                  <c:v>Portugal*(*)</c:v>
                </c:pt>
                <c:pt idx="1">
                  <c:v>Lithuania(*)</c:v>
                </c:pt>
                <c:pt idx="2">
                  <c:v>Norway*</c:v>
                </c:pt>
                <c:pt idx="3">
                  <c:v>Czech Rep*</c:v>
                </c:pt>
                <c:pt idx="4">
                  <c:v>Ireland(*)</c:v>
                </c:pt>
                <c:pt idx="5">
                  <c:v>UK*</c:v>
                </c:pt>
                <c:pt idx="6">
                  <c:v>Austria*</c:v>
                </c:pt>
                <c:pt idx="7">
                  <c:v>Finland*</c:v>
                </c:pt>
                <c:pt idx="8">
                  <c:v>Switzerland</c:v>
                </c:pt>
                <c:pt idx="9">
                  <c:v>Hungary</c:v>
                </c:pt>
                <c:pt idx="10">
                  <c:v>Spain*</c:v>
                </c:pt>
                <c:pt idx="11">
                  <c:v>Belgium</c:v>
                </c:pt>
                <c:pt idx="12">
                  <c:v>Sweden*</c:v>
                </c:pt>
                <c:pt idx="13">
                  <c:v>France* </c:v>
                </c:pt>
                <c:pt idx="14">
                  <c:v>Israel</c:v>
                </c:pt>
                <c:pt idx="15">
                  <c:v>Netherlands</c:v>
                </c:pt>
                <c:pt idx="16">
                  <c:v>Germany*</c:v>
                </c:pt>
                <c:pt idx="17">
                  <c:v>Denmark</c:v>
                </c:pt>
                <c:pt idx="18">
                  <c:v>Estonia(*)</c:v>
                </c:pt>
                <c:pt idx="19">
                  <c:v>Poland*(*)</c:v>
                </c:pt>
                <c:pt idx="20">
                  <c:v>Slovenia(*)</c:v>
                </c:pt>
              </c:strCache>
            </c:strRef>
          </c:cat>
          <c:val>
            <c:numRef>
              <c:f>'Ark6'!$D$4:$D$24</c:f>
              <c:numCache>
                <c:formatCode>General</c:formatCode>
                <c:ptCount val="21"/>
                <c:pt idx="0">
                  <c:v>2.0398195678472186</c:v>
                </c:pt>
                <c:pt idx="1">
                  <c:v>0.96028002356558684</c:v>
                </c:pt>
                <c:pt idx="2">
                  <c:v>1.2251541250006619</c:v>
                </c:pt>
                <c:pt idx="3">
                  <c:v>1.2874133241331469</c:v>
                </c:pt>
                <c:pt idx="4">
                  <c:v>1.0348343679300684</c:v>
                </c:pt>
                <c:pt idx="5">
                  <c:v>1.1202510503508059</c:v>
                </c:pt>
                <c:pt idx="6">
                  <c:v>1.2080387898765002</c:v>
                </c:pt>
                <c:pt idx="7">
                  <c:v>1.2846742808508445</c:v>
                </c:pt>
                <c:pt idx="8">
                  <c:v>1.0664831384327322</c:v>
                </c:pt>
                <c:pt idx="9">
                  <c:v>1.1194526207766076</c:v>
                </c:pt>
                <c:pt idx="10">
                  <c:v>1.4209361405945033</c:v>
                </c:pt>
                <c:pt idx="11">
                  <c:v>1.1384850961393298</c:v>
                </c:pt>
                <c:pt idx="12">
                  <c:v>1.1482214546645437</c:v>
                </c:pt>
                <c:pt idx="13">
                  <c:v>1.3251198735849155</c:v>
                </c:pt>
                <c:pt idx="14">
                  <c:v>1.0850632688130608</c:v>
                </c:pt>
                <c:pt idx="15">
                  <c:v>1.0693808009236681</c:v>
                </c:pt>
                <c:pt idx="16">
                  <c:v>1.3738704961695418</c:v>
                </c:pt>
                <c:pt idx="17">
                  <c:v>1.1360431357978285</c:v>
                </c:pt>
                <c:pt idx="18">
                  <c:v>1.139285842944219</c:v>
                </c:pt>
                <c:pt idx="19">
                  <c:v>1.6013233341104005</c:v>
                </c:pt>
                <c:pt idx="20">
                  <c:v>1.0460917517898007</c:v>
                </c:pt>
              </c:numCache>
            </c:numRef>
          </c:val>
        </c:ser>
        <c:dLbls>
          <c:showLegendKey val="0"/>
          <c:showVal val="0"/>
          <c:showCatName val="0"/>
          <c:showSerName val="0"/>
          <c:showPercent val="0"/>
          <c:showBubbleSize val="0"/>
        </c:dLbls>
        <c:gapWidth val="219"/>
        <c:overlap val="-27"/>
        <c:axId val="716582536"/>
        <c:axId val="716584104"/>
      </c:barChart>
      <c:catAx>
        <c:axId val="716582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84104"/>
        <c:crosses val="autoZero"/>
        <c:auto val="1"/>
        <c:lblAlgn val="ctr"/>
        <c:lblOffset val="100"/>
        <c:noMultiLvlLbl val="0"/>
      </c:catAx>
      <c:valAx>
        <c:axId val="716584104"/>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nb-NO"/>
                  <a:t>ARR</a:t>
                </a:r>
              </a:p>
            </c:rich>
          </c:tx>
          <c:overlay val="0"/>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82536"/>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Social networks</a:t>
            </a:r>
          </a:p>
        </c:rich>
      </c:tx>
      <c:overlay val="0"/>
      <c:spPr>
        <a:noFill/>
        <a:ln>
          <a:noFill/>
        </a:ln>
        <a:effectLst/>
      </c:spPr>
    </c:title>
    <c:autoTitleDeleted val="0"/>
    <c:plotArea>
      <c:layout/>
      <c:barChart>
        <c:barDir val="col"/>
        <c:grouping val="clustered"/>
        <c:varyColors val="0"/>
        <c:ser>
          <c:idx val="0"/>
          <c:order val="0"/>
          <c:tx>
            <c:strRef>
              <c:f>'Ark7'!$B$2</c:f>
              <c:strCache>
                <c:ptCount val="1"/>
                <c:pt idx="0">
                  <c:v>GP</c:v>
                </c:pt>
              </c:strCache>
            </c:strRef>
          </c:tx>
          <c:spPr>
            <a:solidFill>
              <a:schemeClr val="dk1">
                <a:tint val="88500"/>
              </a:schemeClr>
            </a:solidFill>
            <a:ln>
              <a:noFill/>
            </a:ln>
            <a:effectLst/>
          </c:spPr>
          <c:invertIfNegative val="0"/>
          <c:errBars>
            <c:errBarType val="both"/>
            <c:errValType val="cust"/>
            <c:noEndCap val="0"/>
            <c:plus>
              <c:numRef>
                <c:f>'Ark7'!$E$3:$E$23</c:f>
                <c:numCache>
                  <c:formatCode>General</c:formatCode>
                  <c:ptCount val="21"/>
                  <c:pt idx="0">
                    <c:v>0.18944044113757252</c:v>
                  </c:pt>
                  <c:pt idx="1">
                    <c:v>0.33959647177526786</c:v>
                  </c:pt>
                  <c:pt idx="2">
                    <c:v>0.3607306638198331</c:v>
                  </c:pt>
                  <c:pt idx="3">
                    <c:v>0.68485709999689603</c:v>
                  </c:pt>
                  <c:pt idx="4">
                    <c:v>0.30476608617865164</c:v>
                  </c:pt>
                  <c:pt idx="5">
                    <c:v>0.38633180681100077</c:v>
                  </c:pt>
                  <c:pt idx="6">
                    <c:v>0.28014519080367895</c:v>
                  </c:pt>
                  <c:pt idx="7">
                    <c:v>0.24862042678372642</c:v>
                  </c:pt>
                  <c:pt idx="8">
                    <c:v>0.29358579933673179</c:v>
                  </c:pt>
                  <c:pt idx="9">
                    <c:v>0.40292947201497342</c:v>
                  </c:pt>
                  <c:pt idx="10">
                    <c:v>0.33721264556510699</c:v>
                  </c:pt>
                  <c:pt idx="11">
                    <c:v>0.56379223742909668</c:v>
                  </c:pt>
                  <c:pt idx="12">
                    <c:v>0.4598410301379825</c:v>
                  </c:pt>
                  <c:pt idx="13">
                    <c:v>0.23275079322769865</c:v>
                  </c:pt>
                  <c:pt idx="14">
                    <c:v>0.30049206667391704</c:v>
                  </c:pt>
                  <c:pt idx="15">
                    <c:v>0.27186454481402955</c:v>
                  </c:pt>
                  <c:pt idx="16">
                    <c:v>0.33787491255757485</c:v>
                  </c:pt>
                  <c:pt idx="17">
                    <c:v>0.63664271755323343</c:v>
                  </c:pt>
                  <c:pt idx="18">
                    <c:v>0.64787259151421894</c:v>
                  </c:pt>
                  <c:pt idx="19">
                    <c:v>0.44253746280889183</c:v>
                  </c:pt>
                  <c:pt idx="20">
                    <c:v>0.64846288414219866</c:v>
                  </c:pt>
                </c:numCache>
              </c:numRef>
            </c:plus>
            <c:minus>
              <c:numRef>
                <c:f>'Ark7'!$D$3:$D$23</c:f>
                <c:numCache>
                  <c:formatCode>General</c:formatCode>
                  <c:ptCount val="21"/>
                  <c:pt idx="0">
                    <c:v>0.15105955886242739</c:v>
                  </c:pt>
                  <c:pt idx="1">
                    <c:v>0.23750352822473209</c:v>
                  </c:pt>
                  <c:pt idx="2">
                    <c:v>0.2511693361801669</c:v>
                  </c:pt>
                  <c:pt idx="3">
                    <c:v>0.37864290000310408</c:v>
                  </c:pt>
                  <c:pt idx="4">
                    <c:v>0.22493391382134831</c:v>
                  </c:pt>
                  <c:pt idx="5">
                    <c:v>0.2713681931889993</c:v>
                  </c:pt>
                  <c:pt idx="6">
                    <c:v>0.21565480919632096</c:v>
                  </c:pt>
                  <c:pt idx="7">
                    <c:v>0.1987795732162736</c:v>
                  </c:pt>
                  <c:pt idx="8">
                    <c:v>0.22681420066326818</c:v>
                  </c:pt>
                  <c:pt idx="9">
                    <c:v>0.28767052798502657</c:v>
                  </c:pt>
                  <c:pt idx="10">
                    <c:v>0.25338735443489313</c:v>
                  </c:pt>
                  <c:pt idx="11">
                    <c:v>0.36470776257090332</c:v>
                  </c:pt>
                  <c:pt idx="12">
                    <c:v>0.31865896986201747</c:v>
                  </c:pt>
                  <c:pt idx="13">
                    <c:v>0.19034920677230138</c:v>
                  </c:pt>
                  <c:pt idx="14">
                    <c:v>0.23460793332608287</c:v>
                  </c:pt>
                  <c:pt idx="15">
                    <c:v>0.21783545518597036</c:v>
                  </c:pt>
                  <c:pt idx="16">
                    <c:v>0.25912508744242524</c:v>
                  </c:pt>
                  <c:pt idx="17">
                    <c:v>0.40905728244676653</c:v>
                  </c:pt>
                  <c:pt idx="18">
                    <c:v>0.42562740848578107</c:v>
                  </c:pt>
                  <c:pt idx="19">
                    <c:v>0.3272625371911082</c:v>
                  </c:pt>
                  <c:pt idx="20">
                    <c:v>0.44243711585780143</c:v>
                  </c:pt>
                </c:numCache>
              </c:numRef>
            </c:minus>
            <c:spPr>
              <a:noFill/>
              <a:ln w="9525" cap="flat" cmpd="sng" algn="ctr">
                <a:solidFill>
                  <a:schemeClr val="tx1">
                    <a:lumMod val="65000"/>
                    <a:lumOff val="35000"/>
                  </a:schemeClr>
                </a:solidFill>
                <a:round/>
              </a:ln>
              <a:effectLst/>
            </c:spPr>
          </c:errBars>
          <c:cat>
            <c:strRef>
              <c:f>'Ark7'!$A$3:$A$23</c:f>
              <c:strCache>
                <c:ptCount val="21"/>
                <c:pt idx="0">
                  <c:v>Poland(*)</c:v>
                </c:pt>
                <c:pt idx="1">
                  <c:v>Belgium</c:v>
                </c:pt>
                <c:pt idx="2">
                  <c:v>Lithuania</c:v>
                </c:pt>
                <c:pt idx="3">
                  <c:v>Portugal</c:v>
                </c:pt>
                <c:pt idx="4">
                  <c:v>Czech Rep*</c:v>
                </c:pt>
                <c:pt idx="5">
                  <c:v>Israel</c:v>
                </c:pt>
                <c:pt idx="6">
                  <c:v>Netherlands</c:v>
                </c:pt>
                <c:pt idx="7">
                  <c:v>Switzerland</c:v>
                </c:pt>
                <c:pt idx="8">
                  <c:v>Germany</c:v>
                </c:pt>
                <c:pt idx="9">
                  <c:v>Norway*</c:v>
                </c:pt>
                <c:pt idx="10">
                  <c:v>Austria*</c:v>
                </c:pt>
                <c:pt idx="11">
                  <c:v>Hungary</c:v>
                </c:pt>
                <c:pt idx="12">
                  <c:v>Denmark</c:v>
                </c:pt>
                <c:pt idx="13">
                  <c:v>Sweden</c:v>
                </c:pt>
                <c:pt idx="14">
                  <c:v>Ireland</c:v>
                </c:pt>
                <c:pt idx="15">
                  <c:v>Finland*</c:v>
                </c:pt>
                <c:pt idx="16">
                  <c:v>UK</c:v>
                </c:pt>
                <c:pt idx="17">
                  <c:v>Slovenia</c:v>
                </c:pt>
                <c:pt idx="18">
                  <c:v>France* </c:v>
                </c:pt>
                <c:pt idx="19">
                  <c:v>Spain</c:v>
                </c:pt>
                <c:pt idx="20">
                  <c:v>Estonia*(*)</c:v>
                </c:pt>
              </c:strCache>
            </c:strRef>
          </c:cat>
          <c:val>
            <c:numRef>
              <c:f>'Ark7'!$B$3:$B$23</c:f>
              <c:numCache>
                <c:formatCode>General</c:formatCode>
                <c:ptCount val="21"/>
                <c:pt idx="0">
                  <c:v>0.74445955886242743</c:v>
                </c:pt>
                <c:pt idx="1">
                  <c:v>0.79040352822473203</c:v>
                </c:pt>
                <c:pt idx="2">
                  <c:v>0.82666933618016691</c:v>
                </c:pt>
                <c:pt idx="3">
                  <c:v>0.84654290000310406</c:v>
                </c:pt>
                <c:pt idx="4">
                  <c:v>0.85933391382134827</c:v>
                </c:pt>
                <c:pt idx="5">
                  <c:v>0.91196819318899924</c:v>
                </c:pt>
                <c:pt idx="6">
                  <c:v>0.936054809196321</c:v>
                </c:pt>
                <c:pt idx="7">
                  <c:v>0.99277957321627364</c:v>
                </c:pt>
                <c:pt idx="8">
                  <c:v>0.99861420066326823</c:v>
                </c:pt>
                <c:pt idx="9">
                  <c:v>1.0062705279850266</c:v>
                </c:pt>
                <c:pt idx="10">
                  <c:v>1.0189873544348931</c:v>
                </c:pt>
                <c:pt idx="11">
                  <c:v>1.0333077625709033</c:v>
                </c:pt>
                <c:pt idx="12">
                  <c:v>1.0382589698620175</c:v>
                </c:pt>
                <c:pt idx="13">
                  <c:v>1.0448492067723014</c:v>
                </c:pt>
                <c:pt idx="14">
                  <c:v>1.0694079333260829</c:v>
                </c:pt>
                <c:pt idx="15">
                  <c:v>1.0957354551859704</c:v>
                </c:pt>
                <c:pt idx="16">
                  <c:v>1.1111250874424252</c:v>
                </c:pt>
                <c:pt idx="17">
                  <c:v>1.1442572824467665</c:v>
                </c:pt>
                <c:pt idx="18">
                  <c:v>1.2408274084857811</c:v>
                </c:pt>
                <c:pt idx="19">
                  <c:v>1.2563625371911082</c:v>
                </c:pt>
                <c:pt idx="20">
                  <c:v>1.3926371158578015</c:v>
                </c:pt>
              </c:numCache>
            </c:numRef>
          </c:val>
        </c:ser>
        <c:ser>
          <c:idx val="1"/>
          <c:order val="1"/>
          <c:tx>
            <c:strRef>
              <c:f>'Ark7'!$C$2</c:f>
              <c:strCache>
                <c:ptCount val="1"/>
                <c:pt idx="0">
                  <c:v>Specialist</c:v>
                </c:pt>
              </c:strCache>
            </c:strRef>
          </c:tx>
          <c:spPr>
            <a:solidFill>
              <a:schemeClr val="dk1">
                <a:tint val="55000"/>
              </a:schemeClr>
            </a:solidFill>
            <a:ln>
              <a:noFill/>
            </a:ln>
            <a:effectLst/>
          </c:spPr>
          <c:invertIfNegative val="0"/>
          <c:errBars>
            <c:errBarType val="both"/>
            <c:errValType val="cust"/>
            <c:noEndCap val="0"/>
            <c:plus>
              <c:numRef>
                <c:f>'Ark7'!$G$3:$G$23</c:f>
                <c:numCache>
                  <c:formatCode>General</c:formatCode>
                  <c:ptCount val="21"/>
                  <c:pt idx="0">
                    <c:v>0.15689894715154229</c:v>
                  </c:pt>
                  <c:pt idx="1">
                    <c:v>0.14253527134522781</c:v>
                  </c:pt>
                  <c:pt idx="2">
                    <c:v>0.18189870965618571</c:v>
                  </c:pt>
                  <c:pt idx="3">
                    <c:v>0.31736462742957539</c:v>
                  </c:pt>
                  <c:pt idx="4">
                    <c:v>0.27216794939549205</c:v>
                  </c:pt>
                  <c:pt idx="5">
                    <c:v>0.27629699526536133</c:v>
                  </c:pt>
                  <c:pt idx="6">
                    <c:v>0.15229594616803488</c:v>
                  </c:pt>
                  <c:pt idx="7">
                    <c:v>0.1526607062898917</c:v>
                  </c:pt>
                  <c:pt idx="8">
                    <c:v>0.17766603216822596</c:v>
                  </c:pt>
                  <c:pt idx="9">
                    <c:v>0.12746274132078605</c:v>
                  </c:pt>
                  <c:pt idx="10">
                    <c:v>0.18428695988952182</c:v>
                  </c:pt>
                  <c:pt idx="11">
                    <c:v>0.25143075969657103</c:v>
                  </c:pt>
                  <c:pt idx="12">
                    <c:v>0.17078027910687066</c:v>
                  </c:pt>
                  <c:pt idx="13">
                    <c:v>0.13765747190694022</c:v>
                  </c:pt>
                  <c:pt idx="14">
                    <c:v>7.0806029097988388E-2</c:v>
                  </c:pt>
                  <c:pt idx="15">
                    <c:v>0.15827795925876886</c:v>
                  </c:pt>
                  <c:pt idx="16">
                    <c:v>0.11598392169883698</c:v>
                  </c:pt>
                  <c:pt idx="17">
                    <c:v>0.26583955119600078</c:v>
                  </c:pt>
                  <c:pt idx="18">
                    <c:v>0.24513304910562428</c:v>
                  </c:pt>
                  <c:pt idx="19">
                    <c:v>0.16337891011452799</c:v>
                  </c:pt>
                  <c:pt idx="20">
                    <c:v>0.31618110058370741</c:v>
                  </c:pt>
                </c:numCache>
              </c:numRef>
            </c:plus>
            <c:minus>
              <c:numRef>
                <c:f>'Ark7'!$F$3:$F$23</c:f>
                <c:numCache>
                  <c:formatCode>General</c:formatCode>
                  <c:ptCount val="21"/>
                  <c:pt idx="0">
                    <c:v>0.13620105284845763</c:v>
                  </c:pt>
                  <c:pt idx="1">
                    <c:v>0.12366472865477207</c:v>
                  </c:pt>
                  <c:pt idx="2">
                    <c:v>0.15310129034381437</c:v>
                  </c:pt>
                  <c:pt idx="3">
                    <c:v>0.2493353725704246</c:v>
                  </c:pt>
                  <c:pt idx="4">
                    <c:v>0.22393205060450794</c:v>
                  </c:pt>
                  <c:pt idx="5">
                    <c:v>0.22260300473463857</c:v>
                  </c:pt>
                  <c:pt idx="6">
                    <c:v>0.13350405383196506</c:v>
                  </c:pt>
                  <c:pt idx="7">
                    <c:v>0.13373929371010829</c:v>
                  </c:pt>
                  <c:pt idx="8">
                    <c:v>0.15183396783177416</c:v>
                  </c:pt>
                  <c:pt idx="9">
                    <c:v>0.11433725867921385</c:v>
                  </c:pt>
                  <c:pt idx="10">
                    <c:v>0.16101304011047812</c:v>
                  </c:pt>
                  <c:pt idx="11">
                    <c:v>0.20316924030342909</c:v>
                  </c:pt>
                  <c:pt idx="12">
                    <c:v>0.14641972089312938</c:v>
                  </c:pt>
                  <c:pt idx="13">
                    <c:v>0.12034252809305979</c:v>
                  </c:pt>
                  <c:pt idx="14">
                    <c:v>6.6193970902011512E-2</c:v>
                  </c:pt>
                  <c:pt idx="15">
                    <c:v>0.13862204074123119</c:v>
                  </c:pt>
                  <c:pt idx="16">
                    <c:v>0.10481607830116313</c:v>
                  </c:pt>
                  <c:pt idx="17">
                    <c:v>0.21646044880399928</c:v>
                  </c:pt>
                  <c:pt idx="18">
                    <c:v>0.2027669508943758</c:v>
                  </c:pt>
                  <c:pt idx="19">
                    <c:v>0.14212108988547212</c:v>
                  </c:pt>
                  <c:pt idx="20">
                    <c:v>0.25111889941629262</c:v>
                  </c:pt>
                </c:numCache>
              </c:numRef>
            </c:minus>
            <c:spPr>
              <a:noFill/>
              <a:ln w="9525" cap="flat" cmpd="sng" algn="ctr">
                <a:solidFill>
                  <a:schemeClr val="tx1">
                    <a:lumMod val="65000"/>
                    <a:lumOff val="35000"/>
                  </a:schemeClr>
                </a:solidFill>
                <a:round/>
              </a:ln>
              <a:effectLst/>
            </c:spPr>
          </c:errBars>
          <c:cat>
            <c:strRef>
              <c:f>'Ark7'!$A$3:$A$23</c:f>
              <c:strCache>
                <c:ptCount val="21"/>
                <c:pt idx="0">
                  <c:v>Poland(*)</c:v>
                </c:pt>
                <c:pt idx="1">
                  <c:v>Belgium</c:v>
                </c:pt>
                <c:pt idx="2">
                  <c:v>Lithuania</c:v>
                </c:pt>
                <c:pt idx="3">
                  <c:v>Portugal</c:v>
                </c:pt>
                <c:pt idx="4">
                  <c:v>Czech Rep*</c:v>
                </c:pt>
                <c:pt idx="5">
                  <c:v>Israel</c:v>
                </c:pt>
                <c:pt idx="6">
                  <c:v>Netherlands</c:v>
                </c:pt>
                <c:pt idx="7">
                  <c:v>Switzerland</c:v>
                </c:pt>
                <c:pt idx="8">
                  <c:v>Germany</c:v>
                </c:pt>
                <c:pt idx="9">
                  <c:v>Norway*</c:v>
                </c:pt>
                <c:pt idx="10">
                  <c:v>Austria*</c:v>
                </c:pt>
                <c:pt idx="11">
                  <c:v>Hungary</c:v>
                </c:pt>
                <c:pt idx="12">
                  <c:v>Denmark</c:v>
                </c:pt>
                <c:pt idx="13">
                  <c:v>Sweden</c:v>
                </c:pt>
                <c:pt idx="14">
                  <c:v>Ireland</c:v>
                </c:pt>
                <c:pt idx="15">
                  <c:v>Finland*</c:v>
                </c:pt>
                <c:pt idx="16">
                  <c:v>UK</c:v>
                </c:pt>
                <c:pt idx="17">
                  <c:v>Slovenia</c:v>
                </c:pt>
                <c:pt idx="18">
                  <c:v>France* </c:v>
                </c:pt>
                <c:pt idx="19">
                  <c:v>Spain</c:v>
                </c:pt>
                <c:pt idx="20">
                  <c:v>Estonia*(*)</c:v>
                </c:pt>
              </c:strCache>
            </c:strRef>
          </c:cat>
          <c:val>
            <c:numRef>
              <c:f>'Ark7'!$C$3:$C$23</c:f>
              <c:numCache>
                <c:formatCode>General</c:formatCode>
                <c:ptCount val="21"/>
                <c:pt idx="0">
                  <c:v>1.0334010528484576</c:v>
                </c:pt>
                <c:pt idx="1">
                  <c:v>0.9328647286547721</c:v>
                </c:pt>
                <c:pt idx="2">
                  <c:v>0.96690129034381433</c:v>
                </c:pt>
                <c:pt idx="3">
                  <c:v>1.1624353725704246</c:v>
                </c:pt>
                <c:pt idx="4">
                  <c:v>1.264132050604508</c:v>
                </c:pt>
                <c:pt idx="5">
                  <c:v>1.1455030047346386</c:v>
                </c:pt>
                <c:pt idx="6">
                  <c:v>1.0798040538319651</c:v>
                </c:pt>
                <c:pt idx="7">
                  <c:v>1.0793392937101083</c:v>
                </c:pt>
                <c:pt idx="8">
                  <c:v>1.0432339678317741</c:v>
                </c:pt>
                <c:pt idx="9">
                  <c:v>1.1069372586792139</c:v>
                </c:pt>
                <c:pt idx="10">
                  <c:v>1.2719130401104781</c:v>
                </c:pt>
                <c:pt idx="11">
                  <c:v>1.058469240303429</c:v>
                </c:pt>
                <c:pt idx="12">
                  <c:v>1.0246197208931294</c:v>
                </c:pt>
                <c:pt idx="13">
                  <c:v>0.95304252809305978</c:v>
                </c:pt>
                <c:pt idx="14">
                  <c:v>1.0087939709020115</c:v>
                </c:pt>
                <c:pt idx="15">
                  <c:v>1.1210220407412312</c:v>
                </c:pt>
                <c:pt idx="16">
                  <c:v>1.0831160783011631</c:v>
                </c:pt>
                <c:pt idx="17">
                  <c:v>1.1652604488039993</c:v>
                </c:pt>
                <c:pt idx="18">
                  <c:v>1.1732669508943758</c:v>
                </c:pt>
                <c:pt idx="19">
                  <c:v>1.0918210898854721</c:v>
                </c:pt>
                <c:pt idx="20">
                  <c:v>1.2203188994162926</c:v>
                </c:pt>
              </c:numCache>
            </c:numRef>
          </c:val>
        </c:ser>
        <c:dLbls>
          <c:showLegendKey val="0"/>
          <c:showVal val="0"/>
          <c:showCatName val="0"/>
          <c:showSerName val="0"/>
          <c:showPercent val="0"/>
          <c:showBubbleSize val="0"/>
        </c:dLbls>
        <c:gapWidth val="219"/>
        <c:overlap val="-27"/>
        <c:axId val="716572736"/>
        <c:axId val="716579792"/>
      </c:barChart>
      <c:catAx>
        <c:axId val="71657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79792"/>
        <c:crossesAt val="0"/>
        <c:auto val="1"/>
        <c:lblAlgn val="ctr"/>
        <c:lblOffset val="100"/>
        <c:noMultiLvlLbl val="0"/>
      </c:catAx>
      <c:valAx>
        <c:axId val="716579792"/>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nb-NO"/>
                  <a:t>ARR</a:t>
                </a:r>
              </a:p>
            </c:rich>
          </c:tx>
          <c:overlay val="0"/>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72736"/>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Occupation</a:t>
            </a:r>
          </a:p>
        </c:rich>
      </c:tx>
      <c:overlay val="0"/>
      <c:spPr>
        <a:noFill/>
        <a:ln>
          <a:noFill/>
        </a:ln>
        <a:effectLst/>
      </c:spPr>
    </c:title>
    <c:autoTitleDeleted val="0"/>
    <c:plotArea>
      <c:layout>
        <c:manualLayout>
          <c:layoutTarget val="inner"/>
          <c:xMode val="edge"/>
          <c:yMode val="edge"/>
          <c:x val="0.13734492563429571"/>
          <c:y val="0.17171296296296298"/>
          <c:w val="0.8376550743657043"/>
          <c:h val="0.4015806357538641"/>
        </c:manualLayout>
      </c:layout>
      <c:barChart>
        <c:barDir val="col"/>
        <c:grouping val="clustered"/>
        <c:varyColors val="0"/>
        <c:ser>
          <c:idx val="0"/>
          <c:order val="0"/>
          <c:tx>
            <c:strRef>
              <c:f>'Ark1'!$C$2</c:f>
              <c:strCache>
                <c:ptCount val="1"/>
                <c:pt idx="0">
                  <c:v>GP</c:v>
                </c:pt>
              </c:strCache>
            </c:strRef>
          </c:tx>
          <c:spPr>
            <a:solidFill>
              <a:schemeClr val="dk1">
                <a:tint val="88500"/>
              </a:schemeClr>
            </a:solidFill>
            <a:ln>
              <a:noFill/>
            </a:ln>
            <a:effectLst/>
          </c:spPr>
          <c:invertIfNegative val="0"/>
          <c:errBars>
            <c:errBarType val="both"/>
            <c:errValType val="cust"/>
            <c:noEndCap val="0"/>
            <c:plus>
              <c:numRef>
                <c:f>'Ark1'!$F$3:$F$23</c:f>
                <c:numCache>
                  <c:formatCode>General</c:formatCode>
                  <c:ptCount val="21"/>
                  <c:pt idx="0">
                    <c:v>0.21999242746187397</c:v>
                  </c:pt>
                  <c:pt idx="1">
                    <c:v>0.19807070582813846</c:v>
                  </c:pt>
                  <c:pt idx="2">
                    <c:v>0.37001299609316141</c:v>
                  </c:pt>
                  <c:pt idx="3">
                    <c:v>0.34386415822562233</c:v>
                  </c:pt>
                  <c:pt idx="4">
                    <c:v>0.31486552944556212</c:v>
                  </c:pt>
                  <c:pt idx="5">
                    <c:v>0.16937024508937515</c:v>
                  </c:pt>
                  <c:pt idx="6">
                    <c:v>0.24303805524401334</c:v>
                  </c:pt>
                  <c:pt idx="7">
                    <c:v>0.35250838675502494</c:v>
                  </c:pt>
                  <c:pt idx="8">
                    <c:v>0.24237896333593523</c:v>
                  </c:pt>
                  <c:pt idx="9">
                    <c:v>0.4145554515723715</c:v>
                  </c:pt>
                  <c:pt idx="10">
                    <c:v>0.49513827688802037</c:v>
                  </c:pt>
                  <c:pt idx="11">
                    <c:v>0.32645516583245393</c:v>
                  </c:pt>
                  <c:pt idx="12">
                    <c:v>0.28188904780601809</c:v>
                  </c:pt>
                  <c:pt idx="13">
                    <c:v>0.27970501297955241</c:v>
                  </c:pt>
                  <c:pt idx="14">
                    <c:v>0.47707179287634749</c:v>
                  </c:pt>
                  <c:pt idx="15">
                    <c:v>0.31373893853902968</c:v>
                  </c:pt>
                  <c:pt idx="16">
                    <c:v>0.37964605920535677</c:v>
                  </c:pt>
                  <c:pt idx="17">
                    <c:v>0.35452566265586993</c:v>
                  </c:pt>
                  <c:pt idx="18">
                    <c:v>0.47927945142579631</c:v>
                  </c:pt>
                  <c:pt idx="19">
                    <c:v>0.39347514620593516</c:v>
                  </c:pt>
                  <c:pt idx="20">
                    <c:v>1.2083983993621903</c:v>
                  </c:pt>
                </c:numCache>
              </c:numRef>
            </c:plus>
            <c:minus>
              <c:numRef>
                <c:f>'Ark1'!$E$3:$E$23</c:f>
                <c:numCache>
                  <c:formatCode>General</c:formatCode>
                  <c:ptCount val="21"/>
                  <c:pt idx="0">
                    <c:v>0.17300757253812593</c:v>
                  </c:pt>
                  <c:pt idx="1">
                    <c:v>0.15972929417186155</c:v>
                  </c:pt>
                  <c:pt idx="2">
                    <c:v>0.25688700390683872</c:v>
                  </c:pt>
                  <c:pt idx="3">
                    <c:v>0.24523584177437774</c:v>
                  </c:pt>
                  <c:pt idx="4">
                    <c:v>0.23463447055443787</c:v>
                  </c:pt>
                  <c:pt idx="5">
                    <c:v>0.14322975491062495</c:v>
                  </c:pt>
                  <c:pt idx="6">
                    <c:v>0.1938619447559865</c:v>
                  </c:pt>
                  <c:pt idx="7">
                    <c:v>0.26089161324497512</c:v>
                  </c:pt>
                  <c:pt idx="8">
                    <c:v>0.1958210366640647</c:v>
                  </c:pt>
                  <c:pt idx="9">
                    <c:v>0.29534454842762858</c:v>
                  </c:pt>
                  <c:pt idx="10">
                    <c:v>0.33536172311197965</c:v>
                  </c:pt>
                  <c:pt idx="11">
                    <c:v>0.25114483416754596</c:v>
                  </c:pt>
                  <c:pt idx="12">
                    <c:v>0.22491095219398194</c:v>
                  </c:pt>
                  <c:pt idx="13">
                    <c:v>0.22419498702044749</c:v>
                  </c:pt>
                  <c:pt idx="14">
                    <c:v>0.33582820712365247</c:v>
                  </c:pt>
                  <c:pt idx="15">
                    <c:v>0.2469610614609703</c:v>
                  </c:pt>
                  <c:pt idx="16">
                    <c:v>0.28905394079464319</c:v>
                  </c:pt>
                  <c:pt idx="17">
                    <c:v>0.27537433734412997</c:v>
                  </c:pt>
                  <c:pt idx="18">
                    <c:v>0.34872054857420365</c:v>
                  </c:pt>
                  <c:pt idx="19">
                    <c:v>0.31042485379406481</c:v>
                  </c:pt>
                  <c:pt idx="20">
                    <c:v>0.67630160063780986</c:v>
                  </c:pt>
                </c:numCache>
              </c:numRef>
            </c:minus>
            <c:spPr>
              <a:noFill/>
              <a:ln w="9525" cap="flat" cmpd="sng" algn="ctr">
                <a:solidFill>
                  <a:schemeClr val="tx1">
                    <a:lumMod val="65000"/>
                    <a:lumOff val="35000"/>
                  </a:schemeClr>
                </a:solidFill>
                <a:round/>
              </a:ln>
              <a:effectLst/>
            </c:spPr>
          </c:errBars>
          <c:cat>
            <c:strRef>
              <c:f>'Ark1'!$B$3:$B$23</c:f>
              <c:strCache>
                <c:ptCount val="21"/>
                <c:pt idx="0">
                  <c:v>Germany(*)</c:v>
                </c:pt>
                <c:pt idx="1">
                  <c:v>Switzerland*(*)</c:v>
                </c:pt>
                <c:pt idx="2">
                  <c:v>Denmark</c:v>
                </c:pt>
                <c:pt idx="3">
                  <c:v>Norway</c:v>
                </c:pt>
                <c:pt idx="4">
                  <c:v>Spain</c:v>
                </c:pt>
                <c:pt idx="5">
                  <c:v>Sweden*</c:v>
                </c:pt>
                <c:pt idx="6">
                  <c:v>Estonia</c:v>
                </c:pt>
                <c:pt idx="7">
                  <c:v>Austria*</c:v>
                </c:pt>
                <c:pt idx="8">
                  <c:v>Netherlands</c:v>
                </c:pt>
                <c:pt idx="9">
                  <c:v>Israel</c:v>
                </c:pt>
                <c:pt idx="10">
                  <c:v>France </c:v>
                </c:pt>
                <c:pt idx="11">
                  <c:v>Lithuania</c:v>
                </c:pt>
                <c:pt idx="12">
                  <c:v>Finland</c:v>
                </c:pt>
                <c:pt idx="13">
                  <c:v>Ireland</c:v>
                </c:pt>
                <c:pt idx="14">
                  <c:v>Slovenia</c:v>
                </c:pt>
                <c:pt idx="15">
                  <c:v>UK</c:v>
                </c:pt>
                <c:pt idx="16">
                  <c:v>Czech Rep*</c:v>
                </c:pt>
                <c:pt idx="17">
                  <c:v>Poland</c:v>
                </c:pt>
                <c:pt idx="18">
                  <c:v>Belgium</c:v>
                </c:pt>
                <c:pt idx="19">
                  <c:v>Hungary(*)</c:v>
                </c:pt>
                <c:pt idx="20">
                  <c:v>Portugal</c:v>
                </c:pt>
              </c:strCache>
            </c:strRef>
          </c:cat>
          <c:val>
            <c:numRef>
              <c:f>'Ark1'!$C$3:$C$23</c:f>
              <c:numCache>
                <c:formatCode>General</c:formatCode>
                <c:ptCount val="21"/>
                <c:pt idx="0">
                  <c:v>0.81100757253812594</c:v>
                </c:pt>
                <c:pt idx="1">
                  <c:v>0.82402929417186155</c:v>
                </c:pt>
                <c:pt idx="2">
                  <c:v>0.8406870039068387</c:v>
                </c:pt>
                <c:pt idx="3">
                  <c:v>0.85533584177437771</c:v>
                </c:pt>
                <c:pt idx="4">
                  <c:v>0.9208344705544379</c:v>
                </c:pt>
                <c:pt idx="5">
                  <c:v>0.92862975491062494</c:v>
                </c:pt>
                <c:pt idx="6">
                  <c:v>0.95756194475598655</c:v>
                </c:pt>
                <c:pt idx="7">
                  <c:v>1.0036916132449751</c:v>
                </c:pt>
                <c:pt idx="8">
                  <c:v>1.0199210366640648</c:v>
                </c:pt>
                <c:pt idx="9">
                  <c:v>1.0265445484276285</c:v>
                </c:pt>
                <c:pt idx="10">
                  <c:v>1.0394617231119796</c:v>
                </c:pt>
                <c:pt idx="11">
                  <c:v>1.089844834167546</c:v>
                </c:pt>
                <c:pt idx="12">
                  <c:v>1.1134109521939819</c:v>
                </c:pt>
                <c:pt idx="13">
                  <c:v>1.1304949870204475</c:v>
                </c:pt>
                <c:pt idx="14">
                  <c:v>1.1342282071236525</c:v>
                </c:pt>
                <c:pt idx="15">
                  <c:v>1.1605610614609703</c:v>
                </c:pt>
                <c:pt idx="16">
                  <c:v>1.2117539407946432</c:v>
                </c:pt>
                <c:pt idx="17">
                  <c:v>1.23317433734413</c:v>
                </c:pt>
                <c:pt idx="18">
                  <c:v>1.2807205485742037</c:v>
                </c:pt>
                <c:pt idx="19">
                  <c:v>1.4720248537940648</c:v>
                </c:pt>
                <c:pt idx="20">
                  <c:v>1.5360016006378099</c:v>
                </c:pt>
              </c:numCache>
            </c:numRef>
          </c:val>
        </c:ser>
        <c:ser>
          <c:idx val="1"/>
          <c:order val="1"/>
          <c:tx>
            <c:strRef>
              <c:f>'Ark1'!$D$2</c:f>
              <c:strCache>
                <c:ptCount val="1"/>
                <c:pt idx="0">
                  <c:v>Specialist</c:v>
                </c:pt>
              </c:strCache>
            </c:strRef>
          </c:tx>
          <c:spPr>
            <a:solidFill>
              <a:schemeClr val="dk1">
                <a:tint val="55000"/>
              </a:schemeClr>
            </a:solidFill>
            <a:ln>
              <a:noFill/>
            </a:ln>
            <a:effectLst/>
          </c:spPr>
          <c:invertIfNegative val="0"/>
          <c:errBars>
            <c:errBarType val="both"/>
            <c:errValType val="cust"/>
            <c:noEndCap val="0"/>
            <c:plus>
              <c:numRef>
                <c:f>'Ark1'!$H$3:$H$23</c:f>
                <c:numCache>
                  <c:formatCode>General</c:formatCode>
                  <c:ptCount val="21"/>
                  <c:pt idx="0">
                    <c:v>0.1778602323008498</c:v>
                  </c:pt>
                  <c:pt idx="1">
                    <c:v>0.14983275650946704</c:v>
                  </c:pt>
                  <c:pt idx="2">
                    <c:v>0.17574047890813205</c:v>
                  </c:pt>
                  <c:pt idx="3">
                    <c:v>0.105674111249074</c:v>
                  </c:pt>
                  <c:pt idx="4">
                    <c:v>0.19824883662844606</c:v>
                  </c:pt>
                  <c:pt idx="5">
                    <c:v>0.13091519777026006</c:v>
                  </c:pt>
                  <c:pt idx="6">
                    <c:v>0.17327826141711533</c:v>
                  </c:pt>
                  <c:pt idx="7">
                    <c:v>0.21284162837048504</c:v>
                  </c:pt>
                  <c:pt idx="8">
                    <c:v>0.12606005238605555</c:v>
                  </c:pt>
                  <c:pt idx="9">
                    <c:v>0.23693397019722329</c:v>
                  </c:pt>
                  <c:pt idx="10">
                    <c:v>0.195293821614555</c:v>
                  </c:pt>
                  <c:pt idx="11">
                    <c:v>0.12889553011976462</c:v>
                  </c:pt>
                  <c:pt idx="12">
                    <c:v>0.1436110020644179</c:v>
                  </c:pt>
                  <c:pt idx="13">
                    <c:v>7.0442604334310599E-2</c:v>
                  </c:pt>
                  <c:pt idx="14">
                    <c:v>0.18653862586887471</c:v>
                  </c:pt>
                  <c:pt idx="15">
                    <c:v>0.10364260096663735</c:v>
                  </c:pt>
                  <c:pt idx="16">
                    <c:v>0.13376155520541277</c:v>
                  </c:pt>
                  <c:pt idx="17">
                    <c:v>0.16676217268521221</c:v>
                  </c:pt>
                  <c:pt idx="18">
                    <c:v>0.15094427104894881</c:v>
                  </c:pt>
                  <c:pt idx="19">
                    <c:v>0.14961975277946027</c:v>
                  </c:pt>
                  <c:pt idx="20">
                    <c:v>0.20133226654291658</c:v>
                  </c:pt>
                </c:numCache>
              </c:numRef>
            </c:plus>
            <c:minus>
              <c:numRef>
                <c:f>'Ark1'!$G$3:$G$23</c:f>
                <c:numCache>
                  <c:formatCode>General</c:formatCode>
                  <c:ptCount val="21"/>
                  <c:pt idx="0">
                    <c:v>0.15273976769915021</c:v>
                  </c:pt>
                  <c:pt idx="1">
                    <c:v>0.1321672434905331</c:v>
                  </c:pt>
                  <c:pt idx="2">
                    <c:v>0.15055952109186799</c:v>
                  </c:pt>
                  <c:pt idx="3">
                    <c:v>9.522588875092608E-2</c:v>
                  </c:pt>
                  <c:pt idx="4">
                    <c:v>0.16825116337155399</c:v>
                  </c:pt>
                  <c:pt idx="5">
                    <c:v>0.11748480222973989</c:v>
                  </c:pt>
                  <c:pt idx="6">
                    <c:v>0.14862173858288474</c:v>
                  </c:pt>
                  <c:pt idx="7">
                    <c:v>0.18045837162951495</c:v>
                  </c:pt>
                  <c:pt idx="8">
                    <c:v>0.11223994761394451</c:v>
                  </c:pt>
                  <c:pt idx="9">
                    <c:v>0.19406602980277665</c:v>
                  </c:pt>
                  <c:pt idx="10">
                    <c:v>0.16450617838544501</c:v>
                  </c:pt>
                  <c:pt idx="11">
                    <c:v>0.11350446988023533</c:v>
                  </c:pt>
                  <c:pt idx="12">
                    <c:v>0.12598899793558205</c:v>
                  </c:pt>
                  <c:pt idx="13">
                    <c:v>6.56573956656894E-2</c:v>
                  </c:pt>
                  <c:pt idx="14">
                    <c:v>0.15696137413112543</c:v>
                  </c:pt>
                  <c:pt idx="15">
                    <c:v>9.4457399033362699E-2</c:v>
                  </c:pt>
                  <c:pt idx="16">
                    <c:v>0.11943844479458721</c:v>
                  </c:pt>
                  <c:pt idx="17">
                    <c:v>0.14333782731478772</c:v>
                  </c:pt>
                  <c:pt idx="18">
                    <c:v>0.13205572895105122</c:v>
                  </c:pt>
                  <c:pt idx="19">
                    <c:v>0.13028024722053977</c:v>
                  </c:pt>
                  <c:pt idx="20">
                    <c:v>0.16426773345708345</c:v>
                  </c:pt>
                </c:numCache>
              </c:numRef>
            </c:minus>
            <c:spPr>
              <a:noFill/>
              <a:ln w="9525" cap="flat" cmpd="sng" algn="ctr">
                <a:solidFill>
                  <a:schemeClr val="tx1">
                    <a:lumMod val="65000"/>
                    <a:lumOff val="35000"/>
                  </a:schemeClr>
                </a:solidFill>
                <a:round/>
              </a:ln>
              <a:effectLst/>
            </c:spPr>
          </c:errBars>
          <c:cat>
            <c:strRef>
              <c:f>'Ark1'!$B$3:$B$23</c:f>
              <c:strCache>
                <c:ptCount val="21"/>
                <c:pt idx="0">
                  <c:v>Germany(*)</c:v>
                </c:pt>
                <c:pt idx="1">
                  <c:v>Switzerland*(*)</c:v>
                </c:pt>
                <c:pt idx="2">
                  <c:v>Denmark</c:v>
                </c:pt>
                <c:pt idx="3">
                  <c:v>Norway</c:v>
                </c:pt>
                <c:pt idx="4">
                  <c:v>Spain</c:v>
                </c:pt>
                <c:pt idx="5">
                  <c:v>Sweden*</c:v>
                </c:pt>
                <c:pt idx="6">
                  <c:v>Estonia</c:v>
                </c:pt>
                <c:pt idx="7">
                  <c:v>Austria*</c:v>
                </c:pt>
                <c:pt idx="8">
                  <c:v>Netherlands</c:v>
                </c:pt>
                <c:pt idx="9">
                  <c:v>Israel</c:v>
                </c:pt>
                <c:pt idx="10">
                  <c:v>France </c:v>
                </c:pt>
                <c:pt idx="11">
                  <c:v>Lithuania</c:v>
                </c:pt>
                <c:pt idx="12">
                  <c:v>Finland</c:v>
                </c:pt>
                <c:pt idx="13">
                  <c:v>Ireland</c:v>
                </c:pt>
                <c:pt idx="14">
                  <c:v>Slovenia</c:v>
                </c:pt>
                <c:pt idx="15">
                  <c:v>UK</c:v>
                </c:pt>
                <c:pt idx="16">
                  <c:v>Czech Rep*</c:v>
                </c:pt>
                <c:pt idx="17">
                  <c:v>Poland</c:v>
                </c:pt>
                <c:pt idx="18">
                  <c:v>Belgium</c:v>
                </c:pt>
                <c:pt idx="19">
                  <c:v>Hungary(*)</c:v>
                </c:pt>
                <c:pt idx="20">
                  <c:v>Portugal</c:v>
                </c:pt>
              </c:strCache>
            </c:strRef>
          </c:cat>
          <c:val>
            <c:numRef>
              <c:f>'Ark1'!$D$3:$D$23</c:f>
              <c:numCache>
                <c:formatCode>General</c:formatCode>
                <c:ptCount val="21"/>
                <c:pt idx="0">
                  <c:v>1.0844397676991502</c:v>
                </c:pt>
                <c:pt idx="1">
                  <c:v>1.1214672434905331</c:v>
                </c:pt>
                <c:pt idx="2">
                  <c:v>1.049859521091868</c:v>
                </c:pt>
                <c:pt idx="3">
                  <c:v>0.96202588875092609</c:v>
                </c:pt>
                <c:pt idx="4">
                  <c:v>1.113351163371554</c:v>
                </c:pt>
                <c:pt idx="5">
                  <c:v>1.1452848022297399</c:v>
                </c:pt>
                <c:pt idx="6">
                  <c:v>1.0462217385828847</c:v>
                </c:pt>
                <c:pt idx="7">
                  <c:v>1.1847583716295149</c:v>
                </c:pt>
                <c:pt idx="8">
                  <c:v>1.0265399476139445</c:v>
                </c:pt>
                <c:pt idx="9">
                  <c:v>1.0718660298027767</c:v>
                </c:pt>
                <c:pt idx="10">
                  <c:v>1.0441061783854451</c:v>
                </c:pt>
                <c:pt idx="11">
                  <c:v>0.95270446988023527</c:v>
                </c:pt>
                <c:pt idx="12">
                  <c:v>1.0238889979355821</c:v>
                </c:pt>
                <c:pt idx="13">
                  <c:v>0.96835739566568935</c:v>
                </c:pt>
                <c:pt idx="14">
                  <c:v>0.99006137413112538</c:v>
                </c:pt>
                <c:pt idx="15">
                  <c:v>1.0751573990333627</c:v>
                </c:pt>
                <c:pt idx="16">
                  <c:v>1.1140384447945872</c:v>
                </c:pt>
                <c:pt idx="17">
                  <c:v>1.0190378273147878</c:v>
                </c:pt>
                <c:pt idx="18">
                  <c:v>1.0520557289510513</c:v>
                </c:pt>
                <c:pt idx="19">
                  <c:v>1.0092802472205398</c:v>
                </c:pt>
                <c:pt idx="20">
                  <c:v>0.89326773345708343</c:v>
                </c:pt>
              </c:numCache>
            </c:numRef>
          </c:val>
        </c:ser>
        <c:dLbls>
          <c:showLegendKey val="0"/>
          <c:showVal val="0"/>
          <c:showCatName val="0"/>
          <c:showSerName val="0"/>
          <c:showPercent val="0"/>
          <c:showBubbleSize val="0"/>
        </c:dLbls>
        <c:gapWidth val="219"/>
        <c:overlap val="-27"/>
        <c:axId val="716574696"/>
        <c:axId val="716584888"/>
      </c:barChart>
      <c:catAx>
        <c:axId val="71657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84888"/>
        <c:crosses val="autoZero"/>
        <c:auto val="1"/>
        <c:lblAlgn val="ctr"/>
        <c:lblOffset val="100"/>
        <c:noMultiLvlLbl val="0"/>
      </c:catAx>
      <c:valAx>
        <c:axId val="716584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nb-NO"/>
                  <a:t>ARR</a:t>
                </a:r>
              </a:p>
            </c:rich>
          </c:tx>
          <c:overlay val="0"/>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74696"/>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Education</a:t>
            </a:r>
          </a:p>
        </c:rich>
      </c:tx>
      <c:overlay val="0"/>
      <c:spPr>
        <a:noFill/>
        <a:ln>
          <a:noFill/>
        </a:ln>
        <a:effectLst/>
      </c:spPr>
    </c:title>
    <c:autoTitleDeleted val="0"/>
    <c:plotArea>
      <c:layout/>
      <c:barChart>
        <c:barDir val="col"/>
        <c:grouping val="clustered"/>
        <c:varyColors val="0"/>
        <c:ser>
          <c:idx val="0"/>
          <c:order val="0"/>
          <c:tx>
            <c:strRef>
              <c:f>'Ark3'!$B$2</c:f>
              <c:strCache>
                <c:ptCount val="1"/>
                <c:pt idx="0">
                  <c:v>GP</c:v>
                </c:pt>
              </c:strCache>
            </c:strRef>
          </c:tx>
          <c:spPr>
            <a:solidFill>
              <a:schemeClr val="dk1">
                <a:tint val="88500"/>
              </a:schemeClr>
            </a:solidFill>
            <a:ln>
              <a:noFill/>
            </a:ln>
            <a:effectLst/>
          </c:spPr>
          <c:invertIfNegative val="0"/>
          <c:errBars>
            <c:errBarType val="both"/>
            <c:errValType val="cust"/>
            <c:noEndCap val="0"/>
            <c:plus>
              <c:numRef>
                <c:f>'Ark3'!$E$3:$E$23</c:f>
                <c:numCache>
                  <c:formatCode>General</c:formatCode>
                  <c:ptCount val="21"/>
                  <c:pt idx="0">
                    <c:v>0.35676537498805994</c:v>
                  </c:pt>
                  <c:pt idx="1">
                    <c:v>0.25420086621290872</c:v>
                  </c:pt>
                  <c:pt idx="2">
                    <c:v>0.21349581136811491</c:v>
                  </c:pt>
                  <c:pt idx="3">
                    <c:v>0.27850375496657598</c:v>
                  </c:pt>
                  <c:pt idx="4">
                    <c:v>0.19391644218375437</c:v>
                  </c:pt>
                  <c:pt idx="5">
                    <c:v>0.18694081096511217</c:v>
                  </c:pt>
                  <c:pt idx="6">
                    <c:v>0.20158889390744006</c:v>
                  </c:pt>
                  <c:pt idx="7">
                    <c:v>0.23402071116445033</c:v>
                  </c:pt>
                  <c:pt idx="8">
                    <c:v>0.30753957302963453</c:v>
                  </c:pt>
                  <c:pt idx="9">
                    <c:v>0.36799249403617107</c:v>
                  </c:pt>
                  <c:pt idx="10">
                    <c:v>0.1647436533339266</c:v>
                  </c:pt>
                  <c:pt idx="11">
                    <c:v>0.23225317004151347</c:v>
                  </c:pt>
                  <c:pt idx="12">
                    <c:v>0.24468039116541707</c:v>
                  </c:pt>
                  <c:pt idx="13">
                    <c:v>0.23357743524275998</c:v>
                  </c:pt>
                  <c:pt idx="14">
                    <c:v>0.3619902713277563</c:v>
                  </c:pt>
                  <c:pt idx="15">
                    <c:v>0.40363513381266913</c:v>
                  </c:pt>
                  <c:pt idx="16">
                    <c:v>0.28863727315989141</c:v>
                  </c:pt>
                  <c:pt idx="17">
                    <c:v>0.35842140035897407</c:v>
                  </c:pt>
                  <c:pt idx="18">
                    <c:v>0.59249755092392431</c:v>
                  </c:pt>
                  <c:pt idx="19">
                    <c:v>0.55316217970112525</c:v>
                  </c:pt>
                  <c:pt idx="20">
                    <c:v>0.86895434774319202</c:v>
                  </c:pt>
                </c:numCache>
              </c:numRef>
            </c:plus>
            <c:minus>
              <c:numRef>
                <c:f>'Ark3'!$D$3:$D$23</c:f>
                <c:numCache>
                  <c:formatCode>General</c:formatCode>
                  <c:ptCount val="21"/>
                  <c:pt idx="0">
                    <c:v>0.21493462501194005</c:v>
                  </c:pt>
                  <c:pt idx="1">
                    <c:v>0.19079913378709124</c:v>
                  </c:pt>
                  <c:pt idx="2">
                    <c:v>0.17000418863188516</c:v>
                  </c:pt>
                  <c:pt idx="3">
                    <c:v>0.21019624503342393</c:v>
                  </c:pt>
                  <c:pt idx="4">
                    <c:v>0.15838355781624558</c:v>
                  </c:pt>
                  <c:pt idx="5">
                    <c:v>0.15375918903488772</c:v>
                  </c:pt>
                  <c:pt idx="6">
                    <c:v>0.16421110609255996</c:v>
                  </c:pt>
                  <c:pt idx="7">
                    <c:v>0.18597928883554971</c:v>
                  </c:pt>
                  <c:pt idx="8">
                    <c:v>0.23136042697036541</c:v>
                  </c:pt>
                  <c:pt idx="9">
                    <c:v>0.26490750596382906</c:v>
                  </c:pt>
                  <c:pt idx="10">
                    <c:v>0.14055634666607342</c:v>
                  </c:pt>
                  <c:pt idx="11">
                    <c:v>0.18714682995848642</c:v>
                  </c:pt>
                  <c:pt idx="12">
                    <c:v>0.19591960883458281</c:v>
                  </c:pt>
                  <c:pt idx="13">
                    <c:v>0.19022256475723998</c:v>
                  </c:pt>
                  <c:pt idx="14">
                    <c:v>0.26780972867224384</c:v>
                  </c:pt>
                  <c:pt idx="15">
                    <c:v>0.29266486618733101</c:v>
                  </c:pt>
                  <c:pt idx="16">
                    <c:v>0.22806272684010853</c:v>
                  </c:pt>
                  <c:pt idx="17">
                    <c:v>0.27497859964102589</c:v>
                  </c:pt>
                  <c:pt idx="18">
                    <c:v>0.39770244907607577</c:v>
                  </c:pt>
                  <c:pt idx="19">
                    <c:v>0.39953782029887486</c:v>
                  </c:pt>
                  <c:pt idx="20">
                    <c:v>0.56674565225680795</c:v>
                  </c:pt>
                </c:numCache>
              </c:numRef>
            </c:minus>
            <c:spPr>
              <a:noFill/>
              <a:ln w="9525" cap="flat" cmpd="sng" algn="ctr">
                <a:solidFill>
                  <a:schemeClr val="tx1">
                    <a:lumMod val="65000"/>
                    <a:lumOff val="35000"/>
                  </a:schemeClr>
                </a:solidFill>
                <a:round/>
              </a:ln>
              <a:effectLst/>
            </c:spPr>
          </c:errBars>
          <c:cat>
            <c:strRef>
              <c:f>'Ark3'!$A$3:$A$23</c:f>
              <c:strCache>
                <c:ptCount val="21"/>
                <c:pt idx="0">
                  <c:v>Portugal*(*)</c:v>
                </c:pt>
                <c:pt idx="1">
                  <c:v>Austria(*)</c:v>
                </c:pt>
                <c:pt idx="2">
                  <c:v>UK*</c:v>
                </c:pt>
                <c:pt idx="3">
                  <c:v>Norway*</c:v>
                </c:pt>
                <c:pt idx="4">
                  <c:v>Lithuania</c:v>
                </c:pt>
                <c:pt idx="5">
                  <c:v>Finland*</c:v>
                </c:pt>
                <c:pt idx="6">
                  <c:v>Ireland</c:v>
                </c:pt>
                <c:pt idx="7">
                  <c:v>Germany</c:v>
                </c:pt>
                <c:pt idx="8">
                  <c:v>Czech Rep*</c:v>
                </c:pt>
                <c:pt idx="9">
                  <c:v>Spain*</c:v>
                </c:pt>
                <c:pt idx="10">
                  <c:v>Sweden</c:v>
                </c:pt>
                <c:pt idx="11">
                  <c:v>Switzerland</c:v>
                </c:pt>
                <c:pt idx="12">
                  <c:v>Netherlands</c:v>
                </c:pt>
                <c:pt idx="13">
                  <c:v>Estonia*</c:v>
                </c:pt>
                <c:pt idx="14">
                  <c:v>Israel</c:v>
                </c:pt>
                <c:pt idx="15">
                  <c:v>Denmark</c:v>
                </c:pt>
                <c:pt idx="16">
                  <c:v>Hungary</c:v>
                </c:pt>
                <c:pt idx="17">
                  <c:v>Poland*</c:v>
                </c:pt>
                <c:pt idx="18">
                  <c:v>France </c:v>
                </c:pt>
                <c:pt idx="19">
                  <c:v>Belgium(*)</c:v>
                </c:pt>
                <c:pt idx="20">
                  <c:v>Slovenia(*)</c:v>
                </c:pt>
              </c:strCache>
            </c:strRef>
          </c:cat>
          <c:val>
            <c:numRef>
              <c:f>'Ark3'!$B$3:$B$23</c:f>
              <c:numCache>
                <c:formatCode>General</c:formatCode>
                <c:ptCount val="21"/>
                <c:pt idx="0">
                  <c:v>0.54033462501194007</c:v>
                </c:pt>
                <c:pt idx="1">
                  <c:v>0.7646991337870912</c:v>
                </c:pt>
                <c:pt idx="2">
                  <c:v>0.8328041886318851</c:v>
                </c:pt>
                <c:pt idx="3">
                  <c:v>0.85729624503342394</c:v>
                </c:pt>
                <c:pt idx="4">
                  <c:v>0.86268355781624562</c:v>
                </c:pt>
                <c:pt idx="5">
                  <c:v>0.86425918903488774</c:v>
                </c:pt>
                <c:pt idx="6">
                  <c:v>0.88451110609256001</c:v>
                </c:pt>
                <c:pt idx="7">
                  <c:v>0.90647928883554973</c:v>
                </c:pt>
                <c:pt idx="8">
                  <c:v>0.93326042697036538</c:v>
                </c:pt>
                <c:pt idx="9">
                  <c:v>0.94570750596382902</c:v>
                </c:pt>
                <c:pt idx="10">
                  <c:v>0.95785634666607344</c:v>
                </c:pt>
                <c:pt idx="11">
                  <c:v>0.96424682995848643</c:v>
                </c:pt>
                <c:pt idx="12">
                  <c:v>0.98401960883458284</c:v>
                </c:pt>
                <c:pt idx="13">
                  <c:v>1.02512256475724</c:v>
                </c:pt>
                <c:pt idx="14">
                  <c:v>1.0304097286722438</c:v>
                </c:pt>
                <c:pt idx="15">
                  <c:v>1.065164866187331</c:v>
                </c:pt>
                <c:pt idx="16">
                  <c:v>1.0867627268401086</c:v>
                </c:pt>
                <c:pt idx="17">
                  <c:v>1.1800785996410259</c:v>
                </c:pt>
                <c:pt idx="18">
                  <c:v>1.2094024490760757</c:v>
                </c:pt>
                <c:pt idx="19">
                  <c:v>1.4385378202988748</c:v>
                </c:pt>
                <c:pt idx="20">
                  <c:v>1.6295456522568079</c:v>
                </c:pt>
              </c:numCache>
            </c:numRef>
          </c:val>
        </c:ser>
        <c:ser>
          <c:idx val="1"/>
          <c:order val="1"/>
          <c:tx>
            <c:strRef>
              <c:f>'Ark3'!$C$2</c:f>
              <c:strCache>
                <c:ptCount val="1"/>
                <c:pt idx="0">
                  <c:v>Specialist</c:v>
                </c:pt>
              </c:strCache>
            </c:strRef>
          </c:tx>
          <c:spPr>
            <a:solidFill>
              <a:schemeClr val="dk1">
                <a:tint val="55000"/>
              </a:schemeClr>
            </a:solidFill>
            <a:ln>
              <a:noFill/>
            </a:ln>
            <a:effectLst/>
          </c:spPr>
          <c:invertIfNegative val="0"/>
          <c:errBars>
            <c:errBarType val="both"/>
            <c:errValType val="cust"/>
            <c:noEndCap val="0"/>
            <c:plus>
              <c:numRef>
                <c:f>'Ark3'!$G$3:$G$23</c:f>
                <c:numCache>
                  <c:formatCode>General</c:formatCode>
                  <c:ptCount val="21"/>
                  <c:pt idx="0">
                    <c:v>0.78791296980689873</c:v>
                  </c:pt>
                  <c:pt idx="1">
                    <c:v>0.1707893693462581</c:v>
                  </c:pt>
                  <c:pt idx="2">
                    <c:v>0.11055064545915938</c:v>
                  </c:pt>
                  <c:pt idx="3">
                    <c:v>0.13529867116647454</c:v>
                  </c:pt>
                  <c:pt idx="4">
                    <c:v>9.5273312605639537E-2</c:v>
                  </c:pt>
                  <c:pt idx="5">
                    <c:v>0.15537482138120584</c:v>
                  </c:pt>
                  <c:pt idx="6">
                    <c:v>7.0965892146193532E-2</c:v>
                  </c:pt>
                  <c:pt idx="7">
                    <c:v>0.17031939451107103</c:v>
                  </c:pt>
                  <c:pt idx="8">
                    <c:v>0.15292298754874656</c:v>
                  </c:pt>
                  <c:pt idx="9">
                    <c:v>0.29770809532508014</c:v>
                  </c:pt>
                  <c:pt idx="10">
                    <c:v>0.11571474560547124</c:v>
                  </c:pt>
                  <c:pt idx="11">
                    <c:v>0.14931579492205049</c:v>
                  </c:pt>
                  <c:pt idx="12">
                    <c:v>0.13725300340807922</c:v>
                  </c:pt>
                  <c:pt idx="13">
                    <c:v>0.16303989399677477</c:v>
                  </c:pt>
                  <c:pt idx="14">
                    <c:v>0.2092081163595092</c:v>
                  </c:pt>
                  <c:pt idx="15">
                    <c:v>0.13974216135824458</c:v>
                  </c:pt>
                  <c:pt idx="16">
                    <c:v>0.15343385673892063</c:v>
                  </c:pt>
                  <c:pt idx="17">
                    <c:v>0.26998367243747712</c:v>
                  </c:pt>
                  <c:pt idx="18">
                    <c:v>0.22952221699313635</c:v>
                  </c:pt>
                  <c:pt idx="19">
                    <c:v>0.15245358686305788</c:v>
                  </c:pt>
                  <c:pt idx="20">
                    <c:v>0.21082246037715957</c:v>
                  </c:pt>
                </c:numCache>
              </c:numRef>
            </c:plus>
            <c:minus>
              <c:numRef>
                <c:f>'Ark3'!$F$3:$F$23</c:f>
                <c:numCache>
                  <c:formatCode>General</c:formatCode>
                  <c:ptCount val="21"/>
                  <c:pt idx="0">
                    <c:v>0.52408703019310132</c:v>
                  </c:pt>
                  <c:pt idx="1">
                    <c:v>0.14551063065374192</c:v>
                  </c:pt>
                  <c:pt idx="2">
                    <c:v>0.10034935454084071</c:v>
                  </c:pt>
                  <c:pt idx="3">
                    <c:v>0.12190132883352556</c:v>
                  </c:pt>
                  <c:pt idx="4">
                    <c:v>8.6826687394360502E-2</c:v>
                  </c:pt>
                  <c:pt idx="5">
                    <c:v>0.13732517861879412</c:v>
                  </c:pt>
                  <c:pt idx="6">
                    <c:v>6.6334107853806445E-2</c:v>
                  </c:pt>
                  <c:pt idx="7">
                    <c:v>0.14638060548892906</c:v>
                  </c:pt>
                  <c:pt idx="8">
                    <c:v>0.13457701245125342</c:v>
                  </c:pt>
                  <c:pt idx="9">
                    <c:v>0.24459190467491987</c:v>
                  </c:pt>
                  <c:pt idx="10">
                    <c:v>0.10428525439452863</c:v>
                  </c:pt>
                  <c:pt idx="11">
                    <c:v>0.13078420507794952</c:v>
                  </c:pt>
                  <c:pt idx="12">
                    <c:v>0.12084699659192089</c:v>
                  </c:pt>
                  <c:pt idx="13">
                    <c:v>0.14246010600322534</c:v>
                  </c:pt>
                  <c:pt idx="14">
                    <c:v>0.17489188364049069</c:v>
                  </c:pt>
                  <c:pt idx="15">
                    <c:v>0.1224578386417553</c:v>
                  </c:pt>
                  <c:pt idx="16">
                    <c:v>0.13416614326107934</c:v>
                  </c:pt>
                  <c:pt idx="17">
                    <c:v>0.22511632756252298</c:v>
                  </c:pt>
                  <c:pt idx="18">
                    <c:v>0.19107778300686362</c:v>
                  </c:pt>
                  <c:pt idx="19">
                    <c:v>0.13364641313694214</c:v>
                  </c:pt>
                  <c:pt idx="20">
                    <c:v>0.17637753962284042</c:v>
                  </c:pt>
                </c:numCache>
              </c:numRef>
            </c:minus>
            <c:spPr>
              <a:noFill/>
              <a:ln w="9525" cap="flat" cmpd="sng" algn="ctr">
                <a:solidFill>
                  <a:schemeClr val="tx1">
                    <a:lumMod val="65000"/>
                    <a:lumOff val="35000"/>
                  </a:schemeClr>
                </a:solidFill>
                <a:round/>
              </a:ln>
              <a:effectLst/>
            </c:spPr>
          </c:errBars>
          <c:cat>
            <c:strRef>
              <c:f>'Ark3'!$A$3:$A$23</c:f>
              <c:strCache>
                <c:ptCount val="21"/>
                <c:pt idx="0">
                  <c:v>Portugal*(*)</c:v>
                </c:pt>
                <c:pt idx="1">
                  <c:v>Austria(*)</c:v>
                </c:pt>
                <c:pt idx="2">
                  <c:v>UK*</c:v>
                </c:pt>
                <c:pt idx="3">
                  <c:v>Norway*</c:v>
                </c:pt>
                <c:pt idx="4">
                  <c:v>Lithuania</c:v>
                </c:pt>
                <c:pt idx="5">
                  <c:v>Finland*</c:v>
                </c:pt>
                <c:pt idx="6">
                  <c:v>Ireland</c:v>
                </c:pt>
                <c:pt idx="7">
                  <c:v>Germany</c:v>
                </c:pt>
                <c:pt idx="8">
                  <c:v>Czech Rep*</c:v>
                </c:pt>
                <c:pt idx="9">
                  <c:v>Spain*</c:v>
                </c:pt>
                <c:pt idx="10">
                  <c:v>Sweden</c:v>
                </c:pt>
                <c:pt idx="11">
                  <c:v>Switzerland</c:v>
                </c:pt>
                <c:pt idx="12">
                  <c:v>Netherlands</c:v>
                </c:pt>
                <c:pt idx="13">
                  <c:v>Estonia*</c:v>
                </c:pt>
                <c:pt idx="14">
                  <c:v>Israel</c:v>
                </c:pt>
                <c:pt idx="15">
                  <c:v>Denmark</c:v>
                </c:pt>
                <c:pt idx="16">
                  <c:v>Hungary</c:v>
                </c:pt>
                <c:pt idx="17">
                  <c:v>Poland*</c:v>
                </c:pt>
                <c:pt idx="18">
                  <c:v>France </c:v>
                </c:pt>
                <c:pt idx="19">
                  <c:v>Belgium(*)</c:v>
                </c:pt>
                <c:pt idx="20">
                  <c:v>Slovenia(*)</c:v>
                </c:pt>
              </c:strCache>
            </c:strRef>
          </c:cat>
          <c:val>
            <c:numRef>
              <c:f>'Ark3'!$C$3:$C$23</c:f>
              <c:numCache>
                <c:formatCode>General</c:formatCode>
                <c:ptCount val="21"/>
                <c:pt idx="0">
                  <c:v>1.5654870301931014</c:v>
                </c:pt>
                <c:pt idx="1">
                  <c:v>0.98421063065374192</c:v>
                </c:pt>
                <c:pt idx="2">
                  <c:v>1.0865493545408407</c:v>
                </c:pt>
                <c:pt idx="3">
                  <c:v>1.2269013288335255</c:v>
                </c:pt>
                <c:pt idx="4">
                  <c:v>0.98092668739436051</c:v>
                </c:pt>
                <c:pt idx="5">
                  <c:v>1.1792251786187942</c:v>
                </c:pt>
                <c:pt idx="6">
                  <c:v>1.0184341078538064</c:v>
                </c:pt>
                <c:pt idx="7">
                  <c:v>1.038880605488929</c:v>
                </c:pt>
                <c:pt idx="8">
                  <c:v>1.1191770124512535</c:v>
                </c:pt>
                <c:pt idx="9">
                  <c:v>1.3691919046749199</c:v>
                </c:pt>
                <c:pt idx="10">
                  <c:v>1.0564852543945287</c:v>
                </c:pt>
                <c:pt idx="11">
                  <c:v>1.0505842050779495</c:v>
                </c:pt>
                <c:pt idx="12">
                  <c:v>1.0091469965919209</c:v>
                </c:pt>
                <c:pt idx="13">
                  <c:v>1.1243601060032253</c:v>
                </c:pt>
                <c:pt idx="14">
                  <c:v>1.0636918836404907</c:v>
                </c:pt>
                <c:pt idx="15">
                  <c:v>0.99005783864175534</c:v>
                </c:pt>
                <c:pt idx="16">
                  <c:v>1.0686661432610793</c:v>
                </c:pt>
                <c:pt idx="17">
                  <c:v>1.3551163275625229</c:v>
                </c:pt>
                <c:pt idx="18">
                  <c:v>1.1414777830068636</c:v>
                </c:pt>
                <c:pt idx="19">
                  <c:v>1.0815464131369421</c:v>
                </c:pt>
                <c:pt idx="20">
                  <c:v>1.0792775396228405</c:v>
                </c:pt>
              </c:numCache>
            </c:numRef>
          </c:val>
        </c:ser>
        <c:dLbls>
          <c:showLegendKey val="0"/>
          <c:showVal val="0"/>
          <c:showCatName val="0"/>
          <c:showSerName val="0"/>
          <c:showPercent val="0"/>
          <c:showBubbleSize val="0"/>
        </c:dLbls>
        <c:gapWidth val="219"/>
        <c:overlap val="-27"/>
        <c:axId val="716587240"/>
        <c:axId val="716588024"/>
      </c:barChart>
      <c:catAx>
        <c:axId val="71658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88024"/>
        <c:crosses val="autoZero"/>
        <c:auto val="1"/>
        <c:lblAlgn val="ctr"/>
        <c:lblOffset val="100"/>
        <c:noMultiLvlLbl val="0"/>
      </c:catAx>
      <c:valAx>
        <c:axId val="716588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nb-NO"/>
                  <a:t>ARR</a:t>
                </a:r>
              </a:p>
            </c:rich>
          </c:tx>
          <c:overlay val="0"/>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87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Social networks</a:t>
            </a:r>
          </a:p>
        </c:rich>
      </c:tx>
      <c:overlay val="0"/>
      <c:spPr>
        <a:noFill/>
        <a:ln>
          <a:noFill/>
        </a:ln>
        <a:effectLst/>
      </c:spPr>
    </c:title>
    <c:autoTitleDeleted val="0"/>
    <c:plotArea>
      <c:layout/>
      <c:barChart>
        <c:barDir val="col"/>
        <c:grouping val="clustered"/>
        <c:varyColors val="0"/>
        <c:ser>
          <c:idx val="0"/>
          <c:order val="0"/>
          <c:tx>
            <c:strRef>
              <c:f>'Ark4'!$B$2</c:f>
              <c:strCache>
                <c:ptCount val="1"/>
                <c:pt idx="0">
                  <c:v>GP</c:v>
                </c:pt>
              </c:strCache>
            </c:strRef>
          </c:tx>
          <c:spPr>
            <a:solidFill>
              <a:schemeClr val="dk1">
                <a:tint val="88500"/>
              </a:schemeClr>
            </a:solidFill>
            <a:ln>
              <a:noFill/>
            </a:ln>
            <a:effectLst/>
          </c:spPr>
          <c:invertIfNegative val="0"/>
          <c:errBars>
            <c:errBarType val="both"/>
            <c:errValType val="cust"/>
            <c:noEndCap val="0"/>
            <c:plus>
              <c:numRef>
                <c:f>'Ark4'!$L$3:$L$23</c:f>
                <c:numCache>
                  <c:formatCode>General</c:formatCode>
                  <c:ptCount val="21"/>
                  <c:pt idx="0">
                    <c:v>0.29937517898536437</c:v>
                  </c:pt>
                  <c:pt idx="1">
                    <c:v>0.32516192838573998</c:v>
                  </c:pt>
                  <c:pt idx="2">
                    <c:v>0.17826333895666679</c:v>
                  </c:pt>
                  <c:pt idx="3">
                    <c:v>0.21213506993344144</c:v>
                  </c:pt>
                  <c:pt idx="4">
                    <c:v>0.53236752468657877</c:v>
                  </c:pt>
                  <c:pt idx="5">
                    <c:v>0.1933998166988341</c:v>
                  </c:pt>
                  <c:pt idx="6">
                    <c:v>0.29978692215693137</c:v>
                  </c:pt>
                  <c:pt idx="7">
                    <c:v>0.50135581441844868</c:v>
                  </c:pt>
                  <c:pt idx="8">
                    <c:v>0.19988013718935216</c:v>
                  </c:pt>
                  <c:pt idx="9">
                    <c:v>0.31288479057917895</c:v>
                  </c:pt>
                  <c:pt idx="10">
                    <c:v>0.23791125610100405</c:v>
                  </c:pt>
                  <c:pt idx="11">
                    <c:v>0.1505746781543299</c:v>
                  </c:pt>
                  <c:pt idx="12">
                    <c:v>0.55095052867956895</c:v>
                  </c:pt>
                  <c:pt idx="13">
                    <c:v>0.51395432571136368</c:v>
                  </c:pt>
                  <c:pt idx="14">
                    <c:v>0.48506871498722015</c:v>
                  </c:pt>
                  <c:pt idx="15">
                    <c:v>0.30815226493929071</c:v>
                  </c:pt>
                  <c:pt idx="16">
                    <c:v>0.33558792874216148</c:v>
                  </c:pt>
                  <c:pt idx="17">
                    <c:v>0.39259436966072769</c:v>
                  </c:pt>
                  <c:pt idx="18">
                    <c:v>0.31370518965512662</c:v>
                  </c:pt>
                  <c:pt idx="19">
                    <c:v>0.34728072446092728</c:v>
                  </c:pt>
                  <c:pt idx="20">
                    <c:v>0.65025374249981338</c:v>
                  </c:pt>
                </c:numCache>
              </c:numRef>
            </c:plus>
            <c:minus>
              <c:numRef>
                <c:f>'Ark4'!$K$3:$K$23</c:f>
                <c:numCache>
                  <c:formatCode>General</c:formatCode>
                  <c:ptCount val="21"/>
                  <c:pt idx="0">
                    <c:v>0.21852482101463566</c:v>
                  </c:pt>
                  <c:pt idx="1">
                    <c:v>0.23263807161425998</c:v>
                  </c:pt>
                  <c:pt idx="2">
                    <c:v>0.14673666104333327</c:v>
                  </c:pt>
                  <c:pt idx="3">
                    <c:v>0.16996493006655844</c:v>
                  </c:pt>
                  <c:pt idx="4">
                    <c:v>0.3296324753134211</c:v>
                  </c:pt>
                  <c:pt idx="5">
                    <c:v>0.15850018330116589</c:v>
                  </c:pt>
                  <c:pt idx="6">
                    <c:v>0.22441307784306863</c:v>
                  </c:pt>
                  <c:pt idx="7">
                    <c:v>0.3213441855815512</c:v>
                  </c:pt>
                  <c:pt idx="8">
                    <c:v>0.16371986281064799</c:v>
                  </c:pt>
                  <c:pt idx="9">
                    <c:v>0.23471520942082102</c:v>
                  </c:pt>
                  <c:pt idx="10">
                    <c:v>0.1898887438989959</c:v>
                  </c:pt>
                  <c:pt idx="11">
                    <c:v>0.13062532184567011</c:v>
                  </c:pt>
                  <c:pt idx="12">
                    <c:v>0.35454947132043113</c:v>
                  </c:pt>
                  <c:pt idx="13">
                    <c:v>0.35044567428863638</c:v>
                  </c:pt>
                  <c:pt idx="14">
                    <c:v>0.33713128501277989</c:v>
                  </c:pt>
                  <c:pt idx="15">
                    <c:v>0.24334773506070917</c:v>
                  </c:pt>
                  <c:pt idx="16">
                    <c:v>0.26031207125783862</c:v>
                  </c:pt>
                  <c:pt idx="17">
                    <c:v>0.29640563033927236</c:v>
                  </c:pt>
                  <c:pt idx="18">
                    <c:v>0.24929481034487344</c:v>
                  </c:pt>
                  <c:pt idx="19">
                    <c:v>0.27221927553907266</c:v>
                  </c:pt>
                  <c:pt idx="20">
                    <c:v>0.44184625750018658</c:v>
                  </c:pt>
                </c:numCache>
              </c:numRef>
            </c:minus>
            <c:spPr>
              <a:noFill/>
              <a:ln w="9525" cap="flat" cmpd="sng" algn="ctr">
                <a:solidFill>
                  <a:schemeClr val="tx1">
                    <a:lumMod val="65000"/>
                    <a:lumOff val="35000"/>
                  </a:schemeClr>
                </a:solidFill>
                <a:round/>
              </a:ln>
              <a:effectLst/>
            </c:spPr>
          </c:errBars>
          <c:cat>
            <c:strRef>
              <c:f>'Ark4'!$A$3:$A$23</c:f>
              <c:strCache>
                <c:ptCount val="21"/>
                <c:pt idx="0">
                  <c:v>Czech Rep*</c:v>
                </c:pt>
                <c:pt idx="1">
                  <c:v>Israel</c:v>
                </c:pt>
                <c:pt idx="2">
                  <c:v>Switzerland(*)</c:v>
                </c:pt>
                <c:pt idx="3">
                  <c:v>Poland</c:v>
                </c:pt>
                <c:pt idx="4">
                  <c:v>Portugal*</c:v>
                </c:pt>
                <c:pt idx="5">
                  <c:v>Netherlands</c:v>
                </c:pt>
                <c:pt idx="6">
                  <c:v>Norway</c:v>
                </c:pt>
                <c:pt idx="7">
                  <c:v>Hungary</c:v>
                </c:pt>
                <c:pt idx="8">
                  <c:v>Finland*</c:v>
                </c:pt>
                <c:pt idx="9">
                  <c:v>Belgium</c:v>
                </c:pt>
                <c:pt idx="10">
                  <c:v>Germany</c:v>
                </c:pt>
                <c:pt idx="11">
                  <c:v>Sweden</c:v>
                </c:pt>
                <c:pt idx="12">
                  <c:v>Slovenia</c:v>
                </c:pt>
                <c:pt idx="13">
                  <c:v>France* </c:v>
                </c:pt>
                <c:pt idx="14">
                  <c:v>Lithuania</c:v>
                </c:pt>
                <c:pt idx="15">
                  <c:v>UK</c:v>
                </c:pt>
                <c:pt idx="16">
                  <c:v>Austria*</c:v>
                </c:pt>
                <c:pt idx="17">
                  <c:v>Denmark</c:v>
                </c:pt>
                <c:pt idx="18">
                  <c:v>Ireland(*)</c:v>
                </c:pt>
                <c:pt idx="19">
                  <c:v>Spain(*)</c:v>
                </c:pt>
                <c:pt idx="20">
                  <c:v>Estonia</c:v>
                </c:pt>
              </c:strCache>
            </c:strRef>
          </c:cat>
          <c:val>
            <c:numRef>
              <c:f>'Ark4'!$B$3:$B$23</c:f>
              <c:numCache>
                <c:formatCode>General</c:formatCode>
                <c:ptCount val="21"/>
                <c:pt idx="0">
                  <c:v>0.80932482101463565</c:v>
                </c:pt>
                <c:pt idx="1">
                  <c:v>0.81783807161426003</c:v>
                </c:pt>
                <c:pt idx="2">
                  <c:v>0.82763666104333322</c:v>
                </c:pt>
                <c:pt idx="3">
                  <c:v>0.85326493006655846</c:v>
                </c:pt>
                <c:pt idx="4">
                  <c:v>0.86563247531342113</c:v>
                </c:pt>
                <c:pt idx="5">
                  <c:v>0.8771001833011659</c:v>
                </c:pt>
                <c:pt idx="6">
                  <c:v>0.89211307784306859</c:v>
                </c:pt>
                <c:pt idx="7">
                  <c:v>0.89474418558155122</c:v>
                </c:pt>
                <c:pt idx="8">
                  <c:v>0.90411986281064793</c:v>
                </c:pt>
                <c:pt idx="9">
                  <c:v>0.939615209420821</c:v>
                </c:pt>
                <c:pt idx="10">
                  <c:v>0.93968874389899593</c:v>
                </c:pt>
                <c:pt idx="11">
                  <c:v>0.98802532184567016</c:v>
                </c:pt>
                <c:pt idx="12">
                  <c:v>0.99504947132043109</c:v>
                </c:pt>
                <c:pt idx="13">
                  <c:v>1.1020456742886364</c:v>
                </c:pt>
                <c:pt idx="14">
                  <c:v>1.1054312850127799</c:v>
                </c:pt>
                <c:pt idx="15">
                  <c:v>1.1582477350607092</c:v>
                </c:pt>
                <c:pt idx="16">
                  <c:v>1.1594120712578386</c:v>
                </c:pt>
                <c:pt idx="17">
                  <c:v>1.2095056303392724</c:v>
                </c:pt>
                <c:pt idx="18">
                  <c:v>1.2137948103448735</c:v>
                </c:pt>
                <c:pt idx="19">
                  <c:v>1.2581192755390727</c:v>
                </c:pt>
                <c:pt idx="20">
                  <c:v>1.3787462575001865</c:v>
                </c:pt>
              </c:numCache>
            </c:numRef>
          </c:val>
        </c:ser>
        <c:ser>
          <c:idx val="1"/>
          <c:order val="1"/>
          <c:tx>
            <c:strRef>
              <c:f>'Ark4'!$C$2</c:f>
              <c:strCache>
                <c:ptCount val="1"/>
                <c:pt idx="0">
                  <c:v>Specialist </c:v>
                </c:pt>
              </c:strCache>
            </c:strRef>
          </c:tx>
          <c:spPr>
            <a:solidFill>
              <a:schemeClr val="dk1">
                <a:tint val="55000"/>
              </a:schemeClr>
            </a:solidFill>
            <a:ln>
              <a:noFill/>
            </a:ln>
            <a:effectLst/>
          </c:spPr>
          <c:invertIfNegative val="0"/>
          <c:errBars>
            <c:errBarType val="both"/>
            <c:errValType val="cust"/>
            <c:noEndCap val="0"/>
            <c:plus>
              <c:numRef>
                <c:f>'Ark4'!$N$3:$N$23</c:f>
                <c:numCache>
                  <c:formatCode>General</c:formatCode>
                  <c:ptCount val="21"/>
                  <c:pt idx="0">
                    <c:v>0.27672476826937897</c:v>
                  </c:pt>
                  <c:pt idx="1">
                    <c:v>0.21322634024580667</c:v>
                  </c:pt>
                  <c:pt idx="2">
                    <c:v>0.12233975347802883</c:v>
                  </c:pt>
                  <c:pt idx="3">
                    <c:v>0.15825839931817121</c:v>
                  </c:pt>
                  <c:pt idx="4">
                    <c:v>0.30470409967628487</c:v>
                  </c:pt>
                  <c:pt idx="5">
                    <c:v>0.11438028819867463</c:v>
                  </c:pt>
                  <c:pt idx="6">
                    <c:v>0.11018956277438341</c:v>
                  </c:pt>
                  <c:pt idx="7">
                    <c:v>0.23790738373020215</c:v>
                  </c:pt>
                  <c:pt idx="8">
                    <c:v>0.13809159176844799</c:v>
                  </c:pt>
                  <c:pt idx="9">
                    <c:v>0.12096952948967188</c:v>
                  </c:pt>
                  <c:pt idx="10">
                    <c:v>0.14733143411539984</c:v>
                  </c:pt>
                  <c:pt idx="11">
                    <c:v>9.2838198297393593E-2</c:v>
                  </c:pt>
                  <c:pt idx="12">
                    <c:v>0.24692966003114236</c:v>
                  </c:pt>
                  <c:pt idx="13">
                    <c:v>0.23109552755239804</c:v>
                  </c:pt>
                  <c:pt idx="14">
                    <c:v>0.198547750978737</c:v>
                  </c:pt>
                  <c:pt idx="15">
                    <c:v>0.10099327384074708</c:v>
                  </c:pt>
                  <c:pt idx="16">
                    <c:v>0.15932839020489231</c:v>
                  </c:pt>
                  <c:pt idx="17">
                    <c:v>0.13278424401318722</c:v>
                  </c:pt>
                  <c:pt idx="18">
                    <c:v>6.5530259519116507E-2</c:v>
                  </c:pt>
                  <c:pt idx="19">
                    <c:v>0.1261170279782694</c:v>
                  </c:pt>
                  <c:pt idx="20">
                    <c:v>0.29603123374485718</c:v>
                  </c:pt>
                </c:numCache>
              </c:numRef>
            </c:plus>
            <c:minus>
              <c:numRef>
                <c:f>'Ark4'!$M$3:$M$23</c:f>
                <c:numCache>
                  <c:formatCode>General</c:formatCode>
                  <c:ptCount val="21"/>
                  <c:pt idx="0">
                    <c:v>0.22727523173062103</c:v>
                  </c:pt>
                  <c:pt idx="1">
                    <c:v>0.17297365975419332</c:v>
                  </c:pt>
                  <c:pt idx="2">
                    <c:v>0.10956024652197116</c:v>
                  </c:pt>
                  <c:pt idx="3">
                    <c:v>0.13684160068182893</c:v>
                  </c:pt>
                  <c:pt idx="4">
                    <c:v>0.24539590032371517</c:v>
                  </c:pt>
                  <c:pt idx="5">
                    <c:v>0.10241971180132536</c:v>
                  </c:pt>
                  <c:pt idx="6">
                    <c:v>9.9810437225616666E-2</c:v>
                  </c:pt>
                  <c:pt idx="7">
                    <c:v>0.19029261626979788</c:v>
                  </c:pt>
                  <c:pt idx="8">
                    <c:v>0.12350840823155185</c:v>
                  </c:pt>
                  <c:pt idx="9">
                    <c:v>0.10733047051032818</c:v>
                  </c:pt>
                  <c:pt idx="10">
                    <c:v>0.12766856588460007</c:v>
                  </c:pt>
                  <c:pt idx="11">
                    <c:v>8.5261801702606443E-2</c:v>
                  </c:pt>
                  <c:pt idx="12">
                    <c:v>0.20087033996885761</c:v>
                  </c:pt>
                  <c:pt idx="13">
                    <c:v>0.19370447244760203</c:v>
                  </c:pt>
                  <c:pt idx="14">
                    <c:v>0.16685224902126305</c:v>
                  </c:pt>
                  <c:pt idx="15">
                    <c:v>9.2206726159252961E-2</c:v>
                  </c:pt>
                  <c:pt idx="16">
                    <c:v>0.13997160979510781</c:v>
                  </c:pt>
                  <c:pt idx="17">
                    <c:v>0.11831575598681288</c:v>
                  </c:pt>
                  <c:pt idx="18">
                    <c:v>6.1569740480883373E-2</c:v>
                  </c:pt>
                  <c:pt idx="19">
                    <c:v>0.11198297202173058</c:v>
                  </c:pt>
                  <c:pt idx="20">
                    <c:v>0.23426876625514292</c:v>
                  </c:pt>
                </c:numCache>
              </c:numRef>
            </c:minus>
            <c:spPr>
              <a:noFill/>
              <a:ln w="9525" cap="flat" cmpd="sng" algn="ctr">
                <a:solidFill>
                  <a:schemeClr val="tx1">
                    <a:lumMod val="65000"/>
                    <a:lumOff val="35000"/>
                  </a:schemeClr>
                </a:solidFill>
                <a:round/>
              </a:ln>
              <a:effectLst/>
            </c:spPr>
          </c:errBars>
          <c:cat>
            <c:strRef>
              <c:f>'Ark4'!$A$3:$A$23</c:f>
              <c:strCache>
                <c:ptCount val="21"/>
                <c:pt idx="0">
                  <c:v>Czech Rep*</c:v>
                </c:pt>
                <c:pt idx="1">
                  <c:v>Israel</c:v>
                </c:pt>
                <c:pt idx="2">
                  <c:v>Switzerland(*)</c:v>
                </c:pt>
                <c:pt idx="3">
                  <c:v>Poland</c:v>
                </c:pt>
                <c:pt idx="4">
                  <c:v>Portugal*</c:v>
                </c:pt>
                <c:pt idx="5">
                  <c:v>Netherlands</c:v>
                </c:pt>
                <c:pt idx="6">
                  <c:v>Norway</c:v>
                </c:pt>
                <c:pt idx="7">
                  <c:v>Hungary</c:v>
                </c:pt>
                <c:pt idx="8">
                  <c:v>Finland*</c:v>
                </c:pt>
                <c:pt idx="9">
                  <c:v>Belgium</c:v>
                </c:pt>
                <c:pt idx="10">
                  <c:v>Germany</c:v>
                </c:pt>
                <c:pt idx="11">
                  <c:v>Sweden</c:v>
                </c:pt>
                <c:pt idx="12">
                  <c:v>Slovenia</c:v>
                </c:pt>
                <c:pt idx="13">
                  <c:v>France* </c:v>
                </c:pt>
                <c:pt idx="14">
                  <c:v>Lithuania</c:v>
                </c:pt>
                <c:pt idx="15">
                  <c:v>UK</c:v>
                </c:pt>
                <c:pt idx="16">
                  <c:v>Austria*</c:v>
                </c:pt>
                <c:pt idx="17">
                  <c:v>Denmark</c:v>
                </c:pt>
                <c:pt idx="18">
                  <c:v>Ireland(*)</c:v>
                </c:pt>
                <c:pt idx="19">
                  <c:v>Spain(*)</c:v>
                </c:pt>
                <c:pt idx="20">
                  <c:v>Estonia</c:v>
                </c:pt>
              </c:strCache>
            </c:strRef>
          </c:cat>
          <c:val>
            <c:numRef>
              <c:f>'Ark4'!$C$3:$C$23</c:f>
              <c:numCache>
                <c:formatCode>General</c:formatCode>
                <c:ptCount val="21"/>
                <c:pt idx="0">
                  <c:v>1.272275231730621</c:v>
                </c:pt>
                <c:pt idx="1">
                  <c:v>0.91747365975419337</c:v>
                </c:pt>
                <c:pt idx="2">
                  <c:v>1.0467602465219712</c:v>
                </c:pt>
                <c:pt idx="3">
                  <c:v>1.0101416006818289</c:v>
                </c:pt>
                <c:pt idx="4">
                  <c:v>1.2614959003237152</c:v>
                </c:pt>
                <c:pt idx="5">
                  <c:v>0.9761197118013254</c:v>
                </c:pt>
                <c:pt idx="6">
                  <c:v>1.0663104372256167</c:v>
                </c:pt>
                <c:pt idx="7">
                  <c:v>0.95129261626979789</c:v>
                </c:pt>
                <c:pt idx="8">
                  <c:v>1.170908408231552</c:v>
                </c:pt>
                <c:pt idx="9">
                  <c:v>0.95303047051032819</c:v>
                </c:pt>
                <c:pt idx="10">
                  <c:v>0.95986856588460012</c:v>
                </c:pt>
                <c:pt idx="11">
                  <c:v>1.0399618017026064</c:v>
                </c:pt>
                <c:pt idx="12">
                  <c:v>1.0776703399688576</c:v>
                </c:pt>
                <c:pt idx="13">
                  <c:v>1.1965044724476019</c:v>
                </c:pt>
                <c:pt idx="14">
                  <c:v>1.0465522490212631</c:v>
                </c:pt>
                <c:pt idx="15">
                  <c:v>1.0542067261592529</c:v>
                </c:pt>
                <c:pt idx="16">
                  <c:v>1.1528716097951077</c:v>
                </c:pt>
                <c:pt idx="17">
                  <c:v>1.0901157559868129</c:v>
                </c:pt>
                <c:pt idx="18">
                  <c:v>1.0321697404808834</c:v>
                </c:pt>
                <c:pt idx="19">
                  <c:v>0.99748297202173053</c:v>
                </c:pt>
                <c:pt idx="20">
                  <c:v>1.1223687662551429</c:v>
                </c:pt>
              </c:numCache>
            </c:numRef>
          </c:val>
        </c:ser>
        <c:dLbls>
          <c:showLegendKey val="0"/>
          <c:showVal val="0"/>
          <c:showCatName val="0"/>
          <c:showSerName val="0"/>
          <c:showPercent val="0"/>
          <c:showBubbleSize val="0"/>
        </c:dLbls>
        <c:gapWidth val="219"/>
        <c:overlap val="-27"/>
        <c:axId val="716587632"/>
        <c:axId val="716586064"/>
      </c:barChart>
      <c:catAx>
        <c:axId val="71658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86064"/>
        <c:crosses val="autoZero"/>
        <c:auto val="1"/>
        <c:lblAlgn val="ctr"/>
        <c:lblOffset val="100"/>
        <c:noMultiLvlLbl val="0"/>
      </c:catAx>
      <c:valAx>
        <c:axId val="716586064"/>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nb-NO"/>
                  <a:t>ARR</a:t>
                </a:r>
              </a:p>
            </c:rich>
          </c:tx>
          <c:overlay val="0"/>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87632"/>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6545</Words>
  <Characters>37313</Characters>
  <Application>Microsoft Office Word</Application>
  <DocSecurity>0</DocSecurity>
  <Lines>310</Lines>
  <Paragraphs>87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43771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Løvø Fjær</dc:creator>
  <cp:lastModifiedBy>Mirza Balaj</cp:lastModifiedBy>
  <cp:revision>3</cp:revision>
  <cp:lastPrinted>2016-12-08T15:36:00Z</cp:lastPrinted>
  <dcterms:created xsi:type="dcterms:W3CDTF">2016-12-09T13:20:00Z</dcterms:created>
  <dcterms:modified xsi:type="dcterms:W3CDTF">2016-12-09T13:23:00Z</dcterms:modified>
</cp:coreProperties>
</file>