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4F2" w:rsidRPr="00953CD4" w:rsidRDefault="003704F2" w:rsidP="00527834">
      <w:pPr>
        <w:pStyle w:val="Head"/>
        <w:suppressLineNumbers/>
        <w:spacing w:line="480" w:lineRule="auto"/>
        <w:jc w:val="left"/>
        <w:rPr>
          <w:lang w:val="en-GB"/>
        </w:rPr>
      </w:pPr>
      <w:bookmarkStart w:id="0" w:name="_GoBack"/>
      <w:bookmarkEnd w:id="0"/>
      <w:r w:rsidRPr="00953CD4">
        <w:rPr>
          <w:lang w:val="en-GB"/>
        </w:rPr>
        <w:t>Synaptic Input as a Directional Cue for Migrating Interneuron Precursors</w:t>
      </w:r>
    </w:p>
    <w:p w:rsidR="003704F2" w:rsidRPr="00953CD4" w:rsidRDefault="003704F2" w:rsidP="00527834">
      <w:pPr>
        <w:pStyle w:val="Head"/>
        <w:suppressLineNumbers/>
        <w:spacing w:line="480" w:lineRule="auto"/>
        <w:jc w:val="left"/>
        <w:rPr>
          <w:i/>
          <w:iCs/>
          <w:sz w:val="24"/>
          <w:szCs w:val="24"/>
          <w:lang w:val="en-GB"/>
        </w:rPr>
      </w:pPr>
      <w:r w:rsidRPr="00953CD4">
        <w:rPr>
          <w:i/>
          <w:iCs/>
          <w:sz w:val="24"/>
          <w:szCs w:val="24"/>
          <w:lang w:val="en-GB"/>
        </w:rPr>
        <w:t>Running title: Synapses guide neuronal migration</w:t>
      </w:r>
    </w:p>
    <w:p w:rsidR="003704F2" w:rsidRPr="00953CD4" w:rsidRDefault="003704F2" w:rsidP="00527834">
      <w:pPr>
        <w:suppressLineNumbers/>
        <w:tabs>
          <w:tab w:val="left" w:pos="4536"/>
        </w:tabs>
        <w:spacing w:line="360" w:lineRule="auto"/>
        <w:rPr>
          <w:lang w:val="en-GB"/>
        </w:rPr>
      </w:pPr>
      <w:r w:rsidRPr="00953CD4">
        <w:rPr>
          <w:lang w:val="en-GB"/>
        </w:rPr>
        <w:t>Annika K. Wefers</w:t>
      </w:r>
      <w:r w:rsidRPr="00953CD4">
        <w:rPr>
          <w:vertAlign w:val="superscript"/>
          <w:lang w:val="en-GB"/>
        </w:rPr>
        <w:t>1,2,#</w:t>
      </w:r>
      <w:r w:rsidRPr="00953CD4">
        <w:rPr>
          <w:lang w:val="en-GB"/>
        </w:rPr>
        <w:t>, Christian Haberlandt</w:t>
      </w:r>
      <w:r w:rsidRPr="00953CD4">
        <w:rPr>
          <w:vertAlign w:val="superscript"/>
          <w:lang w:val="en-GB"/>
        </w:rPr>
        <w:t>2</w:t>
      </w:r>
      <w:r w:rsidRPr="00953CD4">
        <w:rPr>
          <w:lang w:val="en-GB"/>
        </w:rPr>
        <w:t xml:space="preserve">, </w:t>
      </w:r>
      <w:proofErr w:type="spellStart"/>
      <w:r w:rsidRPr="00953CD4">
        <w:rPr>
          <w:lang w:val="en-GB"/>
        </w:rPr>
        <w:t>Nuriye</w:t>
      </w:r>
      <w:proofErr w:type="spellEnd"/>
      <w:r w:rsidRPr="00953CD4">
        <w:rPr>
          <w:lang w:val="en-GB"/>
        </w:rPr>
        <w:t xml:space="preserve"> B. Tekin</w:t>
      </w:r>
      <w:r w:rsidRPr="00953CD4">
        <w:rPr>
          <w:vertAlign w:val="superscript"/>
          <w:lang w:val="en-GB"/>
        </w:rPr>
        <w:t>3</w:t>
      </w:r>
      <w:r w:rsidRPr="00953CD4">
        <w:rPr>
          <w:lang w:val="en-GB"/>
        </w:rPr>
        <w:t>, Dmitry A. Fedorov</w:t>
      </w:r>
      <w:r w:rsidRPr="00953CD4">
        <w:rPr>
          <w:vertAlign w:val="superscript"/>
          <w:lang w:val="en-GB"/>
        </w:rPr>
        <w:t>2</w:t>
      </w:r>
      <w:r w:rsidRPr="00953CD4">
        <w:rPr>
          <w:lang w:val="en-GB"/>
        </w:rPr>
        <w:t>, Aline Timmermann</w:t>
      </w:r>
      <w:r w:rsidRPr="00953CD4">
        <w:rPr>
          <w:vertAlign w:val="superscript"/>
          <w:lang w:val="en-GB"/>
        </w:rPr>
        <w:t>2</w:t>
      </w:r>
      <w:r w:rsidRPr="00953CD4">
        <w:rPr>
          <w:lang w:val="en-GB"/>
        </w:rPr>
        <w:t>, Johannes J.L. van der Want</w:t>
      </w:r>
      <w:r w:rsidRPr="00953CD4">
        <w:rPr>
          <w:vertAlign w:val="superscript"/>
          <w:lang w:val="en-GB"/>
        </w:rPr>
        <w:t>4</w:t>
      </w:r>
      <w:r w:rsidRPr="00953CD4">
        <w:rPr>
          <w:lang w:val="en-GB"/>
        </w:rPr>
        <w:t xml:space="preserve">, </w:t>
      </w:r>
      <w:proofErr w:type="spellStart"/>
      <w:r w:rsidRPr="00953CD4">
        <w:rPr>
          <w:lang w:val="en-GB"/>
        </w:rPr>
        <w:t>Farrukh</w:t>
      </w:r>
      <w:proofErr w:type="spellEnd"/>
      <w:r w:rsidRPr="00953CD4">
        <w:rPr>
          <w:lang w:val="en-GB"/>
        </w:rPr>
        <w:t xml:space="preserve"> A. Chaudhry</w:t>
      </w:r>
      <w:r w:rsidRPr="00953CD4">
        <w:rPr>
          <w:vertAlign w:val="superscript"/>
          <w:lang w:val="en-GB"/>
        </w:rPr>
        <w:t>3</w:t>
      </w:r>
      <w:r w:rsidRPr="00953CD4">
        <w:rPr>
          <w:lang w:val="en-GB"/>
        </w:rPr>
        <w:t>, Christian Steinhäuser</w:t>
      </w:r>
      <w:r w:rsidRPr="00953CD4">
        <w:rPr>
          <w:vertAlign w:val="superscript"/>
          <w:lang w:val="en-GB"/>
        </w:rPr>
        <w:t>2</w:t>
      </w:r>
      <w:r w:rsidRPr="00953CD4">
        <w:rPr>
          <w:lang w:val="en-GB"/>
        </w:rPr>
        <w:t>, Karl Schilling</w:t>
      </w:r>
      <w:r w:rsidRPr="00953CD4">
        <w:rPr>
          <w:vertAlign w:val="superscript"/>
          <w:lang w:val="en-GB"/>
        </w:rPr>
        <w:t>1</w:t>
      </w:r>
      <w:r w:rsidRPr="00953CD4">
        <w:rPr>
          <w:lang w:val="en-GB"/>
        </w:rPr>
        <w:t>and Ronald Jabs</w:t>
      </w:r>
      <w:r w:rsidRPr="00953CD4">
        <w:rPr>
          <w:vertAlign w:val="superscript"/>
          <w:lang w:val="en-GB"/>
        </w:rPr>
        <w:t>2</w:t>
      </w:r>
    </w:p>
    <w:p w:rsidR="003704F2" w:rsidRPr="00953CD4" w:rsidRDefault="003704F2" w:rsidP="00527834">
      <w:pPr>
        <w:suppressLineNumbers/>
        <w:tabs>
          <w:tab w:val="left" w:pos="4536"/>
        </w:tabs>
        <w:spacing w:line="360" w:lineRule="auto"/>
        <w:rPr>
          <w:lang w:val="en-GB"/>
        </w:rPr>
      </w:pPr>
    </w:p>
    <w:p w:rsidR="003704F2" w:rsidRPr="00953CD4" w:rsidRDefault="003704F2" w:rsidP="00527834">
      <w:pPr>
        <w:suppressLineNumbers/>
        <w:autoSpaceDE w:val="0"/>
        <w:autoSpaceDN w:val="0"/>
        <w:adjustRightInd w:val="0"/>
        <w:spacing w:line="360" w:lineRule="auto"/>
        <w:rPr>
          <w:lang w:val="en-GB"/>
        </w:rPr>
      </w:pPr>
      <w:r w:rsidRPr="00953CD4">
        <w:rPr>
          <w:vertAlign w:val="superscript"/>
          <w:lang w:val="en-GB"/>
        </w:rPr>
        <w:t>1</w:t>
      </w:r>
      <w:r w:rsidRPr="00953CD4">
        <w:rPr>
          <w:lang w:val="en-GB"/>
        </w:rPr>
        <w:t xml:space="preserve">Anatomisches </w:t>
      </w:r>
      <w:proofErr w:type="spellStart"/>
      <w:r w:rsidRPr="00953CD4">
        <w:rPr>
          <w:lang w:val="en-GB"/>
        </w:rPr>
        <w:t>Institut</w:t>
      </w:r>
      <w:proofErr w:type="spellEnd"/>
      <w:r w:rsidRPr="00953CD4">
        <w:rPr>
          <w:lang w:val="en-GB"/>
        </w:rPr>
        <w:t xml:space="preserve">, </w:t>
      </w:r>
      <w:proofErr w:type="spellStart"/>
      <w:r w:rsidRPr="00953CD4">
        <w:rPr>
          <w:lang w:val="en-GB"/>
        </w:rPr>
        <w:t>Anatomie</w:t>
      </w:r>
      <w:proofErr w:type="spellEnd"/>
      <w:r w:rsidRPr="00953CD4">
        <w:rPr>
          <w:lang w:val="en-GB"/>
        </w:rPr>
        <w:t xml:space="preserve"> &amp; </w:t>
      </w:r>
      <w:proofErr w:type="spellStart"/>
      <w:r w:rsidRPr="00953CD4">
        <w:rPr>
          <w:lang w:val="en-GB"/>
        </w:rPr>
        <w:t>Zellbiologie</w:t>
      </w:r>
      <w:proofErr w:type="spellEnd"/>
      <w:r w:rsidRPr="00953CD4">
        <w:rPr>
          <w:lang w:val="en-GB"/>
        </w:rPr>
        <w:t xml:space="preserve">, and </w:t>
      </w:r>
      <w:bookmarkStart w:id="1" w:name="OLE_LINK1"/>
      <w:bookmarkStart w:id="2" w:name="OLE_LINK4"/>
      <w:r w:rsidRPr="00953CD4">
        <w:rPr>
          <w:vertAlign w:val="superscript"/>
          <w:lang w:val="en-GB"/>
        </w:rPr>
        <w:t>2</w:t>
      </w:r>
      <w:bookmarkEnd w:id="1"/>
      <w:bookmarkEnd w:id="2"/>
      <w:r w:rsidRPr="00953CD4">
        <w:rPr>
          <w:lang w:val="en-GB"/>
        </w:rPr>
        <w:t xml:space="preserve">Institut </w:t>
      </w:r>
      <w:proofErr w:type="spellStart"/>
      <w:r w:rsidRPr="00953CD4">
        <w:rPr>
          <w:lang w:val="en-GB"/>
        </w:rPr>
        <w:t>für</w:t>
      </w:r>
      <w:proofErr w:type="spellEnd"/>
      <w:r w:rsidRPr="00953CD4">
        <w:rPr>
          <w:lang w:val="en-GB"/>
        </w:rPr>
        <w:t xml:space="preserve"> </w:t>
      </w:r>
      <w:proofErr w:type="spellStart"/>
      <w:r w:rsidRPr="00953CD4">
        <w:rPr>
          <w:lang w:val="en-GB"/>
        </w:rPr>
        <w:t>Zelluläre</w:t>
      </w:r>
      <w:proofErr w:type="spellEnd"/>
      <w:r w:rsidRPr="00953CD4">
        <w:rPr>
          <w:lang w:val="en-GB"/>
        </w:rPr>
        <w:t xml:space="preserve"> </w:t>
      </w:r>
      <w:proofErr w:type="spellStart"/>
      <w:r w:rsidRPr="00953CD4">
        <w:rPr>
          <w:lang w:val="en-GB"/>
        </w:rPr>
        <w:t>Neurowissen</w:t>
      </w:r>
      <w:r w:rsidRPr="00953CD4">
        <w:rPr>
          <w:lang w:val="en-GB"/>
        </w:rPr>
        <w:softHyphen/>
        <w:t>schaften</w:t>
      </w:r>
      <w:proofErr w:type="spellEnd"/>
      <w:r w:rsidRPr="00953CD4">
        <w:rPr>
          <w:lang w:val="en-GB"/>
        </w:rPr>
        <w:t xml:space="preserve">, both at the University of Bonn, Bonn, Germany, </w:t>
      </w:r>
      <w:r w:rsidRPr="00953CD4">
        <w:rPr>
          <w:vertAlign w:val="superscript"/>
          <w:lang w:val="en-GB"/>
        </w:rPr>
        <w:t>3</w:t>
      </w:r>
      <w:r w:rsidRPr="00953CD4">
        <w:rPr>
          <w:lang w:val="en-GB"/>
        </w:rPr>
        <w:t xml:space="preserve">Institute of Basic Medical Sciences, University of Oslo, Oslo, Norway, </w:t>
      </w:r>
      <w:r w:rsidRPr="00953CD4">
        <w:rPr>
          <w:vertAlign w:val="superscript"/>
          <w:lang w:val="en-GB"/>
        </w:rPr>
        <w:t>4</w:t>
      </w:r>
      <w:r w:rsidRPr="00953CD4">
        <w:rPr>
          <w:lang w:val="en-GB"/>
        </w:rPr>
        <w:t xml:space="preserve">Department of Laboratory Medicine, Children’ and Woman’s Health, Norwegian University of Science and Technology, Trondheim, Norway, </w:t>
      </w:r>
      <w:r w:rsidRPr="00953CD4">
        <w:rPr>
          <w:vertAlign w:val="superscript"/>
          <w:lang w:val="en-GB"/>
        </w:rPr>
        <w:t>#</w:t>
      </w:r>
      <w:r w:rsidRPr="00953CD4">
        <w:rPr>
          <w:lang w:val="en-GB"/>
        </w:rPr>
        <w:t xml:space="preserve">Present address: Department of Neuropathology, Institute of Pathology, </w:t>
      </w:r>
      <w:proofErr w:type="spellStart"/>
      <w:r w:rsidRPr="00953CD4">
        <w:rPr>
          <w:lang w:val="en-GB"/>
        </w:rPr>
        <w:t>Ruprecht</w:t>
      </w:r>
      <w:proofErr w:type="spellEnd"/>
      <w:r w:rsidRPr="00953CD4">
        <w:rPr>
          <w:lang w:val="en-GB"/>
        </w:rPr>
        <w:t>-</w:t>
      </w:r>
      <w:proofErr w:type="spellStart"/>
      <w:r w:rsidRPr="00953CD4">
        <w:rPr>
          <w:lang w:val="en-GB"/>
        </w:rPr>
        <w:t>Karls</w:t>
      </w:r>
      <w:proofErr w:type="spellEnd"/>
      <w:r w:rsidRPr="00953CD4">
        <w:rPr>
          <w:lang w:val="en-GB"/>
        </w:rPr>
        <w:t>-University Heidelberg, Germany</w:t>
      </w:r>
    </w:p>
    <w:p w:rsidR="003704F2" w:rsidRPr="00953CD4" w:rsidRDefault="003704F2" w:rsidP="00527834">
      <w:pPr>
        <w:pStyle w:val="Authors"/>
        <w:suppressLineNumbers/>
        <w:spacing w:before="0" w:after="0" w:line="480" w:lineRule="auto"/>
        <w:jc w:val="left"/>
        <w:rPr>
          <w:b/>
          <w:bCs/>
          <w:lang w:val="en-GB"/>
        </w:rPr>
      </w:pPr>
    </w:p>
    <w:p w:rsidR="003704F2" w:rsidRPr="00953CD4" w:rsidRDefault="003704F2" w:rsidP="00527834">
      <w:pPr>
        <w:pStyle w:val="Paragraph"/>
        <w:suppressLineNumbers/>
        <w:spacing w:before="0" w:line="480" w:lineRule="auto"/>
        <w:ind w:firstLine="0"/>
        <w:rPr>
          <w:lang w:val="en-GB"/>
        </w:rPr>
      </w:pPr>
      <w:r w:rsidRPr="00953CD4">
        <w:rPr>
          <w:b/>
          <w:bCs/>
          <w:lang w:val="en-GB"/>
        </w:rPr>
        <w:t>Corresponding Author:</w:t>
      </w:r>
      <w:r w:rsidRPr="00953CD4">
        <w:rPr>
          <w:lang w:val="en-GB"/>
        </w:rPr>
        <w:t xml:space="preserve"> Ronald Jabs, Institute of Cellular Neurosciences, Sigmund-Freud-Str. 25, 53105 Bonn, Germany, Tel.: +49-228-287-13140, Fax: +49-228-287-19121, Email: ronald.jabs@ukb.uni-bonn.de </w:t>
      </w:r>
    </w:p>
    <w:p w:rsidR="003704F2" w:rsidRPr="00953CD4" w:rsidRDefault="003704F2" w:rsidP="00527834">
      <w:pPr>
        <w:pStyle w:val="Paragraph"/>
        <w:suppressLineNumbers/>
        <w:spacing w:before="0" w:line="480" w:lineRule="auto"/>
        <w:ind w:firstLine="0"/>
        <w:rPr>
          <w:lang w:val="en-GB"/>
        </w:rPr>
      </w:pPr>
    </w:p>
    <w:p w:rsidR="003704F2" w:rsidRPr="00953CD4" w:rsidRDefault="003704F2" w:rsidP="00527834">
      <w:pPr>
        <w:pStyle w:val="Paragraph"/>
        <w:suppressLineNumbers/>
        <w:spacing w:before="0" w:line="480" w:lineRule="auto"/>
        <w:ind w:firstLine="0"/>
        <w:rPr>
          <w:lang w:val="en-GB"/>
        </w:rPr>
      </w:pPr>
      <w:r w:rsidRPr="00953CD4">
        <w:rPr>
          <w:b/>
          <w:bCs/>
          <w:kern w:val="28"/>
          <w:sz w:val="28"/>
          <w:szCs w:val="28"/>
          <w:lang w:val="en-GB"/>
        </w:rPr>
        <w:t>Keywords:</w:t>
      </w:r>
      <w:r w:rsidRPr="00953CD4">
        <w:rPr>
          <w:lang w:val="en-GB"/>
        </w:rPr>
        <w:t xml:space="preserve"> cerebellum, interneuron precursor cells, migration, Pax2, synapses</w:t>
      </w:r>
    </w:p>
    <w:p w:rsidR="003704F2" w:rsidRPr="00953CD4" w:rsidRDefault="003704F2" w:rsidP="00DB6EAC">
      <w:pPr>
        <w:pStyle w:val="Head"/>
        <w:suppressLineNumbers/>
        <w:spacing w:line="480" w:lineRule="auto"/>
        <w:jc w:val="both"/>
        <w:rPr>
          <w:lang w:val="en-GB"/>
        </w:rPr>
      </w:pPr>
      <w:r w:rsidRPr="00953CD4">
        <w:rPr>
          <w:lang w:val="en-GB"/>
        </w:rPr>
        <w:t xml:space="preserve">Summary statement: </w:t>
      </w:r>
    </w:p>
    <w:p w:rsidR="003704F2" w:rsidRPr="00953CD4" w:rsidRDefault="003704F2" w:rsidP="00DB6EAC">
      <w:pPr>
        <w:pStyle w:val="Head"/>
        <w:suppressLineNumbers/>
        <w:spacing w:line="480" w:lineRule="auto"/>
        <w:jc w:val="both"/>
        <w:rPr>
          <w:b w:val="0"/>
          <w:bCs w:val="0"/>
          <w:sz w:val="24"/>
          <w:szCs w:val="24"/>
          <w:lang w:val="en-GB"/>
        </w:rPr>
      </w:pPr>
      <w:r w:rsidRPr="00953CD4">
        <w:rPr>
          <w:b w:val="0"/>
          <w:bCs w:val="0"/>
          <w:sz w:val="24"/>
          <w:szCs w:val="24"/>
          <w:lang w:val="en-GB"/>
        </w:rPr>
        <w:t>Precursors of cerebellar inhibitory interneurons receive an unprecedented early synaptic input while they are still migrating, and this input directs the mobility and directionality of these cells.</w:t>
      </w:r>
    </w:p>
    <w:p w:rsidR="003704F2" w:rsidRPr="00953CD4" w:rsidRDefault="003704F2" w:rsidP="00DB6EAC">
      <w:pPr>
        <w:pStyle w:val="Paragraph"/>
        <w:suppressLineNumbers/>
        <w:spacing w:before="0" w:line="480" w:lineRule="auto"/>
        <w:ind w:firstLine="0"/>
        <w:jc w:val="both"/>
        <w:rPr>
          <w:lang w:val="en-GB"/>
        </w:rPr>
      </w:pPr>
    </w:p>
    <w:p w:rsidR="003704F2" w:rsidRPr="00953CD4" w:rsidRDefault="003704F2" w:rsidP="00DB6EAC">
      <w:pPr>
        <w:pStyle w:val="Paragraph"/>
        <w:spacing w:before="0" w:line="480" w:lineRule="auto"/>
        <w:ind w:firstLine="0"/>
        <w:jc w:val="both"/>
        <w:rPr>
          <w:b/>
          <w:bCs/>
          <w:sz w:val="28"/>
          <w:szCs w:val="28"/>
          <w:lang w:val="en-GB"/>
        </w:rPr>
      </w:pPr>
      <w:r w:rsidRPr="00953CD4">
        <w:rPr>
          <w:lang w:val="en-GB"/>
        </w:rPr>
        <w:br w:type="page"/>
      </w:r>
      <w:r w:rsidR="00665DA5" w:rsidRPr="00953CD4">
        <w:rPr>
          <w:b/>
          <w:bCs/>
          <w:sz w:val="28"/>
          <w:szCs w:val="28"/>
          <w:lang w:val="en-GB"/>
        </w:rPr>
        <w:lastRenderedPageBreak/>
        <w:t>ABSTRACT</w:t>
      </w:r>
    </w:p>
    <w:p w:rsidR="003704F2" w:rsidRPr="00953CD4" w:rsidRDefault="003704F2" w:rsidP="00DB6EAC">
      <w:pPr>
        <w:pStyle w:val="Paragraph"/>
        <w:spacing w:before="0" w:line="360" w:lineRule="auto"/>
        <w:ind w:firstLine="0"/>
        <w:jc w:val="both"/>
        <w:rPr>
          <w:lang w:val="en-GB"/>
        </w:rPr>
      </w:pPr>
      <w:r w:rsidRPr="00953CD4">
        <w:rPr>
          <w:lang w:val="en-GB"/>
        </w:rPr>
        <w:t>During CNS development, interneuron precursors have to migrate extensively before they integrate in specific microcircuits. Known regulators of neuronal motility include classical neurotransmitters, yet the mechanisms that assure interneuron dispersal and interneuron / projection neuron matching during histogenesis remain largely elusive. We combined time-lapse video-microscopy and electrophysiological analysis of the nascent cerebellum of transgenic Pax2-EGFP mice to address this issue. We found that cerebellar interneuronal precursors regularly show spontaneous postsynaptic currents, indicative of synaptic innervation, well before settling in the molecular layer. In keeping with the sensitivity of these cells to neurotransmitters, ablation of synaptic communication by blocking vesicular release in acute slices of developing cerebella slows migration. Significantly, abrogation of exocytosis primarily impedes the directional persistence of migratory interneuronal precursors. These results establish an unprecedented function of early synaptic innervation of migrating neuronal precursors and demonstrate a role for synapses in the regulation of migration and pathfinding.</w:t>
      </w:r>
    </w:p>
    <w:p w:rsidR="003704F2" w:rsidRPr="00953CD4" w:rsidRDefault="003704F2" w:rsidP="00DB6EAC">
      <w:pPr>
        <w:pStyle w:val="Paragraph"/>
        <w:spacing w:before="0" w:line="480" w:lineRule="auto"/>
        <w:ind w:firstLine="0"/>
        <w:jc w:val="both"/>
        <w:rPr>
          <w:b/>
          <w:bCs/>
          <w:sz w:val="28"/>
          <w:szCs w:val="28"/>
          <w:lang w:val="en-GB"/>
        </w:rPr>
      </w:pPr>
    </w:p>
    <w:p w:rsidR="003704F2" w:rsidRPr="00953CD4" w:rsidRDefault="00665DA5" w:rsidP="00DB6EAC">
      <w:pPr>
        <w:pStyle w:val="Paragraph"/>
        <w:spacing w:before="0" w:line="480" w:lineRule="auto"/>
        <w:ind w:firstLine="0"/>
        <w:jc w:val="both"/>
        <w:rPr>
          <w:b/>
          <w:bCs/>
          <w:sz w:val="28"/>
          <w:szCs w:val="28"/>
          <w:lang w:val="en-GB"/>
        </w:rPr>
      </w:pPr>
      <w:r w:rsidRPr="00953CD4">
        <w:rPr>
          <w:b/>
          <w:bCs/>
          <w:sz w:val="28"/>
          <w:szCs w:val="28"/>
          <w:lang w:val="en-GB"/>
        </w:rPr>
        <w:t>INTRODUCTION</w:t>
      </w:r>
    </w:p>
    <w:p w:rsidR="003704F2" w:rsidRPr="00953CD4" w:rsidRDefault="003704F2" w:rsidP="00DB6EAC">
      <w:pPr>
        <w:pStyle w:val="Paragraph"/>
        <w:spacing w:before="0" w:line="360" w:lineRule="auto"/>
        <w:ind w:firstLine="0"/>
        <w:jc w:val="both"/>
        <w:rPr>
          <w:lang w:val="en-GB"/>
        </w:rPr>
      </w:pPr>
      <w:r w:rsidRPr="00953CD4">
        <w:rPr>
          <w:lang w:val="en-GB"/>
        </w:rPr>
        <w:t>During development of the vertebrate nervous system, neuronal precursors migrate extensively before they reach their adult positions and terminally differentiate (</w:t>
      </w:r>
      <w:proofErr w:type="spellStart"/>
      <w:r w:rsidRPr="00953CD4">
        <w:rPr>
          <w:lang w:val="en-GB"/>
        </w:rPr>
        <w:t>Valiente</w:t>
      </w:r>
      <w:proofErr w:type="spellEnd"/>
      <w:r w:rsidRPr="00953CD4">
        <w:rPr>
          <w:lang w:val="en-GB"/>
        </w:rPr>
        <w:t xml:space="preserve"> and </w:t>
      </w:r>
      <w:proofErr w:type="spellStart"/>
      <w:r w:rsidRPr="00953CD4">
        <w:rPr>
          <w:lang w:val="en-GB"/>
        </w:rPr>
        <w:t>Marín</w:t>
      </w:r>
      <w:proofErr w:type="spellEnd"/>
      <w:r w:rsidRPr="00953CD4">
        <w:rPr>
          <w:lang w:val="en-GB"/>
        </w:rPr>
        <w:t>, 2010). Both in the developing forebrain and cerebellum, projection neurons destined to form cortical structures originate in the ventricular epithelium, from where they follow a radial route to reach their adult positions. Precursors of inhibitory interneurons, on the other hand, follow more varied routes to reach their target positions, which generally include extensive tangential relocations (</w:t>
      </w:r>
      <w:proofErr w:type="spellStart"/>
      <w:r w:rsidRPr="00953CD4">
        <w:rPr>
          <w:lang w:val="en-GB"/>
        </w:rPr>
        <w:t>Goldowitz</w:t>
      </w:r>
      <w:proofErr w:type="spellEnd"/>
      <w:r w:rsidRPr="00953CD4">
        <w:rPr>
          <w:lang w:val="en-GB"/>
        </w:rPr>
        <w:t xml:space="preserve"> and </w:t>
      </w:r>
      <w:proofErr w:type="spellStart"/>
      <w:r w:rsidRPr="00953CD4">
        <w:rPr>
          <w:lang w:val="en-GB"/>
        </w:rPr>
        <w:t>Hamre</w:t>
      </w:r>
      <w:proofErr w:type="spellEnd"/>
      <w:r w:rsidRPr="00953CD4">
        <w:rPr>
          <w:lang w:val="en-GB"/>
        </w:rPr>
        <w:t xml:space="preserve">, 1998; </w:t>
      </w:r>
      <w:proofErr w:type="spellStart"/>
      <w:r w:rsidRPr="00953CD4">
        <w:rPr>
          <w:lang w:val="en-GB"/>
        </w:rPr>
        <w:t>Letinic</w:t>
      </w:r>
      <w:proofErr w:type="spellEnd"/>
      <w:r w:rsidRPr="00953CD4">
        <w:rPr>
          <w:lang w:val="en-GB"/>
        </w:rPr>
        <w:t xml:space="preserve"> et al., 2002; Tan et al., 1998). The eventual establishment of efficiently wired central nervous circuits is critically dependent on a precise coordination of these morphogenetic migrations (</w:t>
      </w:r>
      <w:proofErr w:type="spellStart"/>
      <w:r w:rsidRPr="00953CD4">
        <w:rPr>
          <w:lang w:val="en-GB"/>
        </w:rPr>
        <w:t>Marín</w:t>
      </w:r>
      <w:proofErr w:type="spellEnd"/>
      <w:r w:rsidRPr="00953CD4">
        <w:rPr>
          <w:lang w:val="en-GB"/>
        </w:rPr>
        <w:t xml:space="preserve"> et al., 2010). In fact, an increasing number of neurologic and psychiatric conditions </w:t>
      </w:r>
      <w:proofErr w:type="gramStart"/>
      <w:r w:rsidRPr="00953CD4">
        <w:rPr>
          <w:lang w:val="en-GB"/>
        </w:rPr>
        <w:t>is</w:t>
      </w:r>
      <w:proofErr w:type="gramEnd"/>
      <w:r w:rsidRPr="00953CD4">
        <w:rPr>
          <w:lang w:val="en-GB"/>
        </w:rPr>
        <w:t xml:space="preserve"> being associated with neuronal migration deficits (</w:t>
      </w:r>
      <w:proofErr w:type="spellStart"/>
      <w:r w:rsidRPr="00953CD4">
        <w:rPr>
          <w:lang w:val="en-GB"/>
        </w:rPr>
        <w:t>Barkovich</w:t>
      </w:r>
      <w:proofErr w:type="spellEnd"/>
      <w:r w:rsidRPr="00953CD4">
        <w:rPr>
          <w:lang w:val="en-GB"/>
        </w:rPr>
        <w:t xml:space="preserve"> et al., 2012; </w:t>
      </w:r>
      <w:proofErr w:type="spellStart"/>
      <w:r w:rsidRPr="00953CD4">
        <w:rPr>
          <w:lang w:val="en-GB"/>
        </w:rPr>
        <w:t>Peñagarikano</w:t>
      </w:r>
      <w:proofErr w:type="spellEnd"/>
      <w:r w:rsidRPr="00953CD4">
        <w:rPr>
          <w:lang w:val="en-GB"/>
        </w:rPr>
        <w:t xml:space="preserve"> et al., 2011; </w:t>
      </w:r>
      <w:proofErr w:type="spellStart"/>
      <w:r w:rsidRPr="00953CD4">
        <w:rPr>
          <w:lang w:val="en-GB"/>
        </w:rPr>
        <w:t>Rivière</w:t>
      </w:r>
      <w:proofErr w:type="spellEnd"/>
      <w:r w:rsidRPr="00953CD4">
        <w:rPr>
          <w:lang w:val="en-GB"/>
        </w:rPr>
        <w:t xml:space="preserve"> et al., 2012).</w:t>
      </w:r>
    </w:p>
    <w:p w:rsidR="003704F2" w:rsidRPr="00953CD4" w:rsidRDefault="003704F2" w:rsidP="00857236">
      <w:pPr>
        <w:pStyle w:val="AbstractSummary"/>
        <w:spacing w:before="0" w:line="360" w:lineRule="auto"/>
        <w:ind w:firstLine="720"/>
        <w:jc w:val="both"/>
        <w:rPr>
          <w:lang w:val="en-GB"/>
        </w:rPr>
      </w:pPr>
      <w:r w:rsidRPr="00953CD4">
        <w:rPr>
          <w:lang w:val="en-GB"/>
        </w:rPr>
        <w:t>In contrast to signals and mechanisms subserving cortical projection neuron migration (</w:t>
      </w:r>
      <w:proofErr w:type="spellStart"/>
      <w:r w:rsidRPr="00953CD4">
        <w:rPr>
          <w:lang w:val="en-GB"/>
        </w:rPr>
        <w:t>Jossin</w:t>
      </w:r>
      <w:proofErr w:type="spellEnd"/>
      <w:r w:rsidRPr="00953CD4">
        <w:rPr>
          <w:lang w:val="en-GB"/>
        </w:rPr>
        <w:t xml:space="preserve"> and Cooper, 2011; Rice and Curran, 2001), our mechanistic understanding of interneuronal pathfinding, dispersal and eventual matching with projection neurons is still rather fragmentary (</w:t>
      </w:r>
      <w:proofErr w:type="spellStart"/>
      <w:r w:rsidRPr="00953CD4">
        <w:rPr>
          <w:lang w:val="en-GB"/>
        </w:rPr>
        <w:t>Marín</w:t>
      </w:r>
      <w:proofErr w:type="spellEnd"/>
      <w:r w:rsidRPr="00953CD4">
        <w:rPr>
          <w:lang w:val="en-GB"/>
        </w:rPr>
        <w:t xml:space="preserve"> et al., 2010). Cortical inhibitory interneurons are either generated late in ontogenesis or have to migrate for extended periods to their final positions (</w:t>
      </w:r>
      <w:proofErr w:type="spellStart"/>
      <w:r w:rsidRPr="00953CD4">
        <w:rPr>
          <w:lang w:val="en-GB"/>
        </w:rPr>
        <w:t>Leto</w:t>
      </w:r>
      <w:proofErr w:type="spellEnd"/>
      <w:r w:rsidRPr="00953CD4">
        <w:rPr>
          <w:lang w:val="en-GB"/>
        </w:rPr>
        <w:t xml:space="preserve"> et al., 2009; </w:t>
      </w:r>
      <w:proofErr w:type="spellStart"/>
      <w:r w:rsidRPr="00953CD4">
        <w:rPr>
          <w:lang w:val="en-GB"/>
        </w:rPr>
        <w:t>Rymar</w:t>
      </w:r>
      <w:proofErr w:type="spellEnd"/>
      <w:r w:rsidRPr="00953CD4">
        <w:rPr>
          <w:lang w:val="en-GB"/>
        </w:rPr>
        <w:t xml:space="preserve"> and </w:t>
      </w:r>
      <w:proofErr w:type="spellStart"/>
      <w:r w:rsidRPr="00953CD4">
        <w:rPr>
          <w:lang w:val="en-GB"/>
        </w:rPr>
        <w:t>Sadikot</w:t>
      </w:r>
      <w:proofErr w:type="spellEnd"/>
      <w:r w:rsidRPr="00953CD4">
        <w:rPr>
          <w:lang w:val="en-GB"/>
        </w:rPr>
        <w:t>, 2007). Consequently, they have to navigate the nascent lattice formed by earlier settled projection neurons to reach their specific target areas. A key question is whether and how the latter may direct interneuron migration and maturation to assure generation of proper functioning CNS microcircuits. Intriguingly, an increasing body of evidence indicates that mobility of neuronal precursors, including immature interneurons, is sensitive to neurotransmitters (</w:t>
      </w:r>
      <w:proofErr w:type="spellStart"/>
      <w:r w:rsidRPr="00953CD4">
        <w:rPr>
          <w:lang w:val="en-GB"/>
        </w:rPr>
        <w:t>Bortone</w:t>
      </w:r>
      <w:proofErr w:type="spellEnd"/>
      <w:r w:rsidRPr="00953CD4">
        <w:rPr>
          <w:lang w:val="en-GB"/>
        </w:rPr>
        <w:t xml:space="preserve"> and </w:t>
      </w:r>
      <w:proofErr w:type="spellStart"/>
      <w:r w:rsidRPr="00953CD4">
        <w:rPr>
          <w:lang w:val="en-GB"/>
        </w:rPr>
        <w:t>Polleux</w:t>
      </w:r>
      <w:proofErr w:type="spellEnd"/>
      <w:r w:rsidRPr="00953CD4">
        <w:rPr>
          <w:lang w:val="en-GB"/>
        </w:rPr>
        <w:t xml:space="preserve">, 2009; de Lima et al., 2009; </w:t>
      </w:r>
      <w:proofErr w:type="spellStart"/>
      <w:r w:rsidRPr="00953CD4">
        <w:rPr>
          <w:lang w:val="en-GB"/>
        </w:rPr>
        <w:t>Komuro</w:t>
      </w:r>
      <w:proofErr w:type="spellEnd"/>
      <w:r w:rsidRPr="00953CD4">
        <w:rPr>
          <w:lang w:val="en-GB"/>
        </w:rPr>
        <w:t xml:space="preserve"> and </w:t>
      </w:r>
      <w:proofErr w:type="spellStart"/>
      <w:r w:rsidRPr="00953CD4">
        <w:rPr>
          <w:lang w:val="en-GB"/>
        </w:rPr>
        <w:t>Rakic</w:t>
      </w:r>
      <w:proofErr w:type="spellEnd"/>
      <w:r w:rsidRPr="00953CD4">
        <w:rPr>
          <w:lang w:val="en-GB"/>
        </w:rPr>
        <w:t xml:space="preserve">, 1993; </w:t>
      </w:r>
      <w:proofErr w:type="spellStart"/>
      <w:r w:rsidRPr="00953CD4">
        <w:rPr>
          <w:lang w:val="en-GB"/>
        </w:rPr>
        <w:t>Manent</w:t>
      </w:r>
      <w:proofErr w:type="spellEnd"/>
      <w:r w:rsidRPr="00953CD4">
        <w:rPr>
          <w:lang w:val="en-GB"/>
        </w:rPr>
        <w:t xml:space="preserve"> and </w:t>
      </w:r>
      <w:proofErr w:type="spellStart"/>
      <w:r w:rsidRPr="00953CD4">
        <w:rPr>
          <w:lang w:val="en-GB"/>
        </w:rPr>
        <w:t>Represa</w:t>
      </w:r>
      <w:proofErr w:type="spellEnd"/>
      <w:r w:rsidRPr="00953CD4">
        <w:rPr>
          <w:lang w:val="en-GB"/>
        </w:rPr>
        <w:t>, 2007).</w:t>
      </w:r>
    </w:p>
    <w:p w:rsidR="003704F2" w:rsidRPr="00953CD4" w:rsidRDefault="003704F2" w:rsidP="00857236">
      <w:pPr>
        <w:pStyle w:val="AbstractSummary"/>
        <w:spacing w:before="0" w:line="360" w:lineRule="auto"/>
        <w:ind w:firstLine="720"/>
        <w:jc w:val="both"/>
        <w:rPr>
          <w:color w:val="FF0000"/>
          <w:lang w:val="en-GB"/>
        </w:rPr>
      </w:pPr>
      <w:r w:rsidRPr="00953CD4">
        <w:rPr>
          <w:lang w:val="en-GB"/>
        </w:rPr>
        <w:t>Here, we follow up on this lead and ask how neural communication might affect corticogenesis, and in particular directed interneuron migration in the cerebellar cortex. This cortical structure seems uniquely suited to address such a general question: Compared to the forebrain cortex, the cerebellar cortex is evolutionary rather conserved (Bell et al., 2008). It is constituted by a limited number of genetically well characterized cell types with distinct developmental histories (</w:t>
      </w:r>
      <w:proofErr w:type="spellStart"/>
      <w:r w:rsidRPr="00953CD4">
        <w:rPr>
          <w:lang w:val="en-GB"/>
        </w:rPr>
        <w:t>Goldowitz</w:t>
      </w:r>
      <w:proofErr w:type="spellEnd"/>
      <w:r w:rsidRPr="00953CD4">
        <w:rPr>
          <w:lang w:val="en-GB"/>
        </w:rPr>
        <w:t xml:space="preserve"> and </w:t>
      </w:r>
      <w:proofErr w:type="spellStart"/>
      <w:r w:rsidRPr="00953CD4">
        <w:rPr>
          <w:lang w:val="en-GB"/>
        </w:rPr>
        <w:t>Hamre</w:t>
      </w:r>
      <w:proofErr w:type="spellEnd"/>
      <w:r w:rsidRPr="00953CD4">
        <w:rPr>
          <w:lang w:val="en-GB"/>
        </w:rPr>
        <w:t>, 1998; Schilling et al., 2008)</w:t>
      </w:r>
      <w:r w:rsidR="00F62CA6" w:rsidRPr="00953CD4">
        <w:rPr>
          <w:lang w:val="en-GB"/>
        </w:rPr>
        <w:t>.</w:t>
      </w:r>
      <w:r w:rsidR="006F4B0B" w:rsidRPr="00953CD4">
        <w:rPr>
          <w:lang w:val="en-GB"/>
        </w:rPr>
        <w:t xml:space="preserve"> </w:t>
      </w:r>
      <w:r w:rsidR="006F4B0B" w:rsidRPr="00953CD4">
        <w:rPr>
          <w:color w:val="FF0000"/>
          <w:lang w:val="en-GB"/>
        </w:rPr>
        <w:t>Its inhibitory interneurons, and particular</w:t>
      </w:r>
      <w:r w:rsidR="00F62CA6" w:rsidRPr="00953CD4">
        <w:rPr>
          <w:color w:val="FF0000"/>
          <w:lang w:val="en-GB"/>
        </w:rPr>
        <w:t>ly those</w:t>
      </w:r>
      <w:r w:rsidR="006F4B0B" w:rsidRPr="00953CD4">
        <w:rPr>
          <w:color w:val="FF0000"/>
          <w:lang w:val="en-GB"/>
        </w:rPr>
        <w:t xml:space="preserve"> in the molecular layer (ML), arguably form one of the largest and best character</w:t>
      </w:r>
      <w:r w:rsidR="00F62CA6" w:rsidRPr="00953CD4">
        <w:rPr>
          <w:color w:val="FF0000"/>
          <w:lang w:val="en-GB"/>
        </w:rPr>
        <w:t>ized groups of inhibitory intern</w:t>
      </w:r>
      <w:r w:rsidR="006F4B0B" w:rsidRPr="00953CD4">
        <w:rPr>
          <w:color w:val="FF0000"/>
          <w:lang w:val="en-GB"/>
        </w:rPr>
        <w:t>eurons in the vertebrate central nervous system (</w:t>
      </w:r>
      <w:r w:rsidR="00443969" w:rsidRPr="00953CD4">
        <w:rPr>
          <w:color w:val="FF0000"/>
          <w:lang w:val="en-GB"/>
        </w:rPr>
        <w:t xml:space="preserve">see, e.g. </w:t>
      </w:r>
      <w:proofErr w:type="spellStart"/>
      <w:r w:rsidR="00443969" w:rsidRPr="00953CD4">
        <w:rPr>
          <w:color w:val="FF0000"/>
          <w:lang w:val="en-GB"/>
        </w:rPr>
        <w:t>Markram</w:t>
      </w:r>
      <w:proofErr w:type="spellEnd"/>
      <w:r w:rsidR="00443969" w:rsidRPr="00953CD4">
        <w:rPr>
          <w:color w:val="FF0000"/>
          <w:lang w:val="en-GB"/>
        </w:rPr>
        <w:t xml:space="preserve"> et al., 2004</w:t>
      </w:r>
      <w:r w:rsidR="001E5782" w:rsidRPr="00953CD4">
        <w:rPr>
          <w:color w:val="FF0000"/>
          <w:lang w:val="en-GB"/>
        </w:rPr>
        <w:t xml:space="preserve">; </w:t>
      </w:r>
      <w:proofErr w:type="spellStart"/>
      <w:r w:rsidR="001E5782" w:rsidRPr="00953CD4">
        <w:rPr>
          <w:color w:val="FF0000"/>
          <w:lang w:val="en-GB"/>
        </w:rPr>
        <w:t>Kepecs</w:t>
      </w:r>
      <w:proofErr w:type="spellEnd"/>
      <w:r w:rsidR="001E5782" w:rsidRPr="00953CD4">
        <w:rPr>
          <w:color w:val="FF0000"/>
          <w:lang w:val="en-GB"/>
        </w:rPr>
        <w:t xml:space="preserve"> and </w:t>
      </w:r>
      <w:proofErr w:type="spellStart"/>
      <w:r w:rsidR="001E5782" w:rsidRPr="00953CD4">
        <w:rPr>
          <w:color w:val="FF0000"/>
          <w:lang w:val="en-GB"/>
        </w:rPr>
        <w:t>Fishell</w:t>
      </w:r>
      <w:proofErr w:type="spellEnd"/>
      <w:r w:rsidR="001E5782" w:rsidRPr="00953CD4">
        <w:rPr>
          <w:color w:val="FF0000"/>
          <w:lang w:val="en-GB"/>
        </w:rPr>
        <w:t>, 2014;</w:t>
      </w:r>
      <w:r w:rsidR="00811BF2" w:rsidRPr="00953CD4">
        <w:rPr>
          <w:color w:val="FF0000"/>
          <w:lang w:val="en-GB"/>
        </w:rPr>
        <w:t xml:space="preserve"> </w:t>
      </w:r>
      <w:r w:rsidR="00443969" w:rsidRPr="00953CD4">
        <w:rPr>
          <w:color w:val="FF0000"/>
          <w:lang w:val="en-GB"/>
        </w:rPr>
        <w:t xml:space="preserve">Carter and </w:t>
      </w:r>
      <w:proofErr w:type="spellStart"/>
      <w:r w:rsidR="00443969" w:rsidRPr="00953CD4">
        <w:rPr>
          <w:color w:val="FF0000"/>
          <w:lang w:val="en-GB"/>
        </w:rPr>
        <w:t>Regehr</w:t>
      </w:r>
      <w:proofErr w:type="spellEnd"/>
      <w:r w:rsidR="0039405D" w:rsidRPr="00953CD4">
        <w:rPr>
          <w:color w:val="FF0000"/>
          <w:lang w:val="en-GB"/>
        </w:rPr>
        <w:t>,</w:t>
      </w:r>
      <w:r w:rsidR="00443969" w:rsidRPr="00953CD4">
        <w:rPr>
          <w:color w:val="FF0000"/>
          <w:lang w:val="en-GB"/>
        </w:rPr>
        <w:t xml:space="preserve"> 2002; </w:t>
      </w:r>
      <w:proofErr w:type="spellStart"/>
      <w:r w:rsidR="00443969" w:rsidRPr="00953CD4">
        <w:rPr>
          <w:color w:val="FF0000"/>
          <w:lang w:val="en-GB"/>
        </w:rPr>
        <w:t>Jorntell</w:t>
      </w:r>
      <w:proofErr w:type="spellEnd"/>
      <w:r w:rsidR="00443969" w:rsidRPr="00953CD4">
        <w:rPr>
          <w:color w:val="FF0000"/>
          <w:lang w:val="en-GB"/>
        </w:rPr>
        <w:t xml:space="preserve"> et al., 2010; Kim et al., 2014</w:t>
      </w:r>
      <w:r w:rsidR="009F7C7C" w:rsidRPr="00953CD4">
        <w:rPr>
          <w:color w:val="FF0000"/>
          <w:lang w:val="en-GB"/>
        </w:rPr>
        <w:t>)</w:t>
      </w:r>
      <w:r w:rsidR="00F62CA6" w:rsidRPr="00953CD4">
        <w:rPr>
          <w:color w:val="FF0000"/>
          <w:lang w:val="en-GB"/>
        </w:rPr>
        <w:t xml:space="preserve">. </w:t>
      </w:r>
    </w:p>
    <w:p w:rsidR="003704F2" w:rsidRPr="00953CD4" w:rsidRDefault="003704F2" w:rsidP="00857236">
      <w:pPr>
        <w:pStyle w:val="AbstractSummary"/>
        <w:spacing w:before="0" w:line="360" w:lineRule="auto"/>
        <w:ind w:firstLine="720"/>
        <w:jc w:val="both"/>
        <w:rPr>
          <w:lang w:val="en-GB"/>
        </w:rPr>
      </w:pPr>
      <w:r w:rsidRPr="00953CD4">
        <w:rPr>
          <w:lang w:val="en-GB"/>
        </w:rPr>
        <w:t xml:space="preserve">Among the first cerebellar neurons formed are Purkinje cells, inhibitory interneurons of the deep nuclei, and inhibitory interneurons of the future granule cell layer (GL). In the mouse, these go through their last mitosis from around embryonic days 10.5-13.5, 10.5-11.5, and 13.5 to postnatal day 1, respectively (e.g. </w:t>
      </w:r>
      <w:proofErr w:type="spellStart"/>
      <w:r w:rsidRPr="00953CD4">
        <w:rPr>
          <w:lang w:val="en-GB"/>
        </w:rPr>
        <w:t>Sudarov</w:t>
      </w:r>
      <w:proofErr w:type="spellEnd"/>
      <w:r w:rsidRPr="00953CD4">
        <w:rPr>
          <w:lang w:val="en-GB"/>
        </w:rPr>
        <w:t xml:space="preserve"> et al., 2011; for a recent review and further references, see </w:t>
      </w:r>
      <w:proofErr w:type="spellStart"/>
      <w:r w:rsidRPr="00953CD4">
        <w:rPr>
          <w:lang w:val="en-GB"/>
        </w:rPr>
        <w:t>Leto</w:t>
      </w:r>
      <w:proofErr w:type="spellEnd"/>
      <w:r w:rsidRPr="00953CD4">
        <w:rPr>
          <w:lang w:val="en-GB"/>
        </w:rPr>
        <w:t xml:space="preserve"> et al., 2016), and subsequently migrate radially to form the cerebellar anlage. From about embryonic day 12.5-16, Math1-positive cells </w:t>
      </w:r>
      <w:r w:rsidR="00EA0825" w:rsidRPr="00953CD4">
        <w:rPr>
          <w:color w:val="FF0000"/>
          <w:lang w:val="en-GB"/>
        </w:rPr>
        <w:t>migrate</w:t>
      </w:r>
      <w:r w:rsidR="00EA0825" w:rsidRPr="00953CD4">
        <w:rPr>
          <w:lang w:val="en-GB"/>
        </w:rPr>
        <w:t xml:space="preserve"> </w:t>
      </w:r>
      <w:r w:rsidRPr="00953CD4">
        <w:rPr>
          <w:lang w:val="en-GB"/>
        </w:rPr>
        <w:t>from the rhombic lip (Ben-</w:t>
      </w:r>
      <w:proofErr w:type="spellStart"/>
      <w:r w:rsidRPr="00953CD4">
        <w:rPr>
          <w:lang w:val="en-GB"/>
        </w:rPr>
        <w:t>Arie</w:t>
      </w:r>
      <w:proofErr w:type="spellEnd"/>
      <w:r w:rsidRPr="00953CD4">
        <w:rPr>
          <w:lang w:val="en-GB"/>
        </w:rPr>
        <w:t xml:space="preserve"> et al., 1997)</w:t>
      </w:r>
      <w:r w:rsidR="00EA0825" w:rsidRPr="00953CD4">
        <w:rPr>
          <w:lang w:val="en-GB"/>
        </w:rPr>
        <w:t xml:space="preserve"> </w:t>
      </w:r>
      <w:r w:rsidRPr="00953CD4">
        <w:rPr>
          <w:lang w:val="en-GB"/>
        </w:rPr>
        <w:t xml:space="preserve">underneath the pial surface </w:t>
      </w:r>
      <w:r w:rsidR="00EA0825" w:rsidRPr="00953CD4">
        <w:rPr>
          <w:lang w:val="en-GB"/>
        </w:rPr>
        <w:t xml:space="preserve">of the cerebellar anlage </w:t>
      </w:r>
      <w:r w:rsidR="00EA0825" w:rsidRPr="00953CD4">
        <w:rPr>
          <w:color w:val="FF0000"/>
          <w:lang w:val="en-GB"/>
        </w:rPr>
        <w:t>to form</w:t>
      </w:r>
      <w:r w:rsidRPr="00953CD4">
        <w:rPr>
          <w:lang w:val="en-GB"/>
        </w:rPr>
        <w:t xml:space="preserve"> the external granule cell layer (EGL), where they proliferate extensively up to about postnatal day 15. Math1-positive cells give rise to all excitatory cerebellar neurons, including granule cells, unipolar brush cells and excitatory cells in the deep nuclei (</w:t>
      </w:r>
      <w:proofErr w:type="spellStart"/>
      <w:r w:rsidRPr="00953CD4">
        <w:rPr>
          <w:lang w:val="en-GB"/>
        </w:rPr>
        <w:t>Machold</w:t>
      </w:r>
      <w:proofErr w:type="spellEnd"/>
      <w:r w:rsidRPr="00953CD4">
        <w:rPr>
          <w:lang w:val="en-GB"/>
        </w:rPr>
        <w:t xml:space="preserve"> and </w:t>
      </w:r>
      <w:proofErr w:type="spellStart"/>
      <w:r w:rsidRPr="00953CD4">
        <w:rPr>
          <w:lang w:val="en-GB"/>
        </w:rPr>
        <w:t>Fishell</w:t>
      </w:r>
      <w:proofErr w:type="spellEnd"/>
      <w:r w:rsidRPr="00953CD4">
        <w:rPr>
          <w:lang w:val="en-GB"/>
        </w:rPr>
        <w:t xml:space="preserve">, 2005). Both afferent climbing </w:t>
      </w:r>
      <w:proofErr w:type="spellStart"/>
      <w:r w:rsidRPr="00953CD4">
        <w:rPr>
          <w:lang w:val="en-GB"/>
        </w:rPr>
        <w:t>fibers</w:t>
      </w:r>
      <w:proofErr w:type="spellEnd"/>
      <w:r w:rsidRPr="00953CD4">
        <w:rPr>
          <w:lang w:val="en-GB"/>
        </w:rPr>
        <w:t xml:space="preserve"> (Kita et al., 2015; Wassef et al., 1992) and mossy </w:t>
      </w:r>
      <w:proofErr w:type="spellStart"/>
      <w:r w:rsidRPr="00953CD4">
        <w:rPr>
          <w:lang w:val="en-GB"/>
        </w:rPr>
        <w:t>fibers</w:t>
      </w:r>
      <w:proofErr w:type="spellEnd"/>
      <w:r w:rsidRPr="00953CD4">
        <w:rPr>
          <w:lang w:val="en-GB"/>
        </w:rPr>
        <w:t xml:space="preserve"> reach the cerebellar anlage before or around birth (Ashwell and Zhang, 1992; </w:t>
      </w:r>
      <w:proofErr w:type="spellStart"/>
      <w:r w:rsidRPr="00953CD4">
        <w:rPr>
          <w:lang w:val="en-GB"/>
        </w:rPr>
        <w:t>Grishkat</w:t>
      </w:r>
      <w:proofErr w:type="spellEnd"/>
      <w:r w:rsidRPr="00953CD4">
        <w:rPr>
          <w:lang w:val="en-GB"/>
        </w:rPr>
        <w:t xml:space="preserve"> and Eisenman, 1995; </w:t>
      </w:r>
      <w:proofErr w:type="spellStart"/>
      <w:r w:rsidRPr="00953CD4">
        <w:rPr>
          <w:lang w:val="en-GB"/>
        </w:rPr>
        <w:t>Nunes</w:t>
      </w:r>
      <w:proofErr w:type="spellEnd"/>
      <w:r w:rsidRPr="00953CD4">
        <w:rPr>
          <w:lang w:val="en-GB"/>
        </w:rPr>
        <w:t xml:space="preserve"> and Sotelo, 1985). </w:t>
      </w:r>
    </w:p>
    <w:p w:rsidR="003704F2" w:rsidRPr="00953CD4" w:rsidRDefault="003704F2" w:rsidP="00857236">
      <w:pPr>
        <w:pStyle w:val="AbstractSummary"/>
        <w:spacing w:before="0" w:line="360" w:lineRule="auto"/>
        <w:ind w:firstLine="720"/>
        <w:jc w:val="both"/>
        <w:rPr>
          <w:lang w:val="en-GB"/>
        </w:rPr>
      </w:pPr>
      <w:r w:rsidRPr="00953CD4">
        <w:rPr>
          <w:lang w:val="en-GB"/>
        </w:rPr>
        <w:t>Lastly, inhibitory interneurons resident in the molecular layer (ML) are formed over a rather protracted period, from about embryonic day 15 to postnatal day 7 (</w:t>
      </w:r>
      <w:proofErr w:type="spellStart"/>
      <w:r w:rsidRPr="00953CD4">
        <w:rPr>
          <w:lang w:val="en-GB"/>
        </w:rPr>
        <w:t>Leto</w:t>
      </w:r>
      <w:proofErr w:type="spellEnd"/>
      <w:r w:rsidRPr="00953CD4">
        <w:rPr>
          <w:lang w:val="en-GB"/>
        </w:rPr>
        <w:t xml:space="preserve"> et al., 2009; </w:t>
      </w:r>
      <w:proofErr w:type="spellStart"/>
      <w:r w:rsidRPr="00953CD4">
        <w:rPr>
          <w:lang w:val="en-GB"/>
        </w:rPr>
        <w:t>Sudarov</w:t>
      </w:r>
      <w:proofErr w:type="spellEnd"/>
      <w:r w:rsidRPr="00953CD4">
        <w:rPr>
          <w:lang w:val="en-GB"/>
        </w:rPr>
        <w:t xml:space="preserve"> et al., 2011). They have to traverse the nascent white matter (WM), the emerging internal granule cell layer (IGL), and eventually the Purkinje cell layer (PCL) to reach </w:t>
      </w:r>
      <w:r w:rsidRPr="00953CD4">
        <w:rPr>
          <w:color w:val="FF0000"/>
          <w:lang w:val="en-GB"/>
        </w:rPr>
        <w:t>the</w:t>
      </w:r>
      <w:r w:rsidR="00F62CA6" w:rsidRPr="00953CD4">
        <w:rPr>
          <w:color w:val="FF0000"/>
          <w:lang w:val="en-GB"/>
        </w:rPr>
        <w:t xml:space="preserve"> molecular layer. There, they initially accumulate at the border of the EGL before they take up their adult positions</w:t>
      </w:r>
      <w:r w:rsidR="00AE26FE" w:rsidRPr="00953CD4">
        <w:rPr>
          <w:lang w:val="en-GB"/>
        </w:rPr>
        <w:t xml:space="preserve"> </w:t>
      </w:r>
      <w:r w:rsidRPr="00953CD4">
        <w:rPr>
          <w:lang w:val="en-GB"/>
        </w:rPr>
        <w:t>(</w:t>
      </w:r>
      <w:proofErr w:type="spellStart"/>
      <w:r w:rsidRPr="00953CD4">
        <w:rPr>
          <w:lang w:val="en-GB"/>
        </w:rPr>
        <w:t>Leto</w:t>
      </w:r>
      <w:proofErr w:type="spellEnd"/>
      <w:r w:rsidRPr="00953CD4">
        <w:rPr>
          <w:lang w:val="en-GB"/>
        </w:rPr>
        <w:t xml:space="preserve"> et al., 2009; Weisheit et al., 2006; Zhang and Goldman, 1996</w:t>
      </w:r>
      <w:r w:rsidR="00F62CA6" w:rsidRPr="00953CD4">
        <w:rPr>
          <w:lang w:val="en-GB"/>
        </w:rPr>
        <w:t xml:space="preserve">; </w:t>
      </w:r>
      <w:proofErr w:type="spellStart"/>
      <w:r w:rsidR="00F62CA6" w:rsidRPr="00953CD4">
        <w:rPr>
          <w:color w:val="FF0000"/>
          <w:lang w:val="en-GB"/>
        </w:rPr>
        <w:t>Simat</w:t>
      </w:r>
      <w:proofErr w:type="spellEnd"/>
      <w:r w:rsidR="00EA0825" w:rsidRPr="00953CD4">
        <w:rPr>
          <w:color w:val="FF0000"/>
          <w:lang w:val="en-GB"/>
        </w:rPr>
        <w:t xml:space="preserve"> et al 2007; </w:t>
      </w:r>
      <w:proofErr w:type="spellStart"/>
      <w:r w:rsidR="00EA0825" w:rsidRPr="00953CD4">
        <w:rPr>
          <w:bCs/>
          <w:color w:val="FF0000"/>
          <w:lang w:val="en-GB"/>
        </w:rPr>
        <w:t>Maricich</w:t>
      </w:r>
      <w:proofErr w:type="spellEnd"/>
      <w:r w:rsidR="00EA0825" w:rsidRPr="00953CD4">
        <w:rPr>
          <w:bCs/>
          <w:color w:val="FF0000"/>
          <w:lang w:val="en-GB"/>
        </w:rPr>
        <w:t xml:space="preserve"> and </w:t>
      </w:r>
      <w:proofErr w:type="spellStart"/>
      <w:r w:rsidR="00EA0825" w:rsidRPr="00953CD4">
        <w:rPr>
          <w:bCs/>
          <w:color w:val="FF0000"/>
          <w:lang w:val="en-GB"/>
        </w:rPr>
        <w:t>Herrup</w:t>
      </w:r>
      <w:proofErr w:type="spellEnd"/>
      <w:r w:rsidR="00EA0825" w:rsidRPr="00953CD4">
        <w:rPr>
          <w:bCs/>
          <w:color w:val="FF0000"/>
          <w:lang w:val="en-GB"/>
        </w:rPr>
        <w:t>, 1999</w:t>
      </w:r>
      <w:r w:rsidRPr="00953CD4">
        <w:rPr>
          <w:color w:val="FF0000"/>
          <w:lang w:val="en-GB"/>
        </w:rPr>
        <w:t>)</w:t>
      </w:r>
      <w:r w:rsidRPr="00953CD4">
        <w:rPr>
          <w:lang w:val="en-GB"/>
        </w:rPr>
        <w:t>. According to current thought, it is only then that they become synaptically integrated with granule cell afferents and Purkinje neurons, the sole projection neurons of the cerebellar cortex (Schilling, 2013).</w:t>
      </w:r>
    </w:p>
    <w:p w:rsidR="003704F2" w:rsidRPr="00953CD4" w:rsidRDefault="003704F2" w:rsidP="00857236">
      <w:pPr>
        <w:pStyle w:val="AbstractSummary"/>
        <w:spacing w:before="0" w:line="360" w:lineRule="auto"/>
        <w:ind w:firstLine="720"/>
        <w:jc w:val="both"/>
        <w:rPr>
          <w:lang w:val="en-GB"/>
        </w:rPr>
      </w:pPr>
      <w:r w:rsidRPr="00953CD4">
        <w:rPr>
          <w:lang w:val="en-GB"/>
        </w:rPr>
        <w:t>In striking contrast to this detailed descriptive understanding, the mechanisms that direct cerebellar interneuron migration and dispersion remain elusive. To address this issue, we combined two-photon time-lapse imaging and patch-clamp recordings to characterize genetically tagged, migrating precursors of cerebellar inhibitory interneurons. Unexpectedly, we found that these precursors in transit are synaptically innervated. Elimination of synaptic exocytosis reduced the speed and, conspicuously, the directionality of migration. These findings establish a hitherto unknown, early synaptic innervation of developing interneurons. Further, they document that such synapses implement a mechanism that allows these cells to properly navigate the nascent cerebellar cortex.</w:t>
      </w:r>
    </w:p>
    <w:p w:rsidR="003704F2" w:rsidRPr="00953CD4" w:rsidRDefault="003704F2" w:rsidP="00DB6EAC">
      <w:pPr>
        <w:pStyle w:val="Paragraph"/>
        <w:spacing w:before="0" w:line="480" w:lineRule="auto"/>
        <w:ind w:firstLine="0"/>
        <w:jc w:val="both"/>
        <w:rPr>
          <w:b/>
          <w:bCs/>
          <w:sz w:val="28"/>
          <w:szCs w:val="28"/>
          <w:lang w:val="en-GB"/>
        </w:rPr>
      </w:pPr>
    </w:p>
    <w:p w:rsidR="003704F2" w:rsidRPr="00953CD4" w:rsidRDefault="00665DA5" w:rsidP="00DB6EAC">
      <w:pPr>
        <w:pStyle w:val="Paragraph"/>
        <w:spacing w:before="0" w:line="360" w:lineRule="auto"/>
        <w:ind w:firstLine="0"/>
        <w:jc w:val="both"/>
        <w:rPr>
          <w:b/>
          <w:bCs/>
          <w:sz w:val="28"/>
          <w:szCs w:val="28"/>
          <w:lang w:val="en-GB"/>
        </w:rPr>
      </w:pPr>
      <w:r w:rsidRPr="00953CD4">
        <w:rPr>
          <w:b/>
          <w:bCs/>
          <w:sz w:val="28"/>
          <w:szCs w:val="28"/>
          <w:lang w:val="en-GB"/>
        </w:rPr>
        <w:t>RESULTS</w:t>
      </w:r>
    </w:p>
    <w:p w:rsidR="003704F2" w:rsidRPr="00953CD4" w:rsidRDefault="003704F2" w:rsidP="00DB6EAC">
      <w:pPr>
        <w:pStyle w:val="Paragraph"/>
        <w:spacing w:before="0" w:line="360" w:lineRule="auto"/>
        <w:ind w:firstLine="0"/>
        <w:jc w:val="both"/>
        <w:rPr>
          <w:b/>
          <w:bCs/>
          <w:lang w:val="en-GB"/>
        </w:rPr>
      </w:pPr>
      <w:r w:rsidRPr="00953CD4">
        <w:rPr>
          <w:b/>
          <w:bCs/>
          <w:lang w:val="en-GB"/>
        </w:rPr>
        <w:t>Basic morphological and electrophysiological characteristics of migrating interneuron precursors</w:t>
      </w:r>
    </w:p>
    <w:p w:rsidR="003704F2" w:rsidRPr="00953CD4" w:rsidRDefault="003704F2" w:rsidP="00DB6EAC">
      <w:pPr>
        <w:pStyle w:val="Paragraph"/>
        <w:spacing w:before="0" w:line="360" w:lineRule="auto"/>
        <w:ind w:firstLine="0"/>
        <w:jc w:val="both"/>
        <w:rPr>
          <w:lang w:val="en-GB"/>
        </w:rPr>
      </w:pPr>
      <w:r w:rsidRPr="00953CD4">
        <w:rPr>
          <w:lang w:val="en-GB"/>
        </w:rPr>
        <w:t xml:space="preserve">In acute cerebellar slices of 7–9 day old mice expressing EGFP from the locus of the paired-box gene, </w:t>
      </w:r>
      <w:r w:rsidRPr="00953CD4">
        <w:rPr>
          <w:i/>
          <w:iCs/>
          <w:lang w:val="en-GB"/>
        </w:rPr>
        <w:t>Pax2</w:t>
      </w:r>
      <w:r w:rsidRPr="00953CD4">
        <w:rPr>
          <w:lang w:val="en-GB"/>
        </w:rPr>
        <w:t> (</w:t>
      </w:r>
      <w:proofErr w:type="spellStart"/>
      <w:r w:rsidRPr="00953CD4">
        <w:rPr>
          <w:lang w:val="en-GB"/>
        </w:rPr>
        <w:t>Pfeffer</w:t>
      </w:r>
      <w:proofErr w:type="spellEnd"/>
      <w:r w:rsidRPr="00953CD4">
        <w:rPr>
          <w:lang w:val="en-GB"/>
        </w:rPr>
        <w:t xml:space="preserve"> et al., 2002; Weisheit et al., 2006), precursors of ML</w:t>
      </w:r>
      <w:r w:rsidR="00EA0825" w:rsidRPr="00953CD4">
        <w:rPr>
          <w:lang w:val="en-GB"/>
        </w:rPr>
        <w:t xml:space="preserve"> inhibitory interneurons </w:t>
      </w:r>
      <w:r w:rsidR="00EA0825" w:rsidRPr="00953CD4">
        <w:rPr>
          <w:color w:val="FF0000"/>
          <w:lang w:val="en-GB"/>
        </w:rPr>
        <w:t>can be recognized</w:t>
      </w:r>
      <w:r w:rsidRPr="00953CD4">
        <w:rPr>
          <w:lang w:val="en-GB"/>
        </w:rPr>
        <w:t xml:space="preserve"> as strongly EGFP-positive, slender, fusiform cells</w:t>
      </w:r>
      <w:r w:rsidR="00EA0825" w:rsidRPr="00953CD4">
        <w:rPr>
          <w:lang w:val="en-GB"/>
        </w:rPr>
        <w:t xml:space="preserve">. </w:t>
      </w:r>
      <w:r w:rsidR="00EA0825" w:rsidRPr="00953CD4">
        <w:rPr>
          <w:color w:val="FF0000"/>
          <w:lang w:val="en-GB"/>
        </w:rPr>
        <w:t>They may be found</w:t>
      </w:r>
      <w:r w:rsidR="00EA0825" w:rsidRPr="00953CD4">
        <w:rPr>
          <w:lang w:val="en-GB"/>
        </w:rPr>
        <w:t xml:space="preserve"> </w:t>
      </w:r>
      <w:r w:rsidRPr="00953CD4">
        <w:rPr>
          <w:lang w:val="en-GB"/>
        </w:rPr>
        <w:t>within the prospective WM, the IGL, and the nascent ML, through which they consecutively migrate to reach their adult position. Their morphology and mobility towards the developing ML (</w:t>
      </w:r>
      <w:r w:rsidR="002D3873" w:rsidRPr="00953CD4">
        <w:rPr>
          <w:u w:color="0070C0"/>
          <w:lang w:val="en-GB"/>
        </w:rPr>
        <w:t>Fig. </w:t>
      </w:r>
      <w:r w:rsidRPr="00953CD4">
        <w:rPr>
          <w:lang w:val="en-GB"/>
        </w:rPr>
        <w:t>1</w:t>
      </w:r>
      <w:r w:rsidR="00045626" w:rsidRPr="00953CD4">
        <w:rPr>
          <w:lang w:val="en-GB"/>
        </w:rPr>
        <w:t>,2</w:t>
      </w:r>
      <w:r w:rsidRPr="00953CD4">
        <w:rPr>
          <w:lang w:val="en-GB"/>
        </w:rPr>
        <w:t>; see also Movies</w:t>
      </w:r>
      <w:r w:rsidR="002D3873" w:rsidRPr="00953CD4">
        <w:rPr>
          <w:lang w:val="en-GB"/>
        </w:rPr>
        <w:t> </w:t>
      </w:r>
      <w:r w:rsidRPr="00953CD4">
        <w:rPr>
          <w:lang w:val="en-GB"/>
        </w:rPr>
        <w:t>1-3) allow to readily distinguish them from the larger, roundish, and already settled inhibitory interneurons of the IGL ("Golgi cells"), which also express Pax2 (</w:t>
      </w:r>
      <w:proofErr w:type="spellStart"/>
      <w:r w:rsidRPr="00953CD4">
        <w:rPr>
          <w:lang w:val="en-GB"/>
        </w:rPr>
        <w:t>Maricich</w:t>
      </w:r>
      <w:proofErr w:type="spellEnd"/>
      <w:r w:rsidRPr="00953CD4">
        <w:rPr>
          <w:lang w:val="en-GB"/>
        </w:rPr>
        <w:t xml:space="preserve"> and </w:t>
      </w:r>
      <w:proofErr w:type="spellStart"/>
      <w:r w:rsidRPr="00953CD4">
        <w:rPr>
          <w:lang w:val="en-GB"/>
        </w:rPr>
        <w:t>Herrup</w:t>
      </w:r>
      <w:proofErr w:type="spellEnd"/>
      <w:r w:rsidRPr="00953CD4">
        <w:rPr>
          <w:lang w:val="en-GB"/>
        </w:rPr>
        <w:t>, 1999). Within the ML, newly arrived Pax2-EGFP cells could be readily distinguished from more mature ML interneurons by their strong EGFP signal, their preferential orientation perpendicular to the Purkinje cell layer, and their mobility. After entering the ML, these cells first translocate towards the border of the ML and the EGL (</w:t>
      </w:r>
      <w:proofErr w:type="spellStart"/>
      <w:r w:rsidRPr="00953CD4">
        <w:rPr>
          <w:lang w:val="en-GB"/>
        </w:rPr>
        <w:t>Simat</w:t>
      </w:r>
      <w:proofErr w:type="spellEnd"/>
      <w:r w:rsidRPr="00953CD4">
        <w:rPr>
          <w:lang w:val="en-GB"/>
        </w:rPr>
        <w:t xml:space="preserve"> et al., 2007; Weisheit et al., 2006). Upon their subsequent embedding in the growing ML, they rapidly down-regulate Pax2 and Pax2-EGFP (</w:t>
      </w:r>
      <w:proofErr w:type="spellStart"/>
      <w:r w:rsidRPr="00953CD4">
        <w:rPr>
          <w:lang w:val="en-GB"/>
        </w:rPr>
        <w:t>Glassmann</w:t>
      </w:r>
      <w:proofErr w:type="spellEnd"/>
      <w:r w:rsidRPr="00953CD4">
        <w:rPr>
          <w:lang w:val="en-GB"/>
        </w:rPr>
        <w:t xml:space="preserve"> et al., 2009; Weisheit et al., 2006), and they </w:t>
      </w:r>
      <w:r w:rsidR="00861F2C" w:rsidRPr="00953CD4">
        <w:rPr>
          <w:color w:val="FF0000"/>
          <w:lang w:val="en-GB"/>
        </w:rPr>
        <w:t>can</w:t>
      </w:r>
      <w:r w:rsidR="00892ABC" w:rsidRPr="00953CD4">
        <w:rPr>
          <w:color w:val="FF0000"/>
          <w:lang w:val="en-GB"/>
        </w:rPr>
        <w:t xml:space="preserve"> </w:t>
      </w:r>
      <w:r w:rsidR="00892ABC" w:rsidRPr="00953CD4">
        <w:rPr>
          <w:lang w:val="en-GB"/>
        </w:rPr>
        <w:t xml:space="preserve">be recognized </w:t>
      </w:r>
      <w:r w:rsidRPr="00953CD4">
        <w:rPr>
          <w:lang w:val="en-GB"/>
        </w:rPr>
        <w:t>as dimly stained, immobile cells with their long axis preferentially parallel to the Purkinje cell layer (</w:t>
      </w:r>
      <w:r w:rsidR="005E46DA" w:rsidRPr="00953CD4">
        <w:rPr>
          <w:u w:color="0070C0"/>
          <w:lang w:val="en-GB"/>
        </w:rPr>
        <w:t>Fig</w:t>
      </w:r>
      <w:r w:rsidR="002D3873" w:rsidRPr="00953CD4">
        <w:rPr>
          <w:u w:color="0070C0"/>
          <w:lang w:val="en-GB"/>
        </w:rPr>
        <w:t>. </w:t>
      </w:r>
      <w:r w:rsidR="006224E5" w:rsidRPr="00953CD4">
        <w:rPr>
          <w:lang w:val="en-GB"/>
        </w:rPr>
        <w:t>2</w:t>
      </w:r>
      <w:r w:rsidR="00B56E01" w:rsidRPr="00953CD4">
        <w:rPr>
          <w:lang w:val="en-GB"/>
        </w:rPr>
        <w:t>B</w:t>
      </w:r>
      <w:r w:rsidRPr="00953CD4">
        <w:rPr>
          <w:lang w:val="en-GB"/>
        </w:rPr>
        <w:t>).</w:t>
      </w:r>
    </w:p>
    <w:p w:rsidR="003704F2" w:rsidRPr="00953CD4" w:rsidRDefault="003704F2" w:rsidP="00857236">
      <w:pPr>
        <w:pStyle w:val="Paragraph"/>
        <w:spacing w:before="0" w:line="360" w:lineRule="auto"/>
        <w:jc w:val="both"/>
        <w:rPr>
          <w:lang w:val="en-GB"/>
        </w:rPr>
      </w:pPr>
      <w:r w:rsidRPr="00953CD4">
        <w:rPr>
          <w:lang w:val="en-GB"/>
        </w:rPr>
        <w:t>Strongly Pax2-EGFP positive, immature precursors of ML inhibitory interneurons (henceforth referred to as Pax2-cells) were characterized by a high input resistance (</w:t>
      </w:r>
      <w:proofErr w:type="spellStart"/>
      <w:r w:rsidRPr="00953CD4">
        <w:rPr>
          <w:lang w:val="en-GB"/>
        </w:rPr>
        <w:t>R</w:t>
      </w:r>
      <w:r w:rsidRPr="00953CD4">
        <w:rPr>
          <w:vertAlign w:val="subscript"/>
          <w:lang w:val="en-GB"/>
        </w:rPr>
        <w:t>in</w:t>
      </w:r>
      <w:proofErr w:type="spellEnd"/>
      <w:r w:rsidRPr="00953CD4">
        <w:rPr>
          <w:lang w:val="en-GB"/>
        </w:rPr>
        <w:t> &gt; 1 GΩ in all but 6 / 176 cells) and a capacitance of 9.4 ± 0.4 pF (mean ± SEM). Their whole-cell current pattern (</w:t>
      </w:r>
      <w:r w:rsidR="005E46DA" w:rsidRPr="00953CD4">
        <w:rPr>
          <w:u w:color="0070C0"/>
          <w:lang w:val="en-GB"/>
        </w:rPr>
        <w:t>Fig</w:t>
      </w:r>
      <w:r w:rsidR="007E6F9B" w:rsidRPr="00953CD4">
        <w:rPr>
          <w:u w:color="0070C0"/>
          <w:lang w:val="en-GB"/>
        </w:rPr>
        <w:t>. 3</w:t>
      </w:r>
      <w:r w:rsidR="00B56E01" w:rsidRPr="00953CD4">
        <w:rPr>
          <w:lang w:val="en-GB"/>
        </w:rPr>
        <w:t>A</w:t>
      </w:r>
      <w:r w:rsidRPr="00953CD4">
        <w:rPr>
          <w:lang w:val="en-GB"/>
        </w:rPr>
        <w:t>) was made up by transient and delayed rectifier K</w:t>
      </w:r>
      <w:r w:rsidRPr="00953CD4">
        <w:rPr>
          <w:vertAlign w:val="superscript"/>
          <w:lang w:val="en-GB"/>
        </w:rPr>
        <w:t>+</w:t>
      </w:r>
      <w:r w:rsidRPr="00953CD4">
        <w:rPr>
          <w:lang w:val="en-GB"/>
        </w:rPr>
        <w:t xml:space="preserve"> currents and voltage-gated, TTX-sensitive Na</w:t>
      </w:r>
      <w:r w:rsidRPr="00953CD4">
        <w:rPr>
          <w:vertAlign w:val="superscript"/>
          <w:lang w:val="en-GB"/>
        </w:rPr>
        <w:t>+</w:t>
      </w:r>
      <w:r w:rsidRPr="00953CD4">
        <w:rPr>
          <w:lang w:val="en-GB"/>
        </w:rPr>
        <w:t xml:space="preserve"> currents (</w:t>
      </w:r>
      <w:r w:rsidR="005E46DA" w:rsidRPr="00953CD4">
        <w:rPr>
          <w:u w:color="0070C0"/>
          <w:lang w:val="en-GB"/>
        </w:rPr>
        <w:t>Fig</w:t>
      </w:r>
      <w:r w:rsidR="002D3873" w:rsidRPr="00953CD4">
        <w:rPr>
          <w:u w:color="0070C0"/>
          <w:lang w:val="en-GB"/>
        </w:rPr>
        <w:t>. </w:t>
      </w:r>
      <w:r w:rsidRPr="00953CD4">
        <w:rPr>
          <w:lang w:val="en-GB"/>
        </w:rPr>
        <w:t>S1). We did not observe spontaneous action potentials in these cells. Upon current injection (</w:t>
      </w:r>
      <w:r w:rsidR="005E46DA" w:rsidRPr="00953CD4">
        <w:rPr>
          <w:u w:color="0070C0"/>
          <w:lang w:val="en-GB"/>
        </w:rPr>
        <w:t>Fig</w:t>
      </w:r>
      <w:r w:rsidR="007E6F9B" w:rsidRPr="00953CD4">
        <w:rPr>
          <w:u w:color="0070C0"/>
          <w:lang w:val="en-GB"/>
        </w:rPr>
        <w:t>. 3</w:t>
      </w:r>
      <w:r w:rsidR="00B56E01" w:rsidRPr="00953CD4">
        <w:rPr>
          <w:lang w:val="en-GB"/>
        </w:rPr>
        <w:t>B</w:t>
      </w:r>
      <w:r w:rsidRPr="00953CD4">
        <w:rPr>
          <w:lang w:val="en-GB"/>
        </w:rPr>
        <w:t>), Pax2-cells in the prospective WM (</w:t>
      </w:r>
      <w:r w:rsidRPr="00953CD4">
        <w:rPr>
          <w:i/>
          <w:iCs/>
          <w:lang w:val="en-GB"/>
        </w:rPr>
        <w:t>n</w:t>
      </w:r>
      <w:r w:rsidRPr="00953CD4">
        <w:rPr>
          <w:lang w:val="en-GB"/>
        </w:rPr>
        <w:t> = 7), the nascent IGL (</w:t>
      </w:r>
      <w:r w:rsidRPr="00953CD4">
        <w:rPr>
          <w:i/>
          <w:iCs/>
          <w:lang w:val="en-GB"/>
        </w:rPr>
        <w:t>n</w:t>
      </w:r>
      <w:r w:rsidRPr="00953CD4">
        <w:rPr>
          <w:lang w:val="en-GB"/>
        </w:rPr>
        <w:t> = 8), and the ML (</w:t>
      </w:r>
      <w:r w:rsidRPr="00953CD4">
        <w:rPr>
          <w:i/>
          <w:iCs/>
          <w:lang w:val="en-GB"/>
        </w:rPr>
        <w:t>n</w:t>
      </w:r>
      <w:r w:rsidRPr="00953CD4">
        <w:rPr>
          <w:lang w:val="en-GB"/>
        </w:rPr>
        <w:t> = 10) generated spikelets, but no full action potentials. Their Na</w:t>
      </w:r>
      <w:r w:rsidRPr="00953CD4">
        <w:rPr>
          <w:vertAlign w:val="superscript"/>
          <w:lang w:val="en-GB"/>
        </w:rPr>
        <w:t>+</w:t>
      </w:r>
      <w:r w:rsidRPr="00953CD4">
        <w:rPr>
          <w:lang w:val="en-GB"/>
        </w:rPr>
        <w:t xml:space="preserve"> current density was </w:t>
      </w:r>
      <w:proofErr w:type="gramStart"/>
      <w:r w:rsidRPr="00953CD4">
        <w:rPr>
          <w:lang w:val="en-GB"/>
        </w:rPr>
        <w:t>0.7 ± 0.1 pA/µm</w:t>
      </w:r>
      <w:r w:rsidRPr="00953CD4">
        <w:rPr>
          <w:vertAlign w:val="superscript"/>
          <w:lang w:val="en-GB"/>
        </w:rPr>
        <w:t>2</w:t>
      </w:r>
      <w:proofErr w:type="gramEnd"/>
      <w:r w:rsidRPr="00953CD4">
        <w:rPr>
          <w:lang w:val="en-GB"/>
        </w:rPr>
        <w:t>.</w:t>
      </w:r>
    </w:p>
    <w:p w:rsidR="003704F2" w:rsidRPr="00953CD4" w:rsidRDefault="003704F2" w:rsidP="00857236">
      <w:pPr>
        <w:pStyle w:val="Paragraph"/>
        <w:spacing w:before="0" w:line="360" w:lineRule="auto"/>
        <w:jc w:val="both"/>
        <w:rPr>
          <w:lang w:val="en-GB"/>
        </w:rPr>
      </w:pPr>
      <w:r w:rsidRPr="00953CD4">
        <w:rPr>
          <w:lang w:val="en-GB"/>
        </w:rPr>
        <w:t>This clearly distinguishes Pax2-cells from Pax2-EGFP positive inhibitory interneurons of the granule cell layer, which are characterized by a much larger membrane capacitance (47.8 ± 5.3 pF, n = 13). This latter value is in excellent agreement with data reported previously (</w:t>
      </w:r>
      <w:proofErr w:type="spellStart"/>
      <w:r w:rsidRPr="00953CD4">
        <w:rPr>
          <w:lang w:val="en-GB"/>
        </w:rPr>
        <w:t>Dieudonné</w:t>
      </w:r>
      <w:proofErr w:type="spellEnd"/>
      <w:r w:rsidRPr="00953CD4">
        <w:rPr>
          <w:lang w:val="en-GB"/>
        </w:rPr>
        <w:t xml:space="preserve">, 1995; </w:t>
      </w:r>
      <w:proofErr w:type="spellStart"/>
      <w:r w:rsidRPr="00953CD4">
        <w:rPr>
          <w:lang w:val="en-GB"/>
        </w:rPr>
        <w:t>Dieudonné</w:t>
      </w:r>
      <w:proofErr w:type="spellEnd"/>
      <w:r w:rsidRPr="00953CD4">
        <w:rPr>
          <w:lang w:val="en-GB"/>
        </w:rPr>
        <w:t xml:space="preserve">, 1998; </w:t>
      </w:r>
      <w:proofErr w:type="spellStart"/>
      <w:r w:rsidRPr="00953CD4">
        <w:rPr>
          <w:lang w:val="en-GB"/>
        </w:rPr>
        <w:t>Elisabetta</w:t>
      </w:r>
      <w:proofErr w:type="spellEnd"/>
      <w:r w:rsidRPr="00953CD4">
        <w:rPr>
          <w:lang w:val="en-GB"/>
        </w:rPr>
        <w:t xml:space="preserve"> </w:t>
      </w:r>
      <w:proofErr w:type="spellStart"/>
      <w:r w:rsidRPr="00953CD4">
        <w:rPr>
          <w:lang w:val="en-GB"/>
        </w:rPr>
        <w:t>Cesana</w:t>
      </w:r>
      <w:proofErr w:type="spellEnd"/>
      <w:r w:rsidRPr="00953CD4">
        <w:rPr>
          <w:lang w:val="en-GB"/>
        </w:rPr>
        <w:t xml:space="preserve"> et al., 2006). The electrophysiological properties of Pax2-cells are also clearly distinct from those of mature inhibitory ML interneurons, which show spontaneous action potentials of up to 35 Hz and Na</w:t>
      </w:r>
      <w:r w:rsidRPr="00953CD4">
        <w:rPr>
          <w:vertAlign w:val="superscript"/>
          <w:lang w:val="en-GB"/>
        </w:rPr>
        <w:t>+</w:t>
      </w:r>
      <w:r w:rsidRPr="00953CD4">
        <w:rPr>
          <w:lang w:val="en-GB"/>
        </w:rPr>
        <w:t xml:space="preserve"> current densities </w:t>
      </w:r>
      <w:proofErr w:type="gramStart"/>
      <w:r w:rsidRPr="00953CD4">
        <w:rPr>
          <w:lang w:val="en-GB"/>
        </w:rPr>
        <w:t>beyond 30 pA/µm</w:t>
      </w:r>
      <w:r w:rsidRPr="00953CD4">
        <w:rPr>
          <w:vertAlign w:val="superscript"/>
          <w:lang w:val="en-GB"/>
        </w:rPr>
        <w:t>2</w:t>
      </w:r>
      <w:r w:rsidRPr="00953CD4">
        <w:rPr>
          <w:lang w:val="en-GB"/>
        </w:rPr>
        <w:t> (</w:t>
      </w:r>
      <w:proofErr w:type="spellStart"/>
      <w:r w:rsidRPr="00953CD4">
        <w:rPr>
          <w:lang w:val="en-GB"/>
        </w:rPr>
        <w:t>Ruigrok</w:t>
      </w:r>
      <w:proofErr w:type="spellEnd"/>
      <w:r w:rsidRPr="00953CD4">
        <w:rPr>
          <w:lang w:val="en-GB"/>
        </w:rPr>
        <w:t xml:space="preserve"> et al., 2011; </w:t>
      </w:r>
      <w:proofErr w:type="spellStart"/>
      <w:r w:rsidRPr="00953CD4">
        <w:rPr>
          <w:lang w:val="en-GB"/>
        </w:rPr>
        <w:t>Southan</w:t>
      </w:r>
      <w:proofErr w:type="spellEnd"/>
      <w:r w:rsidRPr="00953CD4">
        <w:rPr>
          <w:lang w:val="en-GB"/>
        </w:rPr>
        <w:t xml:space="preserve"> and Robertson, 1998)</w:t>
      </w:r>
      <w:proofErr w:type="gramEnd"/>
      <w:r w:rsidRPr="00953CD4">
        <w:rPr>
          <w:lang w:val="en-GB"/>
        </w:rPr>
        <w:t xml:space="preserve">. </w:t>
      </w:r>
    </w:p>
    <w:p w:rsidR="003704F2" w:rsidRPr="00953CD4" w:rsidRDefault="003704F2" w:rsidP="00857236">
      <w:pPr>
        <w:pStyle w:val="Paragraph"/>
        <w:spacing w:before="0" w:line="360" w:lineRule="auto"/>
        <w:jc w:val="both"/>
        <w:rPr>
          <w:lang w:val="en-GB"/>
        </w:rPr>
      </w:pPr>
      <w:r w:rsidRPr="00953CD4">
        <w:rPr>
          <w:lang w:val="en-GB"/>
        </w:rPr>
        <w:t>Application of GABA (100 µM) or the GABA</w:t>
      </w:r>
      <w:r w:rsidRPr="00953CD4">
        <w:rPr>
          <w:vertAlign w:val="subscript"/>
          <w:lang w:val="en-GB"/>
        </w:rPr>
        <w:t>A</w:t>
      </w:r>
      <w:r w:rsidRPr="00953CD4">
        <w:rPr>
          <w:lang w:val="en-GB"/>
        </w:rPr>
        <w:t xml:space="preserve"> receptor agonist muscimol (300 µM) to Pax2-cells held at −70 mV consistently resulted in inward currents (0.03 ± 0.01 pA/µm</w:t>
      </w:r>
      <w:r w:rsidRPr="00953CD4">
        <w:rPr>
          <w:vertAlign w:val="superscript"/>
          <w:lang w:val="en-GB"/>
        </w:rPr>
        <w:t>2</w:t>
      </w:r>
      <w:r w:rsidRPr="00953CD4">
        <w:rPr>
          <w:lang w:val="en-GB"/>
        </w:rPr>
        <w:t xml:space="preserve">; </w:t>
      </w:r>
      <w:r w:rsidRPr="00953CD4">
        <w:rPr>
          <w:i/>
          <w:iCs/>
          <w:lang w:val="en-GB"/>
        </w:rPr>
        <w:t>n</w:t>
      </w:r>
      <w:r w:rsidRPr="00953CD4">
        <w:rPr>
          <w:lang w:val="en-GB"/>
        </w:rPr>
        <w:t> = 14 and 0.1 ± 0.01 pA/µm</w:t>
      </w:r>
      <w:r w:rsidRPr="00953CD4">
        <w:rPr>
          <w:vertAlign w:val="superscript"/>
          <w:lang w:val="en-GB"/>
        </w:rPr>
        <w:t>2</w:t>
      </w:r>
      <w:r w:rsidRPr="00953CD4">
        <w:rPr>
          <w:lang w:val="en-GB"/>
        </w:rPr>
        <w:t xml:space="preserve">; </w:t>
      </w:r>
      <w:r w:rsidRPr="00953CD4">
        <w:rPr>
          <w:i/>
          <w:iCs/>
          <w:lang w:val="en-GB"/>
        </w:rPr>
        <w:t>n</w:t>
      </w:r>
      <w:r w:rsidRPr="00953CD4">
        <w:rPr>
          <w:lang w:val="en-GB"/>
        </w:rPr>
        <w:t> = 13, respectively) that were blocked by bicuculline (100 µM) by about 85% (to 0.001 ± 0.001 pA/µm</w:t>
      </w:r>
      <w:r w:rsidRPr="00953CD4">
        <w:rPr>
          <w:vertAlign w:val="superscript"/>
          <w:lang w:val="en-GB"/>
        </w:rPr>
        <w:t>2</w:t>
      </w:r>
      <w:r w:rsidRPr="00953CD4">
        <w:rPr>
          <w:lang w:val="en-GB"/>
        </w:rPr>
        <w:t xml:space="preserve">; </w:t>
      </w:r>
      <w:r w:rsidRPr="00953CD4">
        <w:rPr>
          <w:i/>
          <w:iCs/>
          <w:lang w:val="en-GB"/>
        </w:rPr>
        <w:t>n </w:t>
      </w:r>
      <w:r w:rsidRPr="00953CD4">
        <w:rPr>
          <w:lang w:val="en-GB"/>
        </w:rPr>
        <w:t>= 4 and 0.02 ± 0.01 pA/µm</w:t>
      </w:r>
      <w:r w:rsidRPr="00953CD4">
        <w:rPr>
          <w:vertAlign w:val="superscript"/>
          <w:lang w:val="en-GB"/>
        </w:rPr>
        <w:t>2</w:t>
      </w:r>
      <w:r w:rsidRPr="00953CD4">
        <w:rPr>
          <w:lang w:val="en-GB"/>
        </w:rPr>
        <w:t xml:space="preserve">; </w:t>
      </w:r>
      <w:r w:rsidRPr="00953CD4">
        <w:rPr>
          <w:i/>
          <w:iCs/>
          <w:lang w:val="en-GB"/>
        </w:rPr>
        <w:t>n </w:t>
      </w:r>
      <w:r w:rsidRPr="00953CD4">
        <w:rPr>
          <w:lang w:val="en-GB"/>
        </w:rPr>
        <w:t xml:space="preserve">= 4 for GABA and muscimol, respectively; </w:t>
      </w:r>
      <w:r w:rsidR="005E46DA" w:rsidRPr="00953CD4">
        <w:rPr>
          <w:u w:color="0070C0"/>
          <w:lang w:val="en-GB"/>
        </w:rPr>
        <w:t>Fig</w:t>
      </w:r>
      <w:r w:rsidR="007E6F9B" w:rsidRPr="00953CD4">
        <w:rPr>
          <w:u w:color="0070C0"/>
          <w:lang w:val="en-GB"/>
        </w:rPr>
        <w:t>. 3</w:t>
      </w:r>
      <w:r w:rsidR="00B56E01" w:rsidRPr="00953CD4">
        <w:rPr>
          <w:lang w:val="en-GB"/>
        </w:rPr>
        <w:t>C</w:t>
      </w:r>
      <w:r w:rsidRPr="00953CD4">
        <w:rPr>
          <w:lang w:val="en-GB"/>
        </w:rPr>
        <w:t xml:space="preserve">). The reversal potential at the maximal slope conductance was </w:t>
      </w:r>
      <w:r w:rsidRPr="00953CD4">
        <w:rPr>
          <w:lang w:val="en-GB"/>
        </w:rPr>
        <w:noBreakHyphen/>
        <w:t>0 ± 2 mV (</w:t>
      </w:r>
      <w:r w:rsidRPr="00953CD4">
        <w:rPr>
          <w:i/>
          <w:iCs/>
          <w:lang w:val="en-GB"/>
        </w:rPr>
        <w:t>n</w:t>
      </w:r>
      <w:r w:rsidRPr="00953CD4">
        <w:rPr>
          <w:lang w:val="en-GB"/>
        </w:rPr>
        <w:t> = 12), confirming a Cl</w:t>
      </w:r>
      <w:r w:rsidRPr="00953CD4">
        <w:rPr>
          <w:vertAlign w:val="superscript"/>
          <w:lang w:val="en-GB"/>
        </w:rPr>
        <w:t>-</w:t>
      </w:r>
      <w:r w:rsidRPr="00953CD4">
        <w:rPr>
          <w:lang w:val="en-GB"/>
        </w:rPr>
        <w:t>-mediated curren</w:t>
      </w:r>
      <w:r w:rsidR="004D21B4" w:rsidRPr="00953CD4">
        <w:rPr>
          <w:lang w:val="en-GB"/>
        </w:rPr>
        <w:t>t (</w:t>
      </w:r>
      <w:r w:rsidR="005E46DA" w:rsidRPr="00953CD4">
        <w:rPr>
          <w:u w:color="0070C0"/>
          <w:lang w:val="en-GB"/>
        </w:rPr>
        <w:t>Fig</w:t>
      </w:r>
      <w:r w:rsidR="002D3873" w:rsidRPr="00953CD4">
        <w:rPr>
          <w:u w:color="0070C0"/>
          <w:lang w:val="en-GB"/>
        </w:rPr>
        <w:t>. </w:t>
      </w:r>
      <w:proofErr w:type="gramStart"/>
      <w:r w:rsidRPr="00953CD4">
        <w:rPr>
          <w:lang w:val="en-GB"/>
        </w:rPr>
        <w:t>S2</w:t>
      </w:r>
      <w:r w:rsidR="00B56E01" w:rsidRPr="00953CD4">
        <w:rPr>
          <w:lang w:val="en-GB"/>
        </w:rPr>
        <w:t>A</w:t>
      </w:r>
      <w:r w:rsidRPr="00953CD4">
        <w:rPr>
          <w:lang w:val="en-GB"/>
        </w:rPr>
        <w:t>–</w:t>
      </w:r>
      <w:r w:rsidR="00B56E01" w:rsidRPr="00953CD4">
        <w:rPr>
          <w:lang w:val="en-GB"/>
        </w:rPr>
        <w:t>A</w:t>
      </w:r>
      <w:r w:rsidRPr="00953CD4">
        <w:rPr>
          <w:lang w:val="en-GB"/>
        </w:rPr>
        <w:t>’’).</w:t>
      </w:r>
      <w:proofErr w:type="gramEnd"/>
    </w:p>
    <w:p w:rsidR="003704F2" w:rsidRPr="00953CD4" w:rsidRDefault="003704F2" w:rsidP="00857236">
      <w:pPr>
        <w:pStyle w:val="Paragraph"/>
        <w:spacing w:before="0" w:line="360" w:lineRule="auto"/>
        <w:rPr>
          <w:lang w:val="en-GB"/>
        </w:rPr>
      </w:pPr>
      <w:r w:rsidRPr="00953CD4">
        <w:rPr>
          <w:lang w:val="en-GB"/>
        </w:rPr>
        <w:t>Further, these Pax2-cells in transit also express ionotropic receptors of the AMPA/kainate (KA)-type (</w:t>
      </w:r>
      <w:r w:rsidR="005E46DA" w:rsidRPr="00953CD4">
        <w:rPr>
          <w:u w:color="0070C0"/>
          <w:lang w:val="en-GB"/>
        </w:rPr>
        <w:t>Fig</w:t>
      </w:r>
      <w:r w:rsidR="007E6F9B" w:rsidRPr="00953CD4">
        <w:rPr>
          <w:u w:color="0070C0"/>
          <w:lang w:val="en-GB"/>
        </w:rPr>
        <w:t>. 3</w:t>
      </w:r>
      <w:r w:rsidR="00D67BC4" w:rsidRPr="00953CD4">
        <w:rPr>
          <w:lang w:val="en-GB"/>
        </w:rPr>
        <w:t>D</w:t>
      </w:r>
      <w:r w:rsidRPr="00953CD4">
        <w:rPr>
          <w:lang w:val="en-GB"/>
        </w:rPr>
        <w:t xml:space="preserve"> and </w:t>
      </w:r>
      <w:r w:rsidR="005E46DA" w:rsidRPr="00953CD4">
        <w:rPr>
          <w:u w:color="0070C0"/>
          <w:lang w:val="en-GB"/>
        </w:rPr>
        <w:t>Fig</w:t>
      </w:r>
      <w:r w:rsidR="002D3873" w:rsidRPr="00953CD4">
        <w:rPr>
          <w:u w:color="0070C0"/>
          <w:lang w:val="en-GB"/>
        </w:rPr>
        <w:t>. </w:t>
      </w:r>
      <w:proofErr w:type="gramStart"/>
      <w:r w:rsidRPr="00953CD4">
        <w:rPr>
          <w:lang w:val="en-GB"/>
        </w:rPr>
        <w:t>S2</w:t>
      </w:r>
      <w:r w:rsidR="00D67BC4" w:rsidRPr="00953CD4">
        <w:rPr>
          <w:lang w:val="en-GB"/>
        </w:rPr>
        <w:t>B</w:t>
      </w:r>
      <w:r w:rsidR="004D234A" w:rsidRPr="00953CD4">
        <w:rPr>
          <w:lang w:val="en-GB"/>
        </w:rPr>
        <w:t>-B’’</w:t>
      </w:r>
      <w:r w:rsidRPr="00953CD4">
        <w:rPr>
          <w:lang w:val="en-GB"/>
        </w:rPr>
        <w:t>).</w:t>
      </w:r>
      <w:proofErr w:type="gramEnd"/>
      <w:r w:rsidRPr="00953CD4">
        <w:rPr>
          <w:lang w:val="en-GB"/>
        </w:rPr>
        <w:t xml:space="preserve"> We noted that Pax2-cells migrating through the </w:t>
      </w:r>
      <w:bookmarkStart w:id="3" w:name="OLE_LINK3"/>
      <w:r w:rsidRPr="00953CD4">
        <w:rPr>
          <w:lang w:val="en-GB"/>
        </w:rPr>
        <w:t>WM display significantly smaller KA (300 µM)-induced receptor currents (0.3 ± 0.06 pA</w:t>
      </w:r>
      <w:bookmarkEnd w:id="3"/>
      <w:r w:rsidRPr="00953CD4">
        <w:rPr>
          <w:lang w:val="en-GB"/>
        </w:rPr>
        <w:t>/µm</w:t>
      </w:r>
      <w:r w:rsidRPr="00953CD4">
        <w:rPr>
          <w:vertAlign w:val="superscript"/>
          <w:lang w:val="en-GB"/>
        </w:rPr>
        <w:t>2</w:t>
      </w:r>
      <w:r w:rsidRPr="00953CD4">
        <w:rPr>
          <w:lang w:val="en-GB"/>
        </w:rPr>
        <w:t xml:space="preserve">; </w:t>
      </w:r>
      <w:r w:rsidRPr="00953CD4">
        <w:rPr>
          <w:i/>
          <w:iCs/>
          <w:lang w:val="en-GB"/>
        </w:rPr>
        <w:t>n </w:t>
      </w:r>
      <w:r w:rsidRPr="00953CD4">
        <w:rPr>
          <w:lang w:val="en-GB"/>
        </w:rPr>
        <w:t xml:space="preserve">= 14; </w:t>
      </w:r>
      <w:proofErr w:type="spellStart"/>
      <w:r w:rsidRPr="00953CD4">
        <w:rPr>
          <w:lang w:val="en-GB"/>
        </w:rPr>
        <w:t>V</w:t>
      </w:r>
      <w:r w:rsidRPr="00953CD4">
        <w:rPr>
          <w:vertAlign w:val="subscript"/>
          <w:lang w:val="en-GB"/>
        </w:rPr>
        <w:t>h</w:t>
      </w:r>
      <w:proofErr w:type="spellEnd"/>
      <w:r w:rsidRPr="00953CD4">
        <w:rPr>
          <w:vertAlign w:val="subscript"/>
          <w:lang w:val="en-GB"/>
        </w:rPr>
        <w:t> </w:t>
      </w:r>
      <w:r w:rsidRPr="00953CD4">
        <w:rPr>
          <w:lang w:val="en-GB"/>
        </w:rPr>
        <w:t xml:space="preserve">= −70 mV) than those in the ML (0.95 ± 0.13 pA; </w:t>
      </w:r>
      <w:r w:rsidRPr="00953CD4">
        <w:rPr>
          <w:i/>
          <w:iCs/>
          <w:lang w:val="en-GB"/>
        </w:rPr>
        <w:t>n </w:t>
      </w:r>
      <w:r w:rsidRPr="00953CD4">
        <w:rPr>
          <w:lang w:val="en-GB"/>
        </w:rPr>
        <w:t>= 14; p &lt; 0.001 for WM vs. ML) indicating developmental changes of receptor density or gating properties (Smith et al., 2000), e.g. due to a switch in flip/flop splicing (</w:t>
      </w:r>
      <w:proofErr w:type="spellStart"/>
      <w:r w:rsidRPr="00953CD4">
        <w:rPr>
          <w:lang w:val="en-GB"/>
        </w:rPr>
        <w:t>Monyer</w:t>
      </w:r>
      <w:proofErr w:type="spellEnd"/>
      <w:r w:rsidRPr="00953CD4">
        <w:rPr>
          <w:lang w:val="en-GB"/>
        </w:rPr>
        <w:t xml:space="preserve"> et al., 1991). Cyclothiazide (100 µM), an allosteric modulator of the flip versions of AMPA receptors (</w:t>
      </w:r>
      <w:proofErr w:type="spellStart"/>
      <w:r w:rsidRPr="00953CD4">
        <w:rPr>
          <w:lang w:val="en-GB"/>
        </w:rPr>
        <w:t>Partin</w:t>
      </w:r>
      <w:proofErr w:type="spellEnd"/>
      <w:r w:rsidRPr="00953CD4">
        <w:rPr>
          <w:lang w:val="en-GB"/>
        </w:rPr>
        <w:t xml:space="preserve"> et al., 1993) potentiated KA-induced responses in Pax2-cells in the WM (by 86 ± 13% at –70 mV, </w:t>
      </w:r>
      <w:r w:rsidRPr="00953CD4">
        <w:rPr>
          <w:i/>
          <w:iCs/>
          <w:lang w:val="en-GB"/>
        </w:rPr>
        <w:t>n </w:t>
      </w:r>
      <w:r w:rsidRPr="00953CD4">
        <w:rPr>
          <w:lang w:val="en-GB"/>
        </w:rPr>
        <w:t xml:space="preserve">= 12, p &lt; 0.01) but not in the ML (15 ± 6%, </w:t>
      </w:r>
      <w:r w:rsidRPr="00953CD4">
        <w:rPr>
          <w:i/>
          <w:iCs/>
          <w:lang w:val="en-GB"/>
        </w:rPr>
        <w:t>n</w:t>
      </w:r>
      <w:r w:rsidRPr="00953CD4">
        <w:rPr>
          <w:lang w:val="en-GB"/>
        </w:rPr>
        <w:t> = 9, p = 0.3). NBQX (20 µM) completely blocked KA-induced currents (</w:t>
      </w:r>
      <w:r w:rsidRPr="00953CD4">
        <w:rPr>
          <w:i/>
          <w:iCs/>
          <w:lang w:val="en-GB"/>
        </w:rPr>
        <w:t>n</w:t>
      </w:r>
      <w:r w:rsidRPr="00953CD4">
        <w:rPr>
          <w:lang w:val="en-GB"/>
        </w:rPr>
        <w:t> = 8). Our data are consistent with the reported relative increase of AMPA-receptor flop variants (</w:t>
      </w:r>
      <w:proofErr w:type="spellStart"/>
      <w:r w:rsidRPr="00953CD4">
        <w:rPr>
          <w:lang w:val="en-GB"/>
        </w:rPr>
        <w:t>Monyer</w:t>
      </w:r>
      <w:proofErr w:type="spellEnd"/>
      <w:r w:rsidRPr="00953CD4">
        <w:rPr>
          <w:lang w:val="en-GB"/>
        </w:rPr>
        <w:t xml:space="preserve"> et al., 1991) and/or increased hetero-oligomerization (Liu and Cull-Candy, 2002) with ongoing development.</w:t>
      </w:r>
    </w:p>
    <w:p w:rsidR="003704F2" w:rsidRPr="00953CD4" w:rsidRDefault="003704F2" w:rsidP="00DB6EAC">
      <w:pPr>
        <w:pStyle w:val="Paragraph"/>
        <w:spacing w:before="0" w:line="360" w:lineRule="auto"/>
        <w:ind w:firstLine="0"/>
        <w:jc w:val="both"/>
        <w:rPr>
          <w:b/>
          <w:bCs/>
          <w:lang w:val="en-GB"/>
        </w:rPr>
      </w:pPr>
    </w:p>
    <w:p w:rsidR="003704F2" w:rsidRPr="00953CD4" w:rsidRDefault="00857236" w:rsidP="00DB6EAC">
      <w:pPr>
        <w:pStyle w:val="Paragraph"/>
        <w:spacing w:before="0" w:line="360" w:lineRule="auto"/>
        <w:ind w:firstLine="0"/>
        <w:jc w:val="both"/>
        <w:rPr>
          <w:b/>
          <w:bCs/>
          <w:lang w:val="en-GB"/>
        </w:rPr>
      </w:pPr>
      <w:r w:rsidRPr="00953CD4">
        <w:rPr>
          <w:b/>
          <w:bCs/>
          <w:lang w:val="en-GB"/>
        </w:rPr>
        <w:br w:type="page"/>
      </w:r>
      <w:r w:rsidR="003704F2" w:rsidRPr="00953CD4">
        <w:rPr>
          <w:b/>
          <w:bCs/>
          <w:lang w:val="en-GB"/>
        </w:rPr>
        <w:t>Migrating precursors receive synaptic input</w:t>
      </w:r>
    </w:p>
    <w:p w:rsidR="003704F2" w:rsidRPr="00953CD4" w:rsidRDefault="003704F2" w:rsidP="00857236">
      <w:pPr>
        <w:pStyle w:val="Paragraph"/>
        <w:spacing w:before="0" w:line="360" w:lineRule="auto"/>
        <w:ind w:firstLine="0"/>
        <w:jc w:val="both"/>
        <w:rPr>
          <w:lang w:val="en-GB"/>
        </w:rPr>
      </w:pPr>
      <w:r w:rsidRPr="00953CD4">
        <w:rPr>
          <w:lang w:val="en-GB"/>
        </w:rPr>
        <w:t>Unexpectedly, we observed spontaneous postsynaptic currents (sPSCs) in Pax2-cells, suggesting that these immature cells in transit receive synaptic input (</w:t>
      </w:r>
      <w:r w:rsidR="005E46DA" w:rsidRPr="00953CD4">
        <w:rPr>
          <w:u w:color="0070C0"/>
          <w:lang w:val="en-GB"/>
        </w:rPr>
        <w:t>Fig</w:t>
      </w:r>
      <w:r w:rsidR="007E6F9B" w:rsidRPr="00953CD4">
        <w:rPr>
          <w:u w:color="0070C0"/>
          <w:lang w:val="en-GB"/>
        </w:rPr>
        <w:t>. 3</w:t>
      </w:r>
      <w:r w:rsidR="00CD6FD0" w:rsidRPr="00953CD4">
        <w:rPr>
          <w:lang w:val="en-GB"/>
        </w:rPr>
        <w:t>E</w:t>
      </w:r>
      <w:r w:rsidRPr="00953CD4">
        <w:rPr>
          <w:lang w:val="en-GB"/>
        </w:rPr>
        <w:t>–</w:t>
      </w:r>
      <w:r w:rsidR="00CD6FD0" w:rsidRPr="00953CD4">
        <w:rPr>
          <w:lang w:val="en-GB"/>
        </w:rPr>
        <w:t>G</w:t>
      </w:r>
      <w:r w:rsidRPr="00953CD4">
        <w:rPr>
          <w:lang w:val="en-GB"/>
        </w:rPr>
        <w:t xml:space="preserve">). </w:t>
      </w:r>
      <w:proofErr w:type="gramStart"/>
      <w:r w:rsidRPr="00953CD4">
        <w:rPr>
          <w:lang w:val="en-GB"/>
        </w:rPr>
        <w:t>sPSCs</w:t>
      </w:r>
      <w:proofErr w:type="gramEnd"/>
      <w:r w:rsidRPr="00953CD4">
        <w:rPr>
          <w:lang w:val="en-GB"/>
        </w:rPr>
        <w:t xml:space="preserve"> could be recorded from 15 out of 17 Pax2-cells in the ML and 5 / 6 cells transiting the nascent IGL. We could not detect sPSCs in Pax2-cells transiting the prospective WM (</w:t>
      </w:r>
      <w:r w:rsidRPr="00953CD4">
        <w:rPr>
          <w:i/>
          <w:iCs/>
          <w:lang w:val="en-GB"/>
        </w:rPr>
        <w:t>n </w:t>
      </w:r>
      <w:r w:rsidRPr="00953CD4">
        <w:rPr>
          <w:lang w:val="en-GB"/>
        </w:rPr>
        <w:t xml:space="preserve">= 11). </w:t>
      </w:r>
    </w:p>
    <w:p w:rsidR="003704F2" w:rsidRPr="00953CD4" w:rsidRDefault="003704F2" w:rsidP="00857236">
      <w:pPr>
        <w:pStyle w:val="Paragraph"/>
        <w:spacing w:before="0" w:line="360" w:lineRule="auto"/>
        <w:jc w:val="both"/>
        <w:rPr>
          <w:lang w:val="en-GB"/>
        </w:rPr>
      </w:pPr>
      <w:r w:rsidRPr="00953CD4">
        <w:rPr>
          <w:lang w:val="en-GB"/>
        </w:rPr>
        <w:t>Next we wanted to confirm that Pax2-cells receive synaptic input while actually migrating. Over a period of several hours these cells travel impressive distances and may traverse the entire cerebellar cortex (Movie 1). We used high-resolution time-lapse video-microscopy and selected cells that had moved for at least 3 µm (</w:t>
      </w:r>
      <w:r w:rsidRPr="00953CD4">
        <w:rPr>
          <w:i/>
          <w:iCs/>
          <w:lang w:val="en-GB"/>
        </w:rPr>
        <w:t>n</w:t>
      </w:r>
      <w:r w:rsidRPr="00953CD4">
        <w:rPr>
          <w:lang w:val="en-GB"/>
        </w:rPr>
        <w:t> = 35; median 11.2 µm, range 3–43 µm) for subsequent patch-clamp recording. Wash-out of EGFP during recording confirmed that the visually selected cell was impaled by the patch pipette.</w:t>
      </w:r>
    </w:p>
    <w:p w:rsidR="003704F2" w:rsidRPr="00953CD4" w:rsidRDefault="003704F2" w:rsidP="00857236">
      <w:pPr>
        <w:pStyle w:val="Paragraph"/>
        <w:spacing w:before="0" w:line="360" w:lineRule="auto"/>
        <w:jc w:val="both"/>
        <w:rPr>
          <w:lang w:val="en-GB"/>
        </w:rPr>
      </w:pPr>
      <w:r w:rsidRPr="00953CD4">
        <w:rPr>
          <w:lang w:val="en-GB"/>
        </w:rPr>
        <w:t>Consistent with the above data for cells selected on their position and morphology alone, Pax2-cells that had migrated immediately before patch-clamping received synaptic input, depending on their position. Eight out of 13 cells in the IGL, 15/19 in the ML, but 0/3 cells in the prospective WM showed sPSCs. The synaptic origin of this activity in Pax2-cells traversing the IGL and ML was further supported by the increased rate of miniature PSCs (</w:t>
      </w:r>
      <w:proofErr w:type="spellStart"/>
      <w:r w:rsidRPr="00953CD4">
        <w:rPr>
          <w:lang w:val="en-GB"/>
        </w:rPr>
        <w:t>mPSCs</w:t>
      </w:r>
      <w:proofErr w:type="spellEnd"/>
      <w:r w:rsidRPr="00953CD4">
        <w:rPr>
          <w:lang w:val="en-GB"/>
        </w:rPr>
        <w:t>) following application of the Ca</w:t>
      </w:r>
      <w:r w:rsidRPr="00953CD4">
        <w:rPr>
          <w:vertAlign w:val="superscript"/>
          <w:lang w:val="en-GB"/>
        </w:rPr>
        <w:t>2+</w:t>
      </w:r>
      <w:r w:rsidRPr="00953CD4">
        <w:rPr>
          <w:lang w:val="en-GB"/>
        </w:rPr>
        <w:t xml:space="preserve"> ionophore ionomycin (3 µM; </w:t>
      </w:r>
      <w:r w:rsidR="005E46DA" w:rsidRPr="00953CD4">
        <w:rPr>
          <w:u w:color="0070C0"/>
          <w:lang w:val="en-GB"/>
        </w:rPr>
        <w:t>Fig</w:t>
      </w:r>
      <w:r w:rsidR="007E6F9B" w:rsidRPr="00953CD4">
        <w:rPr>
          <w:u w:color="0070C0"/>
          <w:lang w:val="en-GB"/>
        </w:rPr>
        <w:t>. 3</w:t>
      </w:r>
      <w:r w:rsidR="00180872" w:rsidRPr="00953CD4">
        <w:rPr>
          <w:lang w:val="en-GB"/>
        </w:rPr>
        <w:t>L</w:t>
      </w:r>
      <w:r w:rsidRPr="00953CD4">
        <w:rPr>
          <w:lang w:val="en-GB"/>
        </w:rPr>
        <w:t>–</w:t>
      </w:r>
      <w:r w:rsidR="00180872" w:rsidRPr="00953CD4">
        <w:rPr>
          <w:lang w:val="en-GB"/>
        </w:rPr>
        <w:t>N</w:t>
      </w:r>
      <w:r w:rsidRPr="00953CD4">
        <w:rPr>
          <w:lang w:val="en-GB"/>
        </w:rPr>
        <w:t>). This agent increases the intracellular Ca</w:t>
      </w:r>
      <w:r w:rsidRPr="00953CD4">
        <w:rPr>
          <w:vertAlign w:val="superscript"/>
          <w:lang w:val="en-GB"/>
        </w:rPr>
        <w:t>2+</w:t>
      </w:r>
      <w:r w:rsidRPr="00953CD4">
        <w:rPr>
          <w:lang w:val="en-GB"/>
        </w:rPr>
        <w:t xml:space="preserve"> concentration and thus enhances release from the readily releasable vesicular pool in synaptic terminals.</w:t>
      </w:r>
      <w:r w:rsidR="00811BF2" w:rsidRPr="00953CD4">
        <w:rPr>
          <w:lang w:val="en-GB"/>
        </w:rPr>
        <w:t xml:space="preserve"> </w:t>
      </w:r>
      <w:r w:rsidRPr="00953CD4">
        <w:rPr>
          <w:lang w:val="en-GB"/>
        </w:rPr>
        <w:t>In the WM, in the absence of TTX, no sPSCs were observed in Pax2-cells, even after application of ionomycin.</w:t>
      </w:r>
    </w:p>
    <w:p w:rsidR="003704F2" w:rsidRPr="00953CD4" w:rsidRDefault="003704F2" w:rsidP="00857236">
      <w:pPr>
        <w:pStyle w:val="Paragraph"/>
        <w:spacing w:before="0" w:line="360" w:lineRule="auto"/>
        <w:jc w:val="both"/>
        <w:rPr>
          <w:lang w:val="en-GB"/>
        </w:rPr>
      </w:pPr>
      <w:r w:rsidRPr="00953CD4">
        <w:rPr>
          <w:lang w:val="en-GB"/>
        </w:rPr>
        <w:t>Analysis of current kinetics distinguished two types of sPSCs with decay time constants of &lt; 1 ms and about 12 ms, respectively (</w:t>
      </w:r>
      <w:r w:rsidR="005E46DA" w:rsidRPr="00953CD4">
        <w:rPr>
          <w:u w:color="0070C0"/>
          <w:lang w:val="en-GB"/>
        </w:rPr>
        <w:t>Fig</w:t>
      </w:r>
      <w:r w:rsidR="007E6F9B" w:rsidRPr="00953CD4">
        <w:rPr>
          <w:u w:color="0070C0"/>
          <w:lang w:val="en-GB"/>
        </w:rPr>
        <w:t>. 3</w:t>
      </w:r>
      <w:r w:rsidR="00180872" w:rsidRPr="00953CD4">
        <w:rPr>
          <w:lang w:val="en-GB"/>
        </w:rPr>
        <w:t>E,F,H,I,K</w:t>
      </w:r>
      <w:r w:rsidRPr="00953CD4">
        <w:rPr>
          <w:lang w:val="en-GB"/>
        </w:rPr>
        <w:t xml:space="preserve"> upper panel; and </w:t>
      </w:r>
      <w:r w:rsidR="005E46DA" w:rsidRPr="00953CD4">
        <w:rPr>
          <w:u w:color="0070C0"/>
          <w:lang w:val="en-GB"/>
        </w:rPr>
        <w:t>Fig</w:t>
      </w:r>
      <w:r w:rsidR="007E6F9B" w:rsidRPr="00953CD4">
        <w:rPr>
          <w:u w:color="0070C0"/>
          <w:lang w:val="en-GB"/>
        </w:rPr>
        <w:t>. 3</w:t>
      </w:r>
      <w:r w:rsidR="00180872" w:rsidRPr="00953CD4">
        <w:rPr>
          <w:lang w:val="en-GB"/>
        </w:rPr>
        <w:t>E,G,K</w:t>
      </w:r>
      <w:r w:rsidRPr="00953CD4">
        <w:rPr>
          <w:lang w:val="en-GB"/>
        </w:rPr>
        <w:t xml:space="preserve"> lower panel). Further analysis showed that the former were sensitive to NBQX and APV (i.e., were mediated by ionotropic glutamate receptors; </w:t>
      </w:r>
      <w:r w:rsidR="005E46DA" w:rsidRPr="00953CD4">
        <w:rPr>
          <w:u w:color="0070C0"/>
          <w:lang w:val="en-GB"/>
        </w:rPr>
        <w:t>Fig</w:t>
      </w:r>
      <w:r w:rsidR="007E6F9B" w:rsidRPr="00953CD4">
        <w:rPr>
          <w:u w:color="0070C0"/>
          <w:lang w:val="en-GB"/>
        </w:rPr>
        <w:t>. 3</w:t>
      </w:r>
      <w:r w:rsidR="00180872" w:rsidRPr="00953CD4">
        <w:rPr>
          <w:lang w:val="en-GB"/>
        </w:rPr>
        <w:t>J</w:t>
      </w:r>
      <w:r w:rsidRPr="00953CD4">
        <w:rPr>
          <w:lang w:val="en-GB"/>
        </w:rPr>
        <w:t>), whereas the latter were abolished by bicuculline (i.e., mediated by GABA</w:t>
      </w:r>
      <w:r w:rsidRPr="00953CD4">
        <w:rPr>
          <w:vertAlign w:val="subscript"/>
          <w:lang w:val="en-GB"/>
        </w:rPr>
        <w:t>A</w:t>
      </w:r>
      <w:r w:rsidRPr="00953CD4">
        <w:rPr>
          <w:lang w:val="en-GB"/>
        </w:rPr>
        <w:t xml:space="preserve"> receptors; </w:t>
      </w:r>
      <w:r w:rsidR="005E46DA" w:rsidRPr="00953CD4">
        <w:rPr>
          <w:u w:color="0070C0"/>
          <w:lang w:val="en-GB"/>
        </w:rPr>
        <w:t>Fig</w:t>
      </w:r>
      <w:r w:rsidR="007E6F9B" w:rsidRPr="00953CD4">
        <w:rPr>
          <w:u w:color="0070C0"/>
          <w:lang w:val="en-GB"/>
        </w:rPr>
        <w:t>. 3</w:t>
      </w:r>
      <w:r w:rsidR="009E63C4" w:rsidRPr="00953CD4">
        <w:rPr>
          <w:lang w:val="en-GB"/>
        </w:rPr>
        <w:t>H</w:t>
      </w:r>
      <w:r w:rsidRPr="00953CD4">
        <w:rPr>
          <w:lang w:val="en-GB"/>
        </w:rPr>
        <w:t>). As expected for AMPA/KA and GABA</w:t>
      </w:r>
      <w:r w:rsidRPr="00953CD4">
        <w:rPr>
          <w:vertAlign w:val="subscript"/>
          <w:lang w:val="en-GB"/>
        </w:rPr>
        <w:t>A</w:t>
      </w:r>
      <w:r w:rsidRPr="00953CD4">
        <w:rPr>
          <w:lang w:val="en-GB"/>
        </w:rPr>
        <w:t xml:space="preserve"> receptors, the reversal potentials of the fast and slow sPSCs were 0 and – 40 mV (</w:t>
      </w:r>
      <w:r w:rsidR="005E46DA" w:rsidRPr="00953CD4">
        <w:rPr>
          <w:u w:color="0070C0"/>
          <w:lang w:val="en-GB"/>
        </w:rPr>
        <w:t>Fig</w:t>
      </w:r>
      <w:r w:rsidR="002D3873" w:rsidRPr="00953CD4">
        <w:rPr>
          <w:u w:color="0070C0"/>
          <w:lang w:val="en-GB"/>
        </w:rPr>
        <w:t>. </w:t>
      </w:r>
      <w:r w:rsidRPr="00953CD4">
        <w:rPr>
          <w:lang w:val="en-GB"/>
        </w:rPr>
        <w:t>S3). The rise times of these sPSCs were 0.37 ± 0.01 ms for fast decaying sPSCs (</w:t>
      </w:r>
      <w:r w:rsidRPr="00953CD4">
        <w:rPr>
          <w:i/>
          <w:iCs/>
          <w:lang w:val="en-GB"/>
        </w:rPr>
        <w:t>n</w:t>
      </w:r>
      <w:r w:rsidRPr="00953CD4">
        <w:rPr>
          <w:lang w:val="en-GB"/>
        </w:rPr>
        <w:t> = 1843, 20 cells) and 0.46 ± 0.01 ms for slowly decaying sPSCs (</w:t>
      </w:r>
      <w:r w:rsidRPr="00953CD4">
        <w:rPr>
          <w:i/>
          <w:iCs/>
          <w:lang w:val="en-GB"/>
        </w:rPr>
        <w:t>n</w:t>
      </w:r>
      <w:r w:rsidRPr="00953CD4">
        <w:rPr>
          <w:lang w:val="en-GB"/>
        </w:rPr>
        <w:t> = 384, 17 cells), respectively.</w:t>
      </w:r>
    </w:p>
    <w:p w:rsidR="003704F2" w:rsidRPr="00953CD4" w:rsidRDefault="003704F2" w:rsidP="00857236">
      <w:pPr>
        <w:pStyle w:val="Paragraph"/>
        <w:spacing w:before="0" w:line="360" w:lineRule="auto"/>
        <w:jc w:val="both"/>
        <w:rPr>
          <w:lang w:val="en-GB"/>
        </w:rPr>
      </w:pPr>
      <w:r w:rsidRPr="00953CD4">
        <w:rPr>
          <w:lang w:val="en-GB"/>
        </w:rPr>
        <w:t>All cells with sPSCs (</w:t>
      </w:r>
      <w:r w:rsidRPr="00953CD4">
        <w:rPr>
          <w:i/>
          <w:iCs/>
          <w:lang w:val="en-GB"/>
        </w:rPr>
        <w:t>n </w:t>
      </w:r>
      <w:r w:rsidRPr="00953CD4">
        <w:rPr>
          <w:lang w:val="en-GB"/>
        </w:rPr>
        <w:t>= 43) received glutamatergic input while GABAergic input was less abundant (</w:t>
      </w:r>
      <w:r w:rsidRPr="00953CD4">
        <w:rPr>
          <w:i/>
          <w:iCs/>
          <w:lang w:val="en-GB"/>
        </w:rPr>
        <w:t>n </w:t>
      </w:r>
      <w:r w:rsidRPr="00953CD4">
        <w:rPr>
          <w:lang w:val="en-GB"/>
        </w:rPr>
        <w:t xml:space="preserve">= 35/43). There was no indication of layer-specific differences in GABAergic or glutamatergic innervation. </w:t>
      </w:r>
    </w:p>
    <w:p w:rsidR="003704F2" w:rsidRPr="00953CD4" w:rsidRDefault="003704F2" w:rsidP="00857236">
      <w:pPr>
        <w:pStyle w:val="Paragraph"/>
        <w:spacing w:before="0" w:line="360" w:lineRule="auto"/>
        <w:jc w:val="both"/>
        <w:rPr>
          <w:lang w:val="en-GB"/>
        </w:rPr>
      </w:pPr>
      <w:r w:rsidRPr="00953CD4">
        <w:rPr>
          <w:lang w:val="en-GB"/>
        </w:rPr>
        <w:t xml:space="preserve">On their way into the ML, Pax2-cells migrate subsequently through the WM, the nascent IGL, the PCL, and in the ML up to the EGL (for an overview, see </w:t>
      </w:r>
      <w:r w:rsidR="005E46DA" w:rsidRPr="00953CD4">
        <w:rPr>
          <w:u w:color="0070C0"/>
          <w:lang w:val="en-GB"/>
        </w:rPr>
        <w:t>Fig</w:t>
      </w:r>
      <w:r w:rsidR="007E6F9B" w:rsidRPr="00953CD4">
        <w:rPr>
          <w:u w:color="0070C0"/>
          <w:lang w:val="en-GB"/>
        </w:rPr>
        <w:t>. 4</w:t>
      </w:r>
      <w:r w:rsidR="000A749A" w:rsidRPr="00953CD4">
        <w:rPr>
          <w:lang w:val="en-GB"/>
        </w:rPr>
        <w:t>A</w:t>
      </w:r>
      <w:r w:rsidRPr="00953CD4">
        <w:rPr>
          <w:lang w:val="en-GB"/>
        </w:rPr>
        <w:t xml:space="preserve">). To assess the density of presynaptic elements that may contact Pax2-cells </w:t>
      </w:r>
      <w:proofErr w:type="spellStart"/>
      <w:r w:rsidRPr="00953CD4">
        <w:rPr>
          <w:lang w:val="en-GB"/>
        </w:rPr>
        <w:t>en</w:t>
      </w:r>
      <w:proofErr w:type="spellEnd"/>
      <w:r w:rsidRPr="00953CD4">
        <w:rPr>
          <w:lang w:val="en-GB"/>
        </w:rPr>
        <w:t xml:space="preserve"> route, we quantified synaptophysin-</w:t>
      </w:r>
      <w:proofErr w:type="spellStart"/>
      <w:r w:rsidRPr="00953CD4">
        <w:rPr>
          <w:lang w:val="en-GB"/>
        </w:rPr>
        <w:t>immunoreactive</w:t>
      </w:r>
      <w:proofErr w:type="spellEnd"/>
      <w:r w:rsidRPr="00953CD4">
        <w:rPr>
          <w:lang w:val="en-GB"/>
        </w:rPr>
        <w:t xml:space="preserve"> puncta in these layers. In line with the layer specific frequency of sPSCs, the density of synaptophysin-positive, putative presynaptic elements increased from the WM to the ML (</w:t>
      </w:r>
      <w:r w:rsidR="005E46DA" w:rsidRPr="00953CD4">
        <w:rPr>
          <w:u w:color="0070C0"/>
          <w:lang w:val="en-GB"/>
        </w:rPr>
        <w:t>Fig</w:t>
      </w:r>
      <w:r w:rsidR="007E6F9B" w:rsidRPr="00953CD4">
        <w:rPr>
          <w:u w:color="0070C0"/>
          <w:lang w:val="en-GB"/>
        </w:rPr>
        <w:t>. 4</w:t>
      </w:r>
      <w:r w:rsidR="000A749A" w:rsidRPr="00953CD4">
        <w:rPr>
          <w:lang w:val="en-GB"/>
        </w:rPr>
        <w:t>B</w:t>
      </w:r>
      <w:r w:rsidRPr="00953CD4">
        <w:rPr>
          <w:lang w:val="en-GB"/>
        </w:rPr>
        <w:t>–</w:t>
      </w:r>
      <w:r w:rsidR="000A749A" w:rsidRPr="00953CD4">
        <w:rPr>
          <w:lang w:val="en-GB"/>
        </w:rPr>
        <w:t>D</w:t>
      </w:r>
      <w:r w:rsidRPr="00953CD4">
        <w:rPr>
          <w:lang w:val="en-GB"/>
        </w:rPr>
        <w:t>). Ultrastructural analysis of Pax2-cells in the lower ML confirmed the occurrence of synaptic structures on these cells (</w:t>
      </w:r>
      <w:r w:rsidR="005E46DA" w:rsidRPr="00953CD4">
        <w:rPr>
          <w:u w:color="0070C0"/>
          <w:lang w:val="en-GB"/>
        </w:rPr>
        <w:t>Fig</w:t>
      </w:r>
      <w:r w:rsidR="00474CB6" w:rsidRPr="00953CD4">
        <w:rPr>
          <w:u w:color="0070C0"/>
          <w:lang w:val="en-GB"/>
        </w:rPr>
        <w:t>s</w:t>
      </w:r>
      <w:r w:rsidR="007E6F9B" w:rsidRPr="00953CD4">
        <w:rPr>
          <w:u w:color="0070C0"/>
          <w:lang w:val="en-GB"/>
        </w:rPr>
        <w:t> 5</w:t>
      </w:r>
      <w:proofErr w:type="gramStart"/>
      <w:r w:rsidR="00474CB6" w:rsidRPr="00953CD4">
        <w:rPr>
          <w:u w:color="0070C0"/>
          <w:lang w:val="en-GB"/>
        </w:rPr>
        <w:t>,</w:t>
      </w:r>
      <w:r w:rsidRPr="00953CD4">
        <w:rPr>
          <w:lang w:val="en-GB"/>
        </w:rPr>
        <w:t>S</w:t>
      </w:r>
      <w:r w:rsidR="00474CB6" w:rsidRPr="00953CD4">
        <w:rPr>
          <w:lang w:val="en-GB"/>
        </w:rPr>
        <w:t>4</w:t>
      </w:r>
      <w:proofErr w:type="gramEnd"/>
      <w:r w:rsidRPr="00953CD4">
        <w:rPr>
          <w:lang w:val="en-GB"/>
        </w:rPr>
        <w:t>). This particular location was chosen since expression of Pax2-EGFP allowed to select reliably interneuron precursors migrating towards more superficial positions over those that have already settled in the ML (Weisheit et al., 2006). This ultrastructural evidence together with the fast rise times of the sPSCs suggests that the latter originate from direct synaptic innervation rather than from transmitter spill-over.</w:t>
      </w:r>
    </w:p>
    <w:p w:rsidR="003704F2" w:rsidRPr="00953CD4" w:rsidRDefault="003704F2" w:rsidP="00DB6EAC">
      <w:pPr>
        <w:pStyle w:val="Paragraph"/>
        <w:spacing w:before="0" w:line="360" w:lineRule="auto"/>
        <w:ind w:firstLine="0"/>
        <w:jc w:val="both"/>
        <w:rPr>
          <w:b/>
          <w:bCs/>
          <w:lang w:val="en-GB"/>
        </w:rPr>
      </w:pPr>
    </w:p>
    <w:p w:rsidR="003704F2" w:rsidRPr="00953CD4" w:rsidRDefault="00EA0825" w:rsidP="00DB6EAC">
      <w:pPr>
        <w:pStyle w:val="Paragraph"/>
        <w:spacing w:before="0" w:line="360" w:lineRule="auto"/>
        <w:ind w:firstLine="0"/>
        <w:jc w:val="both"/>
        <w:rPr>
          <w:b/>
          <w:bCs/>
          <w:lang w:val="en-GB"/>
        </w:rPr>
      </w:pPr>
      <w:r w:rsidRPr="00953CD4">
        <w:rPr>
          <w:b/>
          <w:bCs/>
          <w:lang w:val="en-GB"/>
        </w:rPr>
        <w:t xml:space="preserve">Synaptic innervation </w:t>
      </w:r>
      <w:r w:rsidRPr="00953CD4">
        <w:rPr>
          <w:b/>
          <w:bCs/>
          <w:color w:val="FF0000"/>
          <w:lang w:val="en-GB"/>
        </w:rPr>
        <w:t>and</w:t>
      </w:r>
      <w:r w:rsidR="003704F2" w:rsidRPr="00953CD4">
        <w:rPr>
          <w:b/>
          <w:bCs/>
          <w:lang w:val="en-GB"/>
        </w:rPr>
        <w:t xml:space="preserve"> directional persistence of migrating Pax2-cells</w:t>
      </w:r>
    </w:p>
    <w:p w:rsidR="003704F2" w:rsidRPr="00953CD4" w:rsidRDefault="003704F2" w:rsidP="00DB6EAC">
      <w:pPr>
        <w:spacing w:line="360" w:lineRule="auto"/>
        <w:jc w:val="both"/>
        <w:rPr>
          <w:lang w:val="en-GB"/>
        </w:rPr>
      </w:pPr>
      <w:r w:rsidRPr="00953CD4">
        <w:rPr>
          <w:lang w:val="en-GB"/>
        </w:rPr>
        <w:t>To probe the functional s</w:t>
      </w:r>
      <w:r w:rsidR="00EA0825" w:rsidRPr="00953CD4">
        <w:rPr>
          <w:lang w:val="en-GB"/>
        </w:rPr>
        <w:t xml:space="preserve">ignificance of this surprising </w:t>
      </w:r>
      <w:r w:rsidR="00EA0825" w:rsidRPr="00953CD4">
        <w:rPr>
          <w:color w:val="FF0000"/>
          <w:lang w:val="en-GB"/>
        </w:rPr>
        <w:t>a</w:t>
      </w:r>
      <w:r w:rsidRPr="00953CD4">
        <w:rPr>
          <w:color w:val="FF0000"/>
          <w:lang w:val="en-GB"/>
        </w:rPr>
        <w:t>nd</w:t>
      </w:r>
      <w:r w:rsidRPr="00953CD4">
        <w:rPr>
          <w:lang w:val="en-GB"/>
        </w:rPr>
        <w:t xml:space="preserve"> hitherto unknown synaptic input, we used tetanus toxin (TeNT) and Co</w:t>
      </w:r>
      <w:r w:rsidRPr="00953CD4">
        <w:rPr>
          <w:vertAlign w:val="superscript"/>
          <w:lang w:val="en-GB"/>
        </w:rPr>
        <w:t>2+</w:t>
      </w:r>
      <w:r w:rsidRPr="00953CD4">
        <w:rPr>
          <w:lang w:val="en-GB"/>
        </w:rPr>
        <w:t xml:space="preserve"> to abrogate pre-synaptic vesicular release. Of these agents, TeNT is more efficient as it inhibits exocytosis by cleaving synaptobrevin. We verified the efficacy of these agents in our preparation by monitoring their effect on the frequency and amplitudes of sPSCs recorded from Purkinje neurons. These cells, rather than sparsely innervated Pax2-cells, were chosen because their already strong innervation allows a dependable assessment of synaptic activity.</w:t>
      </w:r>
      <w:r w:rsidRPr="00953CD4">
        <w:rPr>
          <w:i/>
          <w:iCs/>
          <w:lang w:val="en-GB"/>
        </w:rPr>
        <w:t xml:space="preserve"> </w:t>
      </w:r>
      <w:r w:rsidRPr="00953CD4">
        <w:rPr>
          <w:lang w:val="en-GB"/>
        </w:rPr>
        <w:t xml:space="preserve">Taking cell-wise </w:t>
      </w:r>
      <w:proofErr w:type="spellStart"/>
      <w:r w:rsidRPr="00953CD4">
        <w:rPr>
          <w:lang w:val="en-GB"/>
        </w:rPr>
        <w:t>sPSC</w:t>
      </w:r>
      <w:proofErr w:type="spellEnd"/>
      <w:r w:rsidRPr="00953CD4">
        <w:rPr>
          <w:lang w:val="en-GB"/>
        </w:rPr>
        <w:t xml:space="preserve"> average-amplitudes multiplied with numbers of events occurring within 5 min as a proxy of synaptic innervation, we observed that TeNT eliminated 99.7 </w:t>
      </w:r>
      <w:r w:rsidRPr="00953CD4">
        <w:rPr>
          <w:u w:val="single"/>
          <w:lang w:val="en-GB"/>
        </w:rPr>
        <w:t>+</w:t>
      </w:r>
      <w:r w:rsidRPr="00953CD4">
        <w:rPr>
          <w:lang w:val="en-GB"/>
        </w:rPr>
        <w:t xml:space="preserve"> 0.2% (mean </w:t>
      </w:r>
      <w:r w:rsidRPr="00953CD4">
        <w:rPr>
          <w:u w:val="single"/>
          <w:lang w:val="en-GB"/>
        </w:rPr>
        <w:t>+</w:t>
      </w:r>
      <w:r w:rsidRPr="00953CD4">
        <w:rPr>
          <w:lang w:val="en-GB"/>
        </w:rPr>
        <w:t xml:space="preserve"> SEM) of all synaptic input. Co</w:t>
      </w:r>
      <w:r w:rsidRPr="00953CD4">
        <w:rPr>
          <w:vertAlign w:val="superscript"/>
          <w:lang w:val="en-GB"/>
        </w:rPr>
        <w:t>2+</w:t>
      </w:r>
      <w:r w:rsidRPr="00953CD4">
        <w:rPr>
          <w:lang w:val="en-GB"/>
        </w:rPr>
        <w:t xml:space="preserve"> reduced synaptic input by 80.1 </w:t>
      </w:r>
      <w:r w:rsidRPr="00953CD4">
        <w:rPr>
          <w:u w:val="single"/>
          <w:lang w:val="en-GB"/>
        </w:rPr>
        <w:t>+</w:t>
      </w:r>
      <w:r w:rsidR="00EA0825" w:rsidRPr="00953CD4">
        <w:rPr>
          <w:lang w:val="en-GB"/>
        </w:rPr>
        <w:t xml:space="preserve"> </w:t>
      </w:r>
      <w:r w:rsidRPr="00953CD4">
        <w:rPr>
          <w:lang w:val="en-GB"/>
        </w:rPr>
        <w:t>3.7 % (5 cells, from 5 slices from 2 animals, measured before and after Co</w:t>
      </w:r>
      <w:r w:rsidRPr="00953CD4">
        <w:rPr>
          <w:vertAlign w:val="superscript"/>
          <w:lang w:val="en-GB"/>
        </w:rPr>
        <w:t>2+</w:t>
      </w:r>
      <w:r w:rsidRPr="00953CD4">
        <w:rPr>
          <w:lang w:val="en-GB"/>
        </w:rPr>
        <w:t xml:space="preserve"> wash-in). Note that remaining sPSCs under Co</w:t>
      </w:r>
      <w:r w:rsidRPr="00953CD4">
        <w:rPr>
          <w:vertAlign w:val="superscript"/>
          <w:lang w:val="en-GB"/>
        </w:rPr>
        <w:t>2+</w:t>
      </w:r>
      <w:r w:rsidRPr="00953CD4">
        <w:rPr>
          <w:lang w:val="en-GB"/>
        </w:rPr>
        <w:t xml:space="preserve"> represent essentially spontaneous, action potential independent release (“miniature PSCs”).</w:t>
      </w:r>
    </w:p>
    <w:p w:rsidR="003704F2" w:rsidRPr="00953CD4" w:rsidRDefault="003704F2" w:rsidP="00857236">
      <w:pPr>
        <w:pStyle w:val="Paragraph"/>
        <w:spacing w:before="0" w:line="360" w:lineRule="auto"/>
        <w:jc w:val="both"/>
        <w:rPr>
          <w:color w:val="FF0000"/>
          <w:lang w:val="en-GB"/>
        </w:rPr>
      </w:pPr>
      <w:r w:rsidRPr="00953CD4">
        <w:rPr>
          <w:lang w:val="en-GB"/>
        </w:rPr>
        <w:t>We analysed the effects of TeNT on cell motility in three slices obtained from three animals. Migration of 917 Pax2-cells was monitored prior to treatment</w:t>
      </w:r>
      <w:r w:rsidR="00621709" w:rsidRPr="00953CD4">
        <w:rPr>
          <w:lang w:val="en-GB"/>
        </w:rPr>
        <w:t xml:space="preserve"> </w:t>
      </w:r>
      <w:r w:rsidR="00621709" w:rsidRPr="005E6166">
        <w:rPr>
          <w:color w:val="FF0000"/>
          <w:lang w:val="en-GB"/>
        </w:rPr>
        <w:t>(</w:t>
      </w:r>
      <w:r w:rsidR="005E6166">
        <w:rPr>
          <w:color w:val="FF0000"/>
          <w:lang w:val="en-GB"/>
        </w:rPr>
        <w:t xml:space="preserve">exemplary slice shown in </w:t>
      </w:r>
      <w:r w:rsidR="00621709" w:rsidRPr="005E6166">
        <w:rPr>
          <w:color w:val="FF0000"/>
          <w:lang w:val="en-GB"/>
        </w:rPr>
        <w:t>Movie 2)</w:t>
      </w:r>
      <w:r w:rsidRPr="00953CD4">
        <w:rPr>
          <w:lang w:val="en-GB"/>
        </w:rPr>
        <w:t xml:space="preserve"> and, within the very same volume elements, another 651 cells were monitored following 120 min incubat</w:t>
      </w:r>
      <w:r w:rsidR="00935D51" w:rsidRPr="00953CD4">
        <w:rPr>
          <w:lang w:val="en-GB"/>
        </w:rPr>
        <w:t>ion with TeNT (100 µg/ml).</w:t>
      </w:r>
      <w:r w:rsidRPr="00953CD4">
        <w:rPr>
          <w:lang w:val="en-GB"/>
        </w:rPr>
        <w:t xml:space="preserve"> TeNT resulted in robust reductions of Pax2-cell displacement, (average) speed and, intriguingly, the ratio of displacement and total path length, which provides a measure of directionality (</w:t>
      </w:r>
      <w:proofErr w:type="spellStart"/>
      <w:r w:rsidRPr="00953CD4">
        <w:rPr>
          <w:lang w:val="en-GB"/>
        </w:rPr>
        <w:t>Batschelet</w:t>
      </w:r>
      <w:proofErr w:type="spellEnd"/>
      <w:r w:rsidRPr="00953CD4">
        <w:rPr>
          <w:lang w:val="en-GB"/>
        </w:rPr>
        <w:t xml:space="preserve">, 1981; </w:t>
      </w:r>
      <w:proofErr w:type="spellStart"/>
      <w:r w:rsidRPr="00953CD4">
        <w:rPr>
          <w:lang w:val="en-GB"/>
        </w:rPr>
        <w:t>Benhamou</w:t>
      </w:r>
      <w:proofErr w:type="spellEnd"/>
      <w:r w:rsidRPr="00953CD4">
        <w:rPr>
          <w:lang w:val="en-GB"/>
        </w:rPr>
        <w:t>, 2004) (</w:t>
      </w:r>
      <w:r w:rsidR="002D3873" w:rsidRPr="00953CD4">
        <w:rPr>
          <w:u w:color="0070C0"/>
          <w:lang w:val="en-GB"/>
        </w:rPr>
        <w:t>Fig</w:t>
      </w:r>
      <w:r w:rsidR="00810C64" w:rsidRPr="00953CD4">
        <w:rPr>
          <w:u w:color="0070C0"/>
          <w:lang w:val="en-GB"/>
        </w:rPr>
        <w:t>s</w:t>
      </w:r>
      <w:r w:rsidR="002D3873" w:rsidRPr="00953CD4">
        <w:rPr>
          <w:u w:color="0070C0"/>
          <w:lang w:val="en-GB"/>
        </w:rPr>
        <w:t> </w:t>
      </w:r>
      <w:r w:rsidR="00C75F8A" w:rsidRPr="00953CD4">
        <w:rPr>
          <w:lang w:val="en-GB"/>
        </w:rPr>
        <w:t>6</w:t>
      </w:r>
      <w:r w:rsidR="003F6E14" w:rsidRPr="00953CD4">
        <w:rPr>
          <w:lang w:val="en-GB"/>
        </w:rPr>
        <w:t>;</w:t>
      </w:r>
      <w:r w:rsidR="00B50F79" w:rsidRPr="00953CD4">
        <w:rPr>
          <w:lang w:val="en-GB"/>
        </w:rPr>
        <w:t xml:space="preserve"> </w:t>
      </w:r>
      <w:r w:rsidRPr="00953CD4">
        <w:rPr>
          <w:lang w:val="en-GB"/>
        </w:rPr>
        <w:t>S</w:t>
      </w:r>
      <w:r w:rsidR="00C75F8A" w:rsidRPr="00953CD4">
        <w:rPr>
          <w:lang w:val="en-GB"/>
        </w:rPr>
        <w:t>5</w:t>
      </w:r>
      <w:r w:rsidRPr="00953CD4">
        <w:rPr>
          <w:lang w:val="en-GB"/>
        </w:rPr>
        <w:t xml:space="preserve"> for methodological details). Sham incubation (without TeNT) did not bring about such changes (</w:t>
      </w:r>
      <w:r w:rsidR="002D3873" w:rsidRPr="00953CD4">
        <w:rPr>
          <w:u w:color="0070C0"/>
          <w:lang w:val="en-GB"/>
        </w:rPr>
        <w:t>Fig</w:t>
      </w:r>
      <w:r w:rsidR="0039333F" w:rsidRPr="00953CD4">
        <w:rPr>
          <w:u w:color="0070C0"/>
          <w:lang w:val="en-GB"/>
        </w:rPr>
        <w:t>s</w:t>
      </w:r>
      <w:r w:rsidR="002D3873" w:rsidRPr="00953CD4">
        <w:rPr>
          <w:u w:color="0070C0"/>
          <w:lang w:val="en-GB"/>
        </w:rPr>
        <w:t> </w:t>
      </w:r>
      <w:r w:rsidR="00C75F8A" w:rsidRPr="00953CD4">
        <w:rPr>
          <w:lang w:val="en-GB"/>
        </w:rPr>
        <w:t>6</w:t>
      </w:r>
      <w:r w:rsidRPr="00953CD4">
        <w:rPr>
          <w:lang w:val="en-GB"/>
        </w:rPr>
        <w:t>,</w:t>
      </w:r>
      <w:r w:rsidR="005E6166">
        <w:rPr>
          <w:lang w:val="en-GB"/>
        </w:rPr>
        <w:t xml:space="preserve"> </w:t>
      </w:r>
      <w:r w:rsidRPr="00953CD4">
        <w:rPr>
          <w:lang w:val="en-GB"/>
        </w:rPr>
        <w:t>S</w:t>
      </w:r>
      <w:r w:rsidR="00C75F8A" w:rsidRPr="00953CD4">
        <w:rPr>
          <w:lang w:val="en-GB"/>
        </w:rPr>
        <w:t>5</w:t>
      </w:r>
      <w:r w:rsidR="00A86280" w:rsidRPr="00953CD4">
        <w:rPr>
          <w:lang w:val="en-GB"/>
        </w:rPr>
        <w:t>D</w:t>
      </w:r>
      <w:r w:rsidRPr="00953CD4">
        <w:rPr>
          <w:lang w:val="en-GB"/>
        </w:rPr>
        <w:t xml:space="preserve">). </w:t>
      </w:r>
      <w:r w:rsidR="00935D51" w:rsidRPr="00953CD4">
        <w:rPr>
          <w:color w:val="FF0000"/>
          <w:lang w:val="en-GB"/>
        </w:rPr>
        <w:t>Exemplary tracks of control cells and cells after incubati</w:t>
      </w:r>
      <w:r w:rsidR="00882F51" w:rsidRPr="00953CD4">
        <w:rPr>
          <w:color w:val="FF0000"/>
          <w:lang w:val="en-GB"/>
        </w:rPr>
        <w:t>on with TeNT are documented in M</w:t>
      </w:r>
      <w:r w:rsidR="00935D51" w:rsidRPr="00953CD4">
        <w:rPr>
          <w:color w:val="FF0000"/>
          <w:lang w:val="en-GB"/>
        </w:rPr>
        <w:t>ovie 3.</w:t>
      </w:r>
    </w:p>
    <w:p w:rsidR="003704F2" w:rsidRPr="00953CD4" w:rsidRDefault="003704F2" w:rsidP="00857236">
      <w:pPr>
        <w:pStyle w:val="Paragraph"/>
        <w:spacing w:line="360" w:lineRule="auto"/>
        <w:jc w:val="both"/>
        <w:rPr>
          <w:lang w:val="en-GB"/>
        </w:rPr>
      </w:pPr>
      <w:r w:rsidRPr="00953CD4">
        <w:rPr>
          <w:lang w:val="en-GB"/>
        </w:rPr>
        <w:t>Mechanistically, the nonspecific antagonist of voltage-gated Ca</w:t>
      </w:r>
      <w:r w:rsidRPr="00953CD4">
        <w:rPr>
          <w:vertAlign w:val="superscript"/>
          <w:lang w:val="en-GB"/>
        </w:rPr>
        <w:t>2+</w:t>
      </w:r>
      <w:r w:rsidRPr="00953CD4">
        <w:rPr>
          <w:lang w:val="en-GB"/>
        </w:rPr>
        <w:t xml:space="preserve"> channels, Co</w:t>
      </w:r>
      <w:r w:rsidRPr="00953CD4">
        <w:rPr>
          <w:vertAlign w:val="superscript"/>
          <w:lang w:val="en-GB"/>
        </w:rPr>
        <w:t>2+</w:t>
      </w:r>
      <w:r w:rsidRPr="00953CD4">
        <w:rPr>
          <w:lang w:val="en-GB"/>
        </w:rPr>
        <w:t xml:space="preserve"> (used at 2 mM; 20 min wash-in; three slices from three animals) prevents secretion upstream of the site of ac</w:t>
      </w:r>
      <w:r w:rsidR="002476B0" w:rsidRPr="00953CD4">
        <w:rPr>
          <w:lang w:val="en-GB"/>
        </w:rPr>
        <w:t xml:space="preserve">tion of TeNT. It also allows </w:t>
      </w:r>
      <w:r w:rsidRPr="00953CD4">
        <w:rPr>
          <w:lang w:val="en-GB"/>
        </w:rPr>
        <w:t>avoid</w:t>
      </w:r>
      <w:r w:rsidR="002476B0" w:rsidRPr="00953CD4">
        <w:rPr>
          <w:lang w:val="en-GB"/>
        </w:rPr>
        <w:t>ing</w:t>
      </w:r>
      <w:r w:rsidRPr="00953CD4">
        <w:rPr>
          <w:lang w:val="en-GB"/>
        </w:rPr>
        <w:t xml:space="preserve"> the protracted incubation needed with TeNT. Further, potential nonspecific side effects of these two agents may be predicted to be distinct. Intriguingly, the effects of Co</w:t>
      </w:r>
      <w:r w:rsidRPr="00953CD4">
        <w:rPr>
          <w:vertAlign w:val="superscript"/>
          <w:lang w:val="en-GB"/>
        </w:rPr>
        <w:t>2+</w:t>
      </w:r>
      <w:r w:rsidRPr="00953CD4">
        <w:rPr>
          <w:lang w:val="en-GB"/>
        </w:rPr>
        <w:t>-reduced synaptic release on cell motility and directionality were virtually identical to those observed following TeNT blockade of exocytosis (</w:t>
      </w:r>
      <w:r w:rsidR="005E46DA" w:rsidRPr="00953CD4">
        <w:rPr>
          <w:u w:color="0070C0"/>
          <w:lang w:val="en-GB"/>
        </w:rPr>
        <w:t>Fig</w:t>
      </w:r>
      <w:r w:rsidR="007E6F9B" w:rsidRPr="00953CD4">
        <w:rPr>
          <w:u w:color="0070C0"/>
          <w:lang w:val="en-GB"/>
        </w:rPr>
        <w:t>. 6</w:t>
      </w:r>
      <w:r w:rsidRPr="00953CD4">
        <w:rPr>
          <w:lang w:val="en-GB"/>
        </w:rPr>
        <w:t>).</w:t>
      </w:r>
    </w:p>
    <w:p w:rsidR="003704F2" w:rsidRPr="00953CD4" w:rsidRDefault="003704F2" w:rsidP="00857236">
      <w:pPr>
        <w:pStyle w:val="Paragraph"/>
        <w:spacing w:before="0" w:line="360" w:lineRule="auto"/>
        <w:jc w:val="both"/>
        <w:rPr>
          <w:color w:val="FF0000"/>
          <w:lang w:val="en-GB"/>
        </w:rPr>
      </w:pPr>
      <w:r w:rsidRPr="00953CD4">
        <w:rPr>
          <w:lang w:val="en-GB"/>
        </w:rPr>
        <w:t xml:space="preserve">To probe the loss of directionality following abrogation of pre-synaptic vesicular release directly and at the high temporal resolution afforded by our sampling rate, we </w:t>
      </w:r>
      <w:r w:rsidR="00953CD4" w:rsidRPr="00953CD4">
        <w:rPr>
          <w:lang w:val="en-GB"/>
        </w:rPr>
        <w:t>analysed</w:t>
      </w:r>
      <w:r w:rsidRPr="00953CD4">
        <w:rPr>
          <w:lang w:val="en-GB"/>
        </w:rPr>
        <w:t xml:space="preserve"> turning angles </w:t>
      </w:r>
      <w:r w:rsidR="00E22159" w:rsidRPr="00953CD4">
        <w:rPr>
          <w:color w:val="FF0000"/>
          <w:lang w:val="en-GB"/>
        </w:rPr>
        <w:t>formed by the track-segments ("steps") joining cell positions recorded at subsequent time points, which were separated by ~ 42 seconds (</w:t>
      </w:r>
      <w:r w:rsidR="00E22159" w:rsidRPr="00953CD4">
        <w:rPr>
          <w:lang w:val="en-GB"/>
        </w:rPr>
        <w:t xml:space="preserve">see </w:t>
      </w:r>
      <w:r w:rsidR="005E46DA" w:rsidRPr="00953CD4">
        <w:rPr>
          <w:u w:color="0070C0"/>
          <w:lang w:val="en-GB"/>
        </w:rPr>
        <w:t>Fig</w:t>
      </w:r>
      <w:r w:rsidR="002D3873" w:rsidRPr="00953CD4">
        <w:rPr>
          <w:u w:color="0070C0"/>
          <w:lang w:val="en-GB"/>
        </w:rPr>
        <w:t>. </w:t>
      </w:r>
      <w:proofErr w:type="gramStart"/>
      <w:r w:rsidR="00474CB6" w:rsidRPr="00953CD4">
        <w:rPr>
          <w:lang w:val="en-GB"/>
        </w:rPr>
        <w:t>S6</w:t>
      </w:r>
      <w:r w:rsidRPr="00953CD4">
        <w:rPr>
          <w:lang w:val="en-GB"/>
        </w:rPr>
        <w:t xml:space="preserve"> for a scheme).</w:t>
      </w:r>
      <w:proofErr w:type="gramEnd"/>
      <w:r w:rsidRPr="00953CD4">
        <w:rPr>
          <w:lang w:val="en-GB"/>
        </w:rPr>
        <w:t xml:space="preserve"> These angles provide a measure for directional per</w:t>
      </w:r>
      <w:r w:rsidR="00E22159" w:rsidRPr="00953CD4">
        <w:rPr>
          <w:lang w:val="en-GB"/>
        </w:rPr>
        <w:t>sistence</w:t>
      </w:r>
      <w:r w:rsidR="00E22159" w:rsidRPr="00953CD4">
        <w:rPr>
          <w:color w:val="FF0000"/>
          <w:lang w:val="en-GB"/>
        </w:rPr>
        <w:t>: for cells with high direc</w:t>
      </w:r>
      <w:r w:rsidR="00857236" w:rsidRPr="00953CD4">
        <w:rPr>
          <w:color w:val="FF0000"/>
          <w:lang w:val="en-GB"/>
        </w:rPr>
        <w:t>tional persistence, they</w:t>
      </w:r>
      <w:r w:rsidR="00E22159" w:rsidRPr="00953CD4">
        <w:rPr>
          <w:color w:val="FF0000"/>
          <w:lang w:val="en-GB"/>
        </w:rPr>
        <w:t xml:space="preserve"> are </w:t>
      </w:r>
      <w:r w:rsidR="00953CD4" w:rsidRPr="00953CD4">
        <w:rPr>
          <w:color w:val="FF0000"/>
          <w:lang w:val="en-GB"/>
        </w:rPr>
        <w:t>centred</w:t>
      </w:r>
      <w:r w:rsidR="00E22159" w:rsidRPr="00953CD4">
        <w:rPr>
          <w:color w:val="FF0000"/>
          <w:lang w:val="en-GB"/>
        </w:rPr>
        <w:t xml:space="preserve"> about zero degrees. </w:t>
      </w:r>
      <w:r w:rsidR="00575C9F" w:rsidRPr="00953CD4">
        <w:rPr>
          <w:color w:val="FF0000"/>
          <w:lang w:val="en-GB"/>
        </w:rPr>
        <w:t>In contrast, tracks of cells with low directional per</w:t>
      </w:r>
      <w:r w:rsidR="00D129D5" w:rsidRPr="00953CD4">
        <w:rPr>
          <w:color w:val="FF0000"/>
          <w:lang w:val="en-GB"/>
        </w:rPr>
        <w:t xml:space="preserve">sistence </w:t>
      </w:r>
      <w:r w:rsidR="00857236" w:rsidRPr="00953CD4">
        <w:rPr>
          <w:color w:val="FF0000"/>
          <w:lang w:val="en-GB"/>
        </w:rPr>
        <w:t>are characterized by highly v</w:t>
      </w:r>
      <w:r w:rsidR="00D129D5" w:rsidRPr="00953CD4">
        <w:rPr>
          <w:color w:val="FF0000"/>
          <w:lang w:val="en-GB"/>
        </w:rPr>
        <w:t xml:space="preserve">ariable </w:t>
      </w:r>
      <w:r w:rsidR="00857236" w:rsidRPr="00953CD4">
        <w:rPr>
          <w:color w:val="FF0000"/>
          <w:lang w:val="en-GB"/>
        </w:rPr>
        <w:t>inter-step</w:t>
      </w:r>
      <w:r w:rsidR="00D129D5" w:rsidRPr="00953CD4">
        <w:rPr>
          <w:color w:val="FF0000"/>
          <w:lang w:val="en-GB"/>
        </w:rPr>
        <w:t xml:space="preserve"> angles. </w:t>
      </w:r>
      <w:r w:rsidRPr="00953CD4">
        <w:rPr>
          <w:lang w:val="en-GB"/>
        </w:rPr>
        <w:t>Under control conditions (</w:t>
      </w:r>
      <w:r w:rsidR="005E46DA" w:rsidRPr="00953CD4">
        <w:rPr>
          <w:u w:color="0070C0"/>
          <w:lang w:val="en-GB"/>
        </w:rPr>
        <w:t>Fig</w:t>
      </w:r>
      <w:r w:rsidR="007E6F9B" w:rsidRPr="00953CD4">
        <w:rPr>
          <w:u w:color="0070C0"/>
          <w:lang w:val="en-GB"/>
        </w:rPr>
        <w:t>. 7</w:t>
      </w:r>
      <w:r w:rsidR="007B597E" w:rsidRPr="00953CD4">
        <w:rPr>
          <w:lang w:val="en-GB"/>
        </w:rPr>
        <w:t>A</w:t>
      </w:r>
      <w:r w:rsidRPr="00953CD4">
        <w:rPr>
          <w:lang w:val="en-GB"/>
        </w:rPr>
        <w:noBreakHyphen/>
      </w:r>
      <w:r w:rsidR="007B597E" w:rsidRPr="00953CD4">
        <w:rPr>
          <w:lang w:val="en-GB"/>
        </w:rPr>
        <w:t>C</w:t>
      </w:r>
      <w:r w:rsidRPr="00953CD4">
        <w:rPr>
          <w:lang w:val="en-GB"/>
        </w:rPr>
        <w:t>), angles between subsequent steps (</w:t>
      </w:r>
      <w:proofErr w:type="spellStart"/>
      <w:proofErr w:type="gramStart"/>
      <w:r w:rsidRPr="00953CD4">
        <w:rPr>
          <w:lang w:val="en-GB"/>
        </w:rPr>
        <w:t>Δφ</w:t>
      </w:r>
      <w:proofErr w:type="spellEnd"/>
      <w:proofErr w:type="gramEnd"/>
      <w:r w:rsidRPr="00953CD4">
        <w:rPr>
          <w:lang w:val="en-GB"/>
        </w:rPr>
        <w:t>) were concentrated about 0 in the coronal and sagittal planes, indicating preferentially directional translocation. Following incubation with TeNT (</w:t>
      </w:r>
      <w:r w:rsidR="005E46DA" w:rsidRPr="00953CD4">
        <w:rPr>
          <w:u w:color="0070C0"/>
          <w:lang w:val="en-GB"/>
        </w:rPr>
        <w:t>Fig</w:t>
      </w:r>
      <w:r w:rsidR="007E6F9B" w:rsidRPr="00953CD4">
        <w:rPr>
          <w:u w:color="0070C0"/>
          <w:lang w:val="en-GB"/>
        </w:rPr>
        <w:t>. 7</w:t>
      </w:r>
      <w:r w:rsidR="007B597E" w:rsidRPr="00953CD4">
        <w:rPr>
          <w:lang w:val="en-GB"/>
        </w:rPr>
        <w:t>A</w:t>
      </w:r>
      <w:r w:rsidRPr="00953CD4">
        <w:rPr>
          <w:lang w:val="en-GB"/>
        </w:rPr>
        <w:t>’</w:t>
      </w:r>
      <w:proofErr w:type="gramStart"/>
      <w:r w:rsidRPr="00953CD4">
        <w:rPr>
          <w:lang w:val="en-GB"/>
        </w:rPr>
        <w:t>,</w:t>
      </w:r>
      <w:r w:rsidR="007B597E" w:rsidRPr="00953CD4">
        <w:rPr>
          <w:lang w:val="en-GB"/>
        </w:rPr>
        <w:t>A</w:t>
      </w:r>
      <w:r w:rsidRPr="00953CD4">
        <w:rPr>
          <w:lang w:val="en-GB"/>
        </w:rPr>
        <w:t>’’</w:t>
      </w:r>
      <w:proofErr w:type="gramEnd"/>
      <w:r w:rsidRPr="00953CD4">
        <w:rPr>
          <w:lang w:val="en-GB"/>
        </w:rPr>
        <w:t>) or wash-in of Co</w:t>
      </w:r>
      <w:r w:rsidRPr="00953CD4">
        <w:rPr>
          <w:vertAlign w:val="superscript"/>
          <w:lang w:val="en-GB"/>
        </w:rPr>
        <w:t>2+</w:t>
      </w:r>
      <w:r w:rsidRPr="00953CD4">
        <w:rPr>
          <w:lang w:val="en-GB"/>
        </w:rPr>
        <w:t xml:space="preserve"> (</w:t>
      </w:r>
      <w:r w:rsidR="005E46DA" w:rsidRPr="00953CD4">
        <w:rPr>
          <w:u w:color="0070C0"/>
          <w:lang w:val="en-GB"/>
        </w:rPr>
        <w:t>Fig</w:t>
      </w:r>
      <w:r w:rsidR="007E6F9B" w:rsidRPr="00953CD4">
        <w:rPr>
          <w:u w:color="0070C0"/>
          <w:lang w:val="en-GB"/>
        </w:rPr>
        <w:t>. 7</w:t>
      </w:r>
      <w:r w:rsidR="00FC577F" w:rsidRPr="00953CD4">
        <w:rPr>
          <w:lang w:val="en-GB"/>
        </w:rPr>
        <w:t>C</w:t>
      </w:r>
      <w:r w:rsidRPr="00953CD4">
        <w:rPr>
          <w:lang w:val="en-GB"/>
        </w:rPr>
        <w:t>’,</w:t>
      </w:r>
      <w:r w:rsidR="00FC577F" w:rsidRPr="00953CD4">
        <w:rPr>
          <w:lang w:val="en-GB"/>
        </w:rPr>
        <w:t>C</w:t>
      </w:r>
      <w:r w:rsidRPr="00953CD4">
        <w:rPr>
          <w:lang w:val="en-GB"/>
        </w:rPr>
        <w:t xml:space="preserve">’’), the frequency of </w:t>
      </w:r>
      <w:proofErr w:type="spellStart"/>
      <w:r w:rsidRPr="00953CD4">
        <w:rPr>
          <w:lang w:val="en-GB"/>
        </w:rPr>
        <w:t>Δφ</w:t>
      </w:r>
      <w:proofErr w:type="spellEnd"/>
      <w:r w:rsidRPr="00953CD4">
        <w:rPr>
          <w:lang w:val="en-GB"/>
        </w:rPr>
        <w:t xml:space="preserve"> </w:t>
      </w:r>
      <w:r w:rsidR="00953CD4" w:rsidRPr="00953CD4">
        <w:rPr>
          <w:lang w:val="en-GB"/>
        </w:rPr>
        <w:t>centred</w:t>
      </w:r>
      <w:r w:rsidRPr="00953CD4">
        <w:rPr>
          <w:lang w:val="en-GB"/>
        </w:rPr>
        <w:t xml:space="preserve"> about 0 was conspicuously reduced, and larger </w:t>
      </w:r>
      <w:proofErr w:type="spellStart"/>
      <w:r w:rsidRPr="00953CD4">
        <w:rPr>
          <w:lang w:val="en-GB"/>
        </w:rPr>
        <w:t>Δφ</w:t>
      </w:r>
      <w:proofErr w:type="spellEnd"/>
      <w:r w:rsidRPr="00953CD4">
        <w:rPr>
          <w:lang w:val="en-GB"/>
        </w:rPr>
        <w:t xml:space="preserve"> values occurred more frequently (</w:t>
      </w:r>
      <w:r w:rsidR="005E46DA" w:rsidRPr="00953CD4">
        <w:rPr>
          <w:u w:color="0070C0"/>
          <w:lang w:val="en-GB"/>
        </w:rPr>
        <w:t>Fig</w:t>
      </w:r>
      <w:r w:rsidR="007E6F9B" w:rsidRPr="00953CD4">
        <w:rPr>
          <w:u w:color="0070C0"/>
          <w:lang w:val="en-GB"/>
        </w:rPr>
        <w:t>. 7</w:t>
      </w:r>
      <w:r w:rsidR="00727753" w:rsidRPr="00953CD4">
        <w:rPr>
          <w:lang w:val="en-GB"/>
        </w:rPr>
        <w:t>A</w:t>
      </w:r>
      <w:r w:rsidRPr="00953CD4">
        <w:rPr>
          <w:lang w:val="en-GB"/>
        </w:rPr>
        <w:t>’</w:t>
      </w:r>
      <w:r w:rsidR="00727753" w:rsidRPr="00953CD4">
        <w:rPr>
          <w:lang w:val="en-GB"/>
        </w:rPr>
        <w:t>,C</w:t>
      </w:r>
      <w:r w:rsidRPr="00953CD4">
        <w:rPr>
          <w:lang w:val="en-GB"/>
        </w:rPr>
        <w:t>’).</w:t>
      </w:r>
      <w:r w:rsidR="00575C9F" w:rsidRPr="00953CD4">
        <w:rPr>
          <w:lang w:val="en-GB"/>
        </w:rPr>
        <w:t xml:space="preserve"> </w:t>
      </w:r>
      <w:r w:rsidR="00575C9F" w:rsidRPr="00953CD4">
        <w:rPr>
          <w:color w:val="FF0000"/>
          <w:lang w:val="en-GB"/>
        </w:rPr>
        <w:t xml:space="preserve">This indicates that following synaptic silencing, directional persistence of migrating </w:t>
      </w:r>
      <w:r w:rsidR="0039405D" w:rsidRPr="00953CD4">
        <w:rPr>
          <w:color w:val="FF0000"/>
          <w:lang w:val="en-GB"/>
        </w:rPr>
        <w:t>Pax2-</w:t>
      </w:r>
      <w:r w:rsidR="00575C9F" w:rsidRPr="00953CD4">
        <w:rPr>
          <w:color w:val="FF0000"/>
          <w:lang w:val="en-GB"/>
        </w:rPr>
        <w:t>cells was reduced. To wit, this should not be confused with</w:t>
      </w:r>
      <w:r w:rsidR="00D129D5" w:rsidRPr="00953CD4">
        <w:rPr>
          <w:color w:val="FF0000"/>
          <w:lang w:val="en-GB"/>
        </w:rPr>
        <w:t xml:space="preserve"> an overall loss of directed</w:t>
      </w:r>
      <w:r w:rsidR="00575C9F" w:rsidRPr="00953CD4">
        <w:rPr>
          <w:color w:val="FF0000"/>
          <w:lang w:val="en-GB"/>
        </w:rPr>
        <w:t xml:space="preserve"> migration. However, the loss of </w:t>
      </w:r>
      <w:r w:rsidR="00D129D5" w:rsidRPr="00953CD4">
        <w:rPr>
          <w:color w:val="FF0000"/>
          <w:lang w:val="en-GB"/>
        </w:rPr>
        <w:t>directional persistence makes directed migration much less efficient.</w:t>
      </w:r>
    </w:p>
    <w:p w:rsidR="003704F2" w:rsidRPr="00953CD4" w:rsidRDefault="003704F2" w:rsidP="00857236">
      <w:pPr>
        <w:pStyle w:val="Paragraph"/>
        <w:spacing w:before="0" w:line="360" w:lineRule="auto"/>
        <w:jc w:val="both"/>
        <w:rPr>
          <w:lang w:val="en-GB"/>
        </w:rPr>
      </w:pPr>
      <w:r w:rsidRPr="00953CD4">
        <w:rPr>
          <w:lang w:val="en-GB"/>
        </w:rPr>
        <w:t>Another way to measure directional persistence is by quantifying the turning angles without reference to anatomical planes (</w:t>
      </w:r>
      <w:r w:rsidR="005E46DA" w:rsidRPr="00953CD4">
        <w:rPr>
          <w:u w:color="0070C0"/>
          <w:lang w:val="en-GB"/>
        </w:rPr>
        <w:t>Fig</w:t>
      </w:r>
      <w:r w:rsidR="002D3873" w:rsidRPr="00953CD4">
        <w:rPr>
          <w:u w:color="0070C0"/>
          <w:lang w:val="en-GB"/>
        </w:rPr>
        <w:t>. </w:t>
      </w:r>
      <w:proofErr w:type="gramStart"/>
      <w:r w:rsidR="00474CB6" w:rsidRPr="00953CD4">
        <w:rPr>
          <w:lang w:val="en-GB"/>
        </w:rPr>
        <w:t>S6</w:t>
      </w:r>
      <w:r w:rsidR="00857236" w:rsidRPr="00953CD4">
        <w:rPr>
          <w:lang w:val="en-GB"/>
        </w:rPr>
        <w:t>,</w:t>
      </w:r>
      <w:r w:rsidRPr="00953CD4">
        <w:rPr>
          <w:lang w:val="en-GB"/>
        </w:rPr>
        <w:t xml:space="preserve"> right panel).</w:t>
      </w:r>
      <w:proofErr w:type="gramEnd"/>
      <w:r w:rsidRPr="00953CD4">
        <w:rPr>
          <w:lang w:val="en-GB"/>
        </w:rPr>
        <w:t xml:space="preserve"> This reduces the dimensionality of the data to one and conveniently allows their statistical analysis with Kuiper’s test. This confirmed the visual impression conveyed by the density plots that TeNT (</w:t>
      </w:r>
      <w:r w:rsidR="005E46DA" w:rsidRPr="00953CD4">
        <w:rPr>
          <w:u w:color="0070C0"/>
          <w:lang w:val="en-GB"/>
        </w:rPr>
        <w:t>Fig</w:t>
      </w:r>
      <w:r w:rsidR="007E6F9B" w:rsidRPr="00953CD4">
        <w:rPr>
          <w:u w:color="0070C0"/>
          <w:lang w:val="en-GB"/>
        </w:rPr>
        <w:t>. 7</w:t>
      </w:r>
      <w:r w:rsidR="006B7DC3" w:rsidRPr="00953CD4">
        <w:rPr>
          <w:lang w:val="en-GB"/>
        </w:rPr>
        <w:t>A</w:t>
      </w:r>
      <w:r w:rsidRPr="00953CD4">
        <w:rPr>
          <w:lang w:val="en-GB"/>
        </w:rPr>
        <w:t>’’) and Co</w:t>
      </w:r>
      <w:r w:rsidRPr="00953CD4">
        <w:rPr>
          <w:vertAlign w:val="superscript"/>
          <w:lang w:val="en-GB"/>
        </w:rPr>
        <w:t>2+</w:t>
      </w:r>
      <w:r w:rsidRPr="00953CD4">
        <w:rPr>
          <w:lang w:val="en-GB"/>
        </w:rPr>
        <w:t xml:space="preserve"> (</w:t>
      </w:r>
      <w:r w:rsidR="005E46DA" w:rsidRPr="00953CD4">
        <w:rPr>
          <w:u w:color="0070C0"/>
          <w:lang w:val="en-GB"/>
        </w:rPr>
        <w:t>Fig</w:t>
      </w:r>
      <w:r w:rsidR="007E6F9B" w:rsidRPr="00953CD4">
        <w:rPr>
          <w:u w:color="0070C0"/>
          <w:lang w:val="en-GB"/>
        </w:rPr>
        <w:t>. 7</w:t>
      </w:r>
      <w:r w:rsidR="006B7DC3" w:rsidRPr="00953CD4">
        <w:rPr>
          <w:lang w:val="en-GB"/>
        </w:rPr>
        <w:t>C</w:t>
      </w:r>
      <w:r w:rsidRPr="00953CD4">
        <w:rPr>
          <w:lang w:val="en-GB"/>
        </w:rPr>
        <w:t>’’) had significant effects on directional persistence (p &lt; 0.001) whereas sham incubation (</w:t>
      </w:r>
      <w:r w:rsidR="005E46DA" w:rsidRPr="00953CD4">
        <w:rPr>
          <w:u w:color="0070C0"/>
          <w:lang w:val="en-GB"/>
        </w:rPr>
        <w:t>Fig</w:t>
      </w:r>
      <w:r w:rsidR="007E6F9B" w:rsidRPr="00953CD4">
        <w:rPr>
          <w:u w:color="0070C0"/>
          <w:lang w:val="en-GB"/>
        </w:rPr>
        <w:t>. 7</w:t>
      </w:r>
      <w:r w:rsidR="006B7DC3" w:rsidRPr="00953CD4">
        <w:rPr>
          <w:lang w:val="en-GB"/>
        </w:rPr>
        <w:t>B</w:t>
      </w:r>
      <w:r w:rsidRPr="00953CD4">
        <w:rPr>
          <w:lang w:val="en-GB"/>
        </w:rPr>
        <w:t>’’) had not (p = 0.221).</w:t>
      </w:r>
    </w:p>
    <w:p w:rsidR="003704F2" w:rsidRPr="00953CD4" w:rsidRDefault="003704F2" w:rsidP="00857236">
      <w:pPr>
        <w:spacing w:line="360" w:lineRule="auto"/>
        <w:ind w:firstLine="720"/>
        <w:jc w:val="both"/>
        <w:rPr>
          <w:lang w:val="en-GB"/>
        </w:rPr>
      </w:pPr>
      <w:r w:rsidRPr="00953CD4">
        <w:rPr>
          <w:lang w:val="en-GB"/>
        </w:rPr>
        <w:t xml:space="preserve">An intriguing question here is whether the effects of synaptic activity on Pax2-cell motility are related to the localized nature of synaptic </w:t>
      </w:r>
      <w:r w:rsidR="00953CD4" w:rsidRPr="00953CD4">
        <w:rPr>
          <w:lang w:val="en-GB"/>
        </w:rPr>
        <w:t>signalling</w:t>
      </w:r>
      <w:r w:rsidRPr="00953CD4">
        <w:rPr>
          <w:lang w:val="en-GB"/>
        </w:rPr>
        <w:t>. Conversely, one might invoke the contribution of synaptic activity to ambient transmitter concentrations to explain the effects observed. To address this question, we blocked ionotropic and metabotropic receptors of glutamate and GABA, but also purines (P2R) and several cytokines and for neurotrophins (</w:t>
      </w:r>
      <w:proofErr w:type="spellStart"/>
      <w:r w:rsidRPr="00953CD4">
        <w:rPr>
          <w:lang w:val="en-GB"/>
        </w:rPr>
        <w:t>TrkA</w:t>
      </w:r>
      <w:proofErr w:type="spellEnd"/>
      <w:r w:rsidRPr="00953CD4">
        <w:rPr>
          <w:lang w:val="en-GB"/>
        </w:rPr>
        <w:t>/B/C, p75; see Materials and Methods for an overview of the receptors targeted by the blockers used), which have previously been shown to impinge on neuronal translocation. In contrast to elimination of synaptic vesicular release by TeNT or Co</w:t>
      </w:r>
      <w:r w:rsidRPr="00953CD4">
        <w:rPr>
          <w:vertAlign w:val="superscript"/>
          <w:lang w:val="en-GB"/>
        </w:rPr>
        <w:t>2+</w:t>
      </w:r>
      <w:r w:rsidRPr="00953CD4">
        <w:rPr>
          <w:lang w:val="en-GB"/>
        </w:rPr>
        <w:t>, global elimination of transmitter action by receptor blockade resulted in at best minor and highly variable effects on all motility parameters assessed (</w:t>
      </w:r>
      <w:r w:rsidR="005E46DA" w:rsidRPr="00953CD4">
        <w:rPr>
          <w:u w:color="0070C0"/>
          <w:lang w:val="en-GB"/>
        </w:rPr>
        <w:t>Fig</w:t>
      </w:r>
      <w:r w:rsidR="007E6F9B" w:rsidRPr="00953CD4">
        <w:rPr>
          <w:u w:color="0070C0"/>
          <w:lang w:val="en-GB"/>
        </w:rPr>
        <w:t>. 6</w:t>
      </w:r>
      <w:r w:rsidRPr="00953CD4">
        <w:rPr>
          <w:lang w:val="en-GB"/>
        </w:rPr>
        <w:t xml:space="preserve">). </w:t>
      </w:r>
    </w:p>
    <w:p w:rsidR="003704F2" w:rsidRPr="00953CD4" w:rsidRDefault="003704F2" w:rsidP="00DB6EAC">
      <w:pPr>
        <w:pStyle w:val="Paragraph"/>
        <w:spacing w:before="0" w:line="360" w:lineRule="auto"/>
        <w:ind w:firstLine="0"/>
        <w:jc w:val="both"/>
        <w:rPr>
          <w:b/>
          <w:bCs/>
          <w:sz w:val="28"/>
          <w:szCs w:val="28"/>
          <w:lang w:val="en-GB"/>
        </w:rPr>
      </w:pPr>
    </w:p>
    <w:p w:rsidR="003704F2" w:rsidRPr="00953CD4" w:rsidRDefault="00665DA5" w:rsidP="00DB6EAC">
      <w:pPr>
        <w:pStyle w:val="Paragraph"/>
        <w:spacing w:before="0" w:line="360" w:lineRule="auto"/>
        <w:ind w:firstLine="0"/>
        <w:jc w:val="both"/>
        <w:rPr>
          <w:b/>
          <w:bCs/>
          <w:sz w:val="28"/>
          <w:szCs w:val="28"/>
          <w:lang w:val="en-GB"/>
        </w:rPr>
      </w:pPr>
      <w:r w:rsidRPr="00953CD4">
        <w:rPr>
          <w:b/>
          <w:bCs/>
          <w:sz w:val="28"/>
          <w:szCs w:val="28"/>
          <w:lang w:val="en-GB"/>
        </w:rPr>
        <w:t>DISCUSSION</w:t>
      </w:r>
    </w:p>
    <w:p w:rsidR="003704F2" w:rsidRPr="00953CD4" w:rsidRDefault="003704F2" w:rsidP="00857236">
      <w:pPr>
        <w:spacing w:line="360" w:lineRule="auto"/>
        <w:jc w:val="both"/>
        <w:rPr>
          <w:lang w:val="en-GB" w:eastAsia="en-US"/>
        </w:rPr>
      </w:pPr>
      <w:r w:rsidRPr="00953CD4">
        <w:rPr>
          <w:lang w:val="en-GB" w:eastAsia="en-US"/>
        </w:rPr>
        <w:t xml:space="preserve">Together, these morphological and functional findings document that precursors of ML interneurons in transit through the cerebellar cortex receive GABAergic and glutamatergic synaptic input, and that synaptic input modulates their migratory </w:t>
      </w:r>
      <w:r w:rsidR="00953CD4" w:rsidRPr="00953CD4">
        <w:rPr>
          <w:lang w:val="en-GB" w:eastAsia="en-US"/>
        </w:rPr>
        <w:t>behaviour</w:t>
      </w:r>
      <w:r w:rsidRPr="00953CD4">
        <w:rPr>
          <w:lang w:val="en-GB" w:eastAsia="en-US"/>
        </w:rPr>
        <w:t>. To the best of our knowledge, synapses have so far not been described on migratory neuronal precursors.</w:t>
      </w:r>
    </w:p>
    <w:p w:rsidR="003704F2" w:rsidRPr="00953CD4" w:rsidRDefault="003704F2" w:rsidP="00857236">
      <w:pPr>
        <w:spacing w:line="360" w:lineRule="auto"/>
        <w:ind w:firstLine="720"/>
        <w:jc w:val="both"/>
        <w:rPr>
          <w:lang w:val="en-GB"/>
        </w:rPr>
      </w:pPr>
      <w:r w:rsidRPr="00953CD4">
        <w:rPr>
          <w:lang w:val="en-GB"/>
        </w:rPr>
        <w:t xml:space="preserve">The fast rise times of the post-synaptic currents observed in Pax2-cells are also compatible with ectopic release, i.e. release from pre-synaptic elements in close contact with cells that lack typical postsynaptic morphology (Matsui and </w:t>
      </w:r>
      <w:proofErr w:type="spellStart"/>
      <w:r w:rsidRPr="00953CD4">
        <w:rPr>
          <w:lang w:val="en-GB"/>
        </w:rPr>
        <w:t>Jahr</w:t>
      </w:r>
      <w:proofErr w:type="spellEnd"/>
      <w:r w:rsidRPr="00953CD4">
        <w:rPr>
          <w:lang w:val="en-GB"/>
        </w:rPr>
        <w:t>, 2004). Yet they rule out spill-over transmission. We prefer the term synaptic, as our ultrastructural data document the existence of morphologically bona fide synapses on Pax2-cells. We note that ectopic release, should it be involved, would still constitute a highly localized signal, functionally equivalent to synapses (</w:t>
      </w:r>
      <w:proofErr w:type="spellStart"/>
      <w:r w:rsidRPr="00953CD4">
        <w:rPr>
          <w:lang w:val="en-GB"/>
        </w:rPr>
        <w:t>cf</w:t>
      </w:r>
      <w:proofErr w:type="spellEnd"/>
      <w:r w:rsidRPr="00953CD4">
        <w:rPr>
          <w:lang w:val="en-GB"/>
        </w:rPr>
        <w:t xml:space="preserve"> also the discussion in Matsui and </w:t>
      </w:r>
      <w:proofErr w:type="spellStart"/>
      <w:r w:rsidRPr="00953CD4">
        <w:rPr>
          <w:lang w:val="en-GB"/>
        </w:rPr>
        <w:t>Jahr</w:t>
      </w:r>
      <w:proofErr w:type="spellEnd"/>
      <w:r w:rsidRPr="00953CD4">
        <w:rPr>
          <w:lang w:val="en-GB"/>
        </w:rPr>
        <w:t xml:space="preserve">, 2004). </w:t>
      </w:r>
    </w:p>
    <w:p w:rsidR="003704F2" w:rsidRPr="00953CD4" w:rsidRDefault="003704F2" w:rsidP="00857236">
      <w:pPr>
        <w:spacing w:line="360" w:lineRule="auto"/>
        <w:ind w:firstLine="720"/>
        <w:jc w:val="both"/>
        <w:rPr>
          <w:lang w:val="en-GB"/>
        </w:rPr>
      </w:pPr>
      <w:r w:rsidRPr="00953CD4">
        <w:rPr>
          <w:lang w:val="en-GB"/>
        </w:rPr>
        <w:t>While it is well established that neurotransmitters or blockade of their receptors affect neuronal migration (</w:t>
      </w:r>
      <w:proofErr w:type="spellStart"/>
      <w:r w:rsidRPr="00953CD4">
        <w:rPr>
          <w:lang w:val="en-GB"/>
        </w:rPr>
        <w:t>Bolteus</w:t>
      </w:r>
      <w:proofErr w:type="spellEnd"/>
      <w:r w:rsidRPr="00953CD4">
        <w:rPr>
          <w:lang w:val="en-GB"/>
        </w:rPr>
        <w:t xml:space="preserve"> and </w:t>
      </w:r>
      <w:proofErr w:type="spellStart"/>
      <w:r w:rsidRPr="00953CD4">
        <w:rPr>
          <w:lang w:val="en-GB"/>
        </w:rPr>
        <w:t>Bordey</w:t>
      </w:r>
      <w:proofErr w:type="spellEnd"/>
      <w:r w:rsidRPr="00953CD4">
        <w:rPr>
          <w:lang w:val="en-GB"/>
        </w:rPr>
        <w:t xml:space="preserve">, 2004; </w:t>
      </w:r>
      <w:proofErr w:type="spellStart"/>
      <w:r w:rsidRPr="00953CD4">
        <w:rPr>
          <w:lang w:val="en-GB"/>
        </w:rPr>
        <w:t>Bortone</w:t>
      </w:r>
      <w:proofErr w:type="spellEnd"/>
      <w:r w:rsidRPr="00953CD4">
        <w:rPr>
          <w:lang w:val="en-GB"/>
        </w:rPr>
        <w:t xml:space="preserve"> and </w:t>
      </w:r>
      <w:proofErr w:type="spellStart"/>
      <w:r w:rsidRPr="00953CD4">
        <w:rPr>
          <w:lang w:val="en-GB"/>
        </w:rPr>
        <w:t>Polleux</w:t>
      </w:r>
      <w:proofErr w:type="spellEnd"/>
      <w:r w:rsidRPr="00953CD4">
        <w:rPr>
          <w:lang w:val="en-GB"/>
        </w:rPr>
        <w:t xml:space="preserve">, 2009; </w:t>
      </w:r>
      <w:proofErr w:type="spellStart"/>
      <w:r w:rsidRPr="00953CD4">
        <w:rPr>
          <w:lang w:val="en-GB"/>
        </w:rPr>
        <w:t>Cuzon</w:t>
      </w:r>
      <w:proofErr w:type="spellEnd"/>
      <w:r w:rsidRPr="00953CD4">
        <w:rPr>
          <w:lang w:val="en-GB"/>
        </w:rPr>
        <w:t xml:space="preserve"> et al., 2006; de Lima et al., 2009; </w:t>
      </w:r>
      <w:proofErr w:type="spellStart"/>
      <w:r w:rsidRPr="00953CD4">
        <w:rPr>
          <w:lang w:val="en-GB"/>
        </w:rPr>
        <w:t>Komuro</w:t>
      </w:r>
      <w:proofErr w:type="spellEnd"/>
      <w:r w:rsidRPr="00953CD4">
        <w:rPr>
          <w:lang w:val="en-GB"/>
        </w:rPr>
        <w:t xml:space="preserve"> and </w:t>
      </w:r>
      <w:proofErr w:type="spellStart"/>
      <w:r w:rsidRPr="00953CD4">
        <w:rPr>
          <w:lang w:val="en-GB"/>
        </w:rPr>
        <w:t>Rakic</w:t>
      </w:r>
      <w:proofErr w:type="spellEnd"/>
      <w:r w:rsidRPr="00953CD4">
        <w:rPr>
          <w:lang w:val="en-GB"/>
        </w:rPr>
        <w:t xml:space="preserve">, 1993; </w:t>
      </w:r>
      <w:proofErr w:type="spellStart"/>
      <w:r w:rsidRPr="00953CD4">
        <w:rPr>
          <w:lang w:val="en-GB"/>
        </w:rPr>
        <w:t>Manent</w:t>
      </w:r>
      <w:proofErr w:type="spellEnd"/>
      <w:r w:rsidRPr="00953CD4">
        <w:rPr>
          <w:lang w:val="en-GB"/>
        </w:rPr>
        <w:t xml:space="preserve"> and </w:t>
      </w:r>
      <w:proofErr w:type="spellStart"/>
      <w:r w:rsidRPr="00953CD4">
        <w:rPr>
          <w:lang w:val="en-GB"/>
        </w:rPr>
        <w:t>Represa</w:t>
      </w:r>
      <w:proofErr w:type="spellEnd"/>
      <w:r w:rsidRPr="00953CD4">
        <w:rPr>
          <w:lang w:val="en-GB"/>
        </w:rPr>
        <w:t xml:space="preserve">, 2007; </w:t>
      </w:r>
      <w:proofErr w:type="spellStart"/>
      <w:r w:rsidRPr="00953CD4">
        <w:rPr>
          <w:lang w:val="en-GB"/>
        </w:rPr>
        <w:t>Manent</w:t>
      </w:r>
      <w:proofErr w:type="spellEnd"/>
      <w:r w:rsidRPr="00953CD4">
        <w:rPr>
          <w:lang w:val="en-GB"/>
        </w:rPr>
        <w:t xml:space="preserve"> et al., 2005), and notably speed, the present data also unveil a hitherto unknown effect of neurotransmitter </w:t>
      </w:r>
      <w:r w:rsidR="00953CD4" w:rsidRPr="00953CD4">
        <w:rPr>
          <w:lang w:val="en-GB"/>
        </w:rPr>
        <w:t>signalling</w:t>
      </w:r>
      <w:r w:rsidRPr="00953CD4">
        <w:rPr>
          <w:lang w:val="en-GB"/>
        </w:rPr>
        <w:t xml:space="preserve"> on the directionality of migration. This effect was specifically observed following ablation of presynaptic release. Thus, pre-synaptic elements may function as activity-modulated guideposts for migrating interneuronal precursors that navigate the nascent cerebellar cortex. This conclusion is underscored by the outstanding specificity of tetanus toxin for targeting synaptic release. In particular, this agent does not interfere with neurite outgrowth (</w:t>
      </w:r>
      <w:proofErr w:type="spellStart"/>
      <w:r w:rsidRPr="00953CD4">
        <w:rPr>
          <w:lang w:val="en-GB"/>
        </w:rPr>
        <w:t>Verderio</w:t>
      </w:r>
      <w:proofErr w:type="spellEnd"/>
      <w:r w:rsidRPr="00953CD4">
        <w:rPr>
          <w:lang w:val="en-GB"/>
        </w:rPr>
        <w:t xml:space="preserve"> et al., 1999), which might interfere with migration, and which has been observed when (synaptic) release was eliminated by ablation of </w:t>
      </w:r>
      <w:proofErr w:type="spellStart"/>
      <w:r w:rsidRPr="00953CD4">
        <w:rPr>
          <w:lang w:val="en-GB"/>
        </w:rPr>
        <w:t>Munc</w:t>
      </w:r>
      <w:proofErr w:type="spellEnd"/>
      <w:r w:rsidRPr="00953CD4">
        <w:rPr>
          <w:lang w:val="en-GB"/>
        </w:rPr>
        <w:t xml:space="preserve"> 18-1 and </w:t>
      </w:r>
      <w:proofErr w:type="spellStart"/>
      <w:r w:rsidRPr="00953CD4">
        <w:rPr>
          <w:lang w:val="en-GB"/>
        </w:rPr>
        <w:t>Munc</w:t>
      </w:r>
      <w:proofErr w:type="spellEnd"/>
      <w:r w:rsidRPr="00953CD4">
        <w:rPr>
          <w:lang w:val="en-GB"/>
        </w:rPr>
        <w:t xml:space="preserve"> 13 (</w:t>
      </w:r>
      <w:proofErr w:type="spellStart"/>
      <w:r w:rsidRPr="00953CD4">
        <w:rPr>
          <w:lang w:val="en-GB"/>
        </w:rPr>
        <w:t>Broeke</w:t>
      </w:r>
      <w:proofErr w:type="spellEnd"/>
      <w:r w:rsidRPr="00953CD4">
        <w:rPr>
          <w:lang w:val="en-GB"/>
        </w:rPr>
        <w:t xml:space="preserve"> et al., 2010).</w:t>
      </w:r>
    </w:p>
    <w:p w:rsidR="003704F2" w:rsidRPr="00953CD4" w:rsidRDefault="003704F2" w:rsidP="00857236">
      <w:pPr>
        <w:spacing w:line="360" w:lineRule="auto"/>
        <w:ind w:firstLine="720"/>
        <w:jc w:val="both"/>
        <w:rPr>
          <w:lang w:val="en-GB"/>
        </w:rPr>
      </w:pPr>
      <w:r w:rsidRPr="00953CD4">
        <w:rPr>
          <w:lang w:val="en-GB"/>
        </w:rPr>
        <w:t>At first sight, the distinct effects of ablation of vesicular release and receptor blockade may seem counter-intuitive. Yet if one contrasts how TeNT (or Co</w:t>
      </w:r>
      <w:r w:rsidRPr="00953CD4">
        <w:rPr>
          <w:vertAlign w:val="superscript"/>
          <w:lang w:val="en-GB"/>
        </w:rPr>
        <w:t>2+</w:t>
      </w:r>
      <w:r w:rsidRPr="00953CD4">
        <w:rPr>
          <w:lang w:val="en-GB"/>
        </w:rPr>
        <w:t xml:space="preserve">) and receptor blockade act on transmitter-mediated signals perceived by migrating cells (schematic </w:t>
      </w:r>
      <w:r w:rsidR="005E46DA" w:rsidRPr="00953CD4">
        <w:rPr>
          <w:u w:color="0070C0"/>
          <w:lang w:val="en-GB"/>
        </w:rPr>
        <w:t>Fig</w:t>
      </w:r>
      <w:r w:rsidR="007E6F9B" w:rsidRPr="00953CD4">
        <w:rPr>
          <w:u w:color="0070C0"/>
          <w:lang w:val="en-GB"/>
        </w:rPr>
        <w:t>. 8</w:t>
      </w:r>
      <w:r w:rsidRPr="00953CD4">
        <w:rPr>
          <w:lang w:val="en-GB"/>
        </w:rPr>
        <w:t>), these differences provide a first clue how the hitherto unknown synaptic input to migrating neurons may mechanistically control their directionality and locomotion.</w:t>
      </w:r>
    </w:p>
    <w:p w:rsidR="003704F2" w:rsidRPr="00953CD4" w:rsidRDefault="003704F2" w:rsidP="00857236">
      <w:pPr>
        <w:spacing w:line="360" w:lineRule="auto"/>
        <w:ind w:firstLine="720"/>
        <w:jc w:val="both"/>
        <w:rPr>
          <w:lang w:val="en-GB"/>
        </w:rPr>
      </w:pPr>
      <w:r w:rsidRPr="00953CD4">
        <w:rPr>
          <w:lang w:val="en-GB"/>
        </w:rPr>
        <w:t xml:space="preserve">Traditionally, </w:t>
      </w:r>
      <w:r w:rsidRPr="00953CD4">
        <w:rPr>
          <w:lang w:val="en-GB" w:eastAsia="en-US"/>
        </w:rPr>
        <w:t>effects of transmitters on the motility of neuronal precursors have been surmised</w:t>
      </w:r>
      <w:r w:rsidRPr="00953CD4">
        <w:rPr>
          <w:lang w:val="en-GB"/>
        </w:rPr>
        <w:t xml:space="preserve"> to be exclusively due to ambient, paracrine acting transmitters (</w:t>
      </w:r>
      <w:proofErr w:type="spellStart"/>
      <w:r w:rsidRPr="00953CD4">
        <w:rPr>
          <w:lang w:val="en-GB"/>
        </w:rPr>
        <w:t>Bolteus</w:t>
      </w:r>
      <w:proofErr w:type="spellEnd"/>
      <w:r w:rsidRPr="00953CD4">
        <w:rPr>
          <w:lang w:val="en-GB"/>
        </w:rPr>
        <w:t xml:space="preserve"> and </w:t>
      </w:r>
      <w:proofErr w:type="spellStart"/>
      <w:r w:rsidRPr="00953CD4">
        <w:rPr>
          <w:lang w:val="en-GB"/>
        </w:rPr>
        <w:t>Bordey</w:t>
      </w:r>
      <w:proofErr w:type="spellEnd"/>
      <w:r w:rsidRPr="00953CD4">
        <w:rPr>
          <w:lang w:val="en-GB"/>
        </w:rPr>
        <w:t xml:space="preserve">, 2004; </w:t>
      </w:r>
      <w:proofErr w:type="spellStart"/>
      <w:r w:rsidRPr="00953CD4">
        <w:rPr>
          <w:lang w:val="en-GB"/>
        </w:rPr>
        <w:t>Bortone</w:t>
      </w:r>
      <w:proofErr w:type="spellEnd"/>
      <w:r w:rsidRPr="00953CD4">
        <w:rPr>
          <w:lang w:val="en-GB"/>
        </w:rPr>
        <w:t xml:space="preserve"> and </w:t>
      </w:r>
      <w:proofErr w:type="spellStart"/>
      <w:r w:rsidRPr="00953CD4">
        <w:rPr>
          <w:lang w:val="en-GB"/>
        </w:rPr>
        <w:t>Polleux</w:t>
      </w:r>
      <w:proofErr w:type="spellEnd"/>
      <w:r w:rsidRPr="00953CD4">
        <w:rPr>
          <w:lang w:val="en-GB"/>
        </w:rPr>
        <w:t xml:space="preserve">, 2009; </w:t>
      </w:r>
      <w:proofErr w:type="spellStart"/>
      <w:r w:rsidRPr="00953CD4">
        <w:rPr>
          <w:lang w:val="en-GB"/>
        </w:rPr>
        <w:t>Cuzon</w:t>
      </w:r>
      <w:proofErr w:type="spellEnd"/>
      <w:r w:rsidRPr="00953CD4">
        <w:rPr>
          <w:lang w:val="en-GB"/>
        </w:rPr>
        <w:t xml:space="preserve"> et al., 2006; de Lima et al., 2009; </w:t>
      </w:r>
      <w:proofErr w:type="spellStart"/>
      <w:r w:rsidRPr="00953CD4">
        <w:rPr>
          <w:lang w:val="en-GB"/>
        </w:rPr>
        <w:t>Komuro</w:t>
      </w:r>
      <w:proofErr w:type="spellEnd"/>
      <w:r w:rsidRPr="00953CD4">
        <w:rPr>
          <w:lang w:val="en-GB"/>
        </w:rPr>
        <w:t xml:space="preserve"> and </w:t>
      </w:r>
      <w:proofErr w:type="spellStart"/>
      <w:r w:rsidRPr="00953CD4">
        <w:rPr>
          <w:lang w:val="en-GB"/>
        </w:rPr>
        <w:t>Rakic</w:t>
      </w:r>
      <w:proofErr w:type="spellEnd"/>
      <w:r w:rsidRPr="00953CD4">
        <w:rPr>
          <w:lang w:val="en-GB"/>
        </w:rPr>
        <w:t xml:space="preserve">, 1993; </w:t>
      </w:r>
      <w:proofErr w:type="spellStart"/>
      <w:r w:rsidRPr="00953CD4">
        <w:rPr>
          <w:lang w:val="en-GB"/>
        </w:rPr>
        <w:t>Manent</w:t>
      </w:r>
      <w:proofErr w:type="spellEnd"/>
      <w:r w:rsidRPr="00953CD4">
        <w:rPr>
          <w:lang w:val="en-GB"/>
        </w:rPr>
        <w:t xml:space="preserve"> and </w:t>
      </w:r>
      <w:proofErr w:type="spellStart"/>
      <w:r w:rsidRPr="00953CD4">
        <w:rPr>
          <w:lang w:val="en-GB"/>
        </w:rPr>
        <w:t>Represa</w:t>
      </w:r>
      <w:proofErr w:type="spellEnd"/>
      <w:r w:rsidRPr="00953CD4">
        <w:rPr>
          <w:lang w:val="en-GB"/>
        </w:rPr>
        <w:t xml:space="preserve">, 2007; </w:t>
      </w:r>
      <w:proofErr w:type="spellStart"/>
      <w:r w:rsidRPr="00953CD4">
        <w:rPr>
          <w:lang w:val="en-GB"/>
        </w:rPr>
        <w:t>Manent</w:t>
      </w:r>
      <w:proofErr w:type="spellEnd"/>
      <w:r w:rsidRPr="00953CD4">
        <w:rPr>
          <w:lang w:val="en-GB"/>
        </w:rPr>
        <w:t xml:space="preserve"> et al., 2005), i.e. a non-localized, or isotropic, signal. In contrast, synaptic input as identified here, results in highly </w:t>
      </w:r>
      <w:r w:rsidRPr="00953CD4">
        <w:rPr>
          <w:lang w:val="en-GB" w:eastAsia="en-US"/>
        </w:rPr>
        <w:t>anisotropic signals.</w:t>
      </w:r>
      <w:r w:rsidRPr="00953CD4">
        <w:rPr>
          <w:color w:val="FF0000"/>
          <w:lang w:val="en-GB" w:eastAsia="en-US"/>
        </w:rPr>
        <w:t xml:space="preserve"> </w:t>
      </w:r>
      <w:r w:rsidRPr="00953CD4">
        <w:rPr>
          <w:lang w:val="en-GB"/>
        </w:rPr>
        <w:t xml:space="preserve">Notably, synaptic input onto Pax2-cells does not generate action potentials and thus results in a localized, rather than a propagating signal. This conclusion may be reached considering that no action potentials, not even spikelets, could be elicited from Pax2-cells by current injections up to 40 pA (see first 5 sweeps in </w:t>
      </w:r>
      <w:r w:rsidR="005E46DA" w:rsidRPr="00953CD4">
        <w:rPr>
          <w:u w:color="0070C0"/>
          <w:lang w:val="en-GB"/>
        </w:rPr>
        <w:t>Fig</w:t>
      </w:r>
      <w:r w:rsidR="007E6F9B" w:rsidRPr="00953CD4">
        <w:rPr>
          <w:u w:color="0070C0"/>
          <w:lang w:val="en-GB"/>
        </w:rPr>
        <w:t>. 3</w:t>
      </w:r>
      <w:r w:rsidR="006B7DC3" w:rsidRPr="00953CD4">
        <w:rPr>
          <w:lang w:val="en-GB"/>
        </w:rPr>
        <w:t>B</w:t>
      </w:r>
      <w:r w:rsidRPr="00953CD4">
        <w:rPr>
          <w:lang w:val="en-GB"/>
        </w:rPr>
        <w:t>; counting from bottom to top), i.e. well beyond the amplitudes of sPSCs recorded from these cells.</w:t>
      </w:r>
    </w:p>
    <w:p w:rsidR="003704F2" w:rsidRPr="00953CD4" w:rsidRDefault="003704F2" w:rsidP="00857236">
      <w:pPr>
        <w:widowControl w:val="0"/>
        <w:autoSpaceDE w:val="0"/>
        <w:autoSpaceDN w:val="0"/>
        <w:adjustRightInd w:val="0"/>
        <w:spacing w:line="360" w:lineRule="auto"/>
        <w:ind w:firstLine="708"/>
        <w:jc w:val="both"/>
        <w:rPr>
          <w:lang w:val="en-GB"/>
        </w:rPr>
      </w:pPr>
      <w:r w:rsidRPr="00953CD4">
        <w:rPr>
          <w:lang w:val="en-GB"/>
        </w:rPr>
        <w:t>Suppression of synaptic release abrogates this anisotropic input to migrating cells. It will eventually also dampen global, isotropic (paracrine) input due to its effect on ambient transmitter concentrations. Yet as the latter are likely regulated, in the developing brain, primarily by non-synaptic mechanisms (</w:t>
      </w:r>
      <w:proofErr w:type="spellStart"/>
      <w:r w:rsidRPr="00953CD4">
        <w:rPr>
          <w:lang w:val="en-GB"/>
        </w:rPr>
        <w:t>Luhmann</w:t>
      </w:r>
      <w:proofErr w:type="spellEnd"/>
      <w:r w:rsidRPr="00953CD4">
        <w:rPr>
          <w:lang w:val="en-GB"/>
        </w:rPr>
        <w:t xml:space="preserve"> et al., 2015; </w:t>
      </w:r>
      <w:proofErr w:type="spellStart"/>
      <w:r w:rsidRPr="00953CD4">
        <w:rPr>
          <w:lang w:val="en-GB"/>
        </w:rPr>
        <w:t>Manent</w:t>
      </w:r>
      <w:proofErr w:type="spellEnd"/>
      <w:r w:rsidRPr="00953CD4">
        <w:rPr>
          <w:lang w:val="en-GB"/>
        </w:rPr>
        <w:t xml:space="preserve"> et al., 2005), e.g. transmitter-permeant anion channels (e.g. Liu et al., 2009), neurotransmitter transporters (possibly working in reverse; </w:t>
      </w:r>
      <w:proofErr w:type="spellStart"/>
      <w:r w:rsidRPr="00953CD4">
        <w:rPr>
          <w:lang w:val="en-GB"/>
        </w:rPr>
        <w:t>cf</w:t>
      </w:r>
      <w:proofErr w:type="spellEnd"/>
      <w:r w:rsidRPr="00953CD4">
        <w:rPr>
          <w:lang w:val="en-GB"/>
        </w:rPr>
        <w:t xml:space="preserve"> </w:t>
      </w:r>
      <w:proofErr w:type="spellStart"/>
      <w:r w:rsidRPr="00953CD4">
        <w:rPr>
          <w:lang w:val="en-GB"/>
        </w:rPr>
        <w:t>Raiteri</w:t>
      </w:r>
      <w:proofErr w:type="spellEnd"/>
      <w:r w:rsidRPr="00953CD4">
        <w:rPr>
          <w:lang w:val="en-GB"/>
        </w:rPr>
        <w:t xml:space="preserve"> and </w:t>
      </w:r>
      <w:proofErr w:type="spellStart"/>
      <w:r w:rsidRPr="00953CD4">
        <w:rPr>
          <w:lang w:val="en-GB"/>
        </w:rPr>
        <w:t>Raiteri</w:t>
      </w:r>
      <w:proofErr w:type="spellEnd"/>
      <w:r w:rsidRPr="00953CD4">
        <w:rPr>
          <w:lang w:val="en-GB"/>
        </w:rPr>
        <w:t xml:space="preserve">, 2015), or insufficient transmitter uptake (by glial cells; e.g. </w:t>
      </w:r>
      <w:proofErr w:type="spellStart"/>
      <w:r w:rsidRPr="00953CD4">
        <w:rPr>
          <w:lang w:val="en-GB"/>
        </w:rPr>
        <w:t>Komuro</w:t>
      </w:r>
      <w:proofErr w:type="spellEnd"/>
      <w:r w:rsidRPr="00953CD4">
        <w:rPr>
          <w:lang w:val="en-GB"/>
        </w:rPr>
        <w:t xml:space="preserve"> and </w:t>
      </w:r>
      <w:proofErr w:type="spellStart"/>
      <w:r w:rsidRPr="00953CD4">
        <w:rPr>
          <w:lang w:val="en-GB"/>
        </w:rPr>
        <w:t>Rakic</w:t>
      </w:r>
      <w:proofErr w:type="spellEnd"/>
      <w:r w:rsidRPr="00953CD4">
        <w:rPr>
          <w:lang w:val="en-GB"/>
        </w:rPr>
        <w:t>, 1993) synaptic silencing will not effectively shut down isotropic transmitter effects (</w:t>
      </w:r>
      <w:r w:rsidR="005E46DA" w:rsidRPr="00953CD4">
        <w:rPr>
          <w:u w:color="0070C0"/>
          <w:lang w:val="en-GB"/>
        </w:rPr>
        <w:t>Fig</w:t>
      </w:r>
      <w:r w:rsidR="007E6F9B" w:rsidRPr="00953CD4">
        <w:rPr>
          <w:u w:color="0070C0"/>
          <w:lang w:val="en-GB"/>
        </w:rPr>
        <w:t>. 8</w:t>
      </w:r>
      <w:r w:rsidRPr="00953CD4">
        <w:rPr>
          <w:lang w:val="en-GB"/>
        </w:rPr>
        <w:t xml:space="preserve"> middle). In contrast, receptor antagonists eliminate </w:t>
      </w:r>
      <w:r w:rsidR="00953CD4" w:rsidRPr="00953CD4">
        <w:rPr>
          <w:lang w:val="en-GB"/>
        </w:rPr>
        <w:t>signalling</w:t>
      </w:r>
      <w:r w:rsidRPr="00953CD4">
        <w:rPr>
          <w:lang w:val="en-GB"/>
        </w:rPr>
        <w:t xml:space="preserve"> completely and irrespective of its source (</w:t>
      </w:r>
      <w:r w:rsidR="005E46DA" w:rsidRPr="00953CD4">
        <w:rPr>
          <w:u w:color="0070C0"/>
          <w:lang w:val="en-GB"/>
        </w:rPr>
        <w:t>Fig</w:t>
      </w:r>
      <w:r w:rsidR="007E6F9B" w:rsidRPr="00953CD4">
        <w:rPr>
          <w:u w:color="0070C0"/>
          <w:lang w:val="en-GB"/>
        </w:rPr>
        <w:t>. 8</w:t>
      </w:r>
      <w:r w:rsidRPr="00953CD4">
        <w:rPr>
          <w:lang w:val="en-GB"/>
        </w:rPr>
        <w:t xml:space="preserve"> right).</w:t>
      </w:r>
    </w:p>
    <w:p w:rsidR="003704F2" w:rsidRPr="00953CD4" w:rsidRDefault="003704F2" w:rsidP="00DB6EAC">
      <w:pPr>
        <w:spacing w:line="360" w:lineRule="auto"/>
        <w:ind w:firstLine="708"/>
        <w:jc w:val="both"/>
        <w:rPr>
          <w:lang w:val="en-GB"/>
        </w:rPr>
      </w:pPr>
      <w:r w:rsidRPr="00953CD4">
        <w:rPr>
          <w:lang w:val="en-GB"/>
        </w:rPr>
        <w:t>Thus, the distinct effects of blockade of vesicular release and receptors may be rationalized by a model that combines a permissive global (isotropic,</w:t>
      </w:r>
      <w:r w:rsidRPr="00953CD4">
        <w:rPr>
          <w:color w:val="FF0000"/>
          <w:lang w:val="en-GB"/>
        </w:rPr>
        <w:t xml:space="preserve"> </w:t>
      </w:r>
      <w:r w:rsidRPr="00953CD4">
        <w:rPr>
          <w:lang w:val="en-GB"/>
        </w:rPr>
        <w:t>paracrine) input with a local (anisotropic, synaptic) instructive signal to regulate neuronal migration and pathfinding. The permissive signal is required to keep the cells' locomotor apparatus malleable and capable to react to a localized (guiding) signal. In the absence of localized signals only (i.e. following incubation with TeNT or Co</w:t>
      </w:r>
      <w:r w:rsidRPr="00953CD4">
        <w:rPr>
          <w:vertAlign w:val="superscript"/>
          <w:lang w:val="en-GB"/>
        </w:rPr>
        <w:t>2+</w:t>
      </w:r>
      <w:r w:rsidRPr="00953CD4">
        <w:rPr>
          <w:lang w:val="en-GB"/>
        </w:rPr>
        <w:t>), cell movements become erratic and disoriented. In the absence of all external signals (i.e., following receptor blockade), cell locomotion initially persists due to the internal inertia of its locomotor system: Eventually, though, its motility will also deteriorate, as the decay of its locomotor system is no longer balanced by reorganization dependent on external input.</w:t>
      </w:r>
    </w:p>
    <w:p w:rsidR="003704F2" w:rsidRPr="00953CD4" w:rsidRDefault="003704F2" w:rsidP="00DB6EAC">
      <w:pPr>
        <w:spacing w:line="360" w:lineRule="auto"/>
        <w:ind w:firstLine="708"/>
        <w:jc w:val="both"/>
        <w:rPr>
          <w:lang w:val="en-GB"/>
        </w:rPr>
      </w:pPr>
      <w:r w:rsidRPr="00953CD4">
        <w:rPr>
          <w:lang w:val="en-GB"/>
        </w:rPr>
        <w:t xml:space="preserve">This model is parsimonious and explains all of the observed effects without the need to invoke some enigmatic, synaptically released agent directing Pax2-cell migration. It provides a consistent and natural explanation for both, the relatively high variability of the effects seen following receptor blockade, and the observation that receptor blockade does eventually change cell mobility, when observed over more protracted time periods (but also at much sparser sampling rates) as we did here (e.g. </w:t>
      </w:r>
      <w:proofErr w:type="spellStart"/>
      <w:r w:rsidRPr="00953CD4">
        <w:rPr>
          <w:lang w:val="en-GB"/>
        </w:rPr>
        <w:t>Bolteus</w:t>
      </w:r>
      <w:proofErr w:type="spellEnd"/>
      <w:r w:rsidRPr="00953CD4">
        <w:rPr>
          <w:lang w:val="en-GB"/>
        </w:rPr>
        <w:t xml:space="preserve"> and </w:t>
      </w:r>
      <w:proofErr w:type="spellStart"/>
      <w:r w:rsidRPr="00953CD4">
        <w:rPr>
          <w:lang w:val="en-GB"/>
        </w:rPr>
        <w:t>Bordey</w:t>
      </w:r>
      <w:proofErr w:type="spellEnd"/>
      <w:r w:rsidRPr="00953CD4">
        <w:rPr>
          <w:lang w:val="en-GB"/>
        </w:rPr>
        <w:t xml:space="preserve">, 2004; </w:t>
      </w:r>
      <w:proofErr w:type="spellStart"/>
      <w:r w:rsidRPr="00953CD4">
        <w:rPr>
          <w:lang w:val="en-GB"/>
        </w:rPr>
        <w:t>Bortone</w:t>
      </w:r>
      <w:proofErr w:type="spellEnd"/>
      <w:r w:rsidRPr="00953CD4">
        <w:rPr>
          <w:lang w:val="en-GB"/>
        </w:rPr>
        <w:t xml:space="preserve"> and </w:t>
      </w:r>
      <w:proofErr w:type="spellStart"/>
      <w:r w:rsidRPr="00953CD4">
        <w:rPr>
          <w:lang w:val="en-GB"/>
        </w:rPr>
        <w:t>Polleux</w:t>
      </w:r>
      <w:proofErr w:type="spellEnd"/>
      <w:r w:rsidRPr="00953CD4">
        <w:rPr>
          <w:lang w:val="en-GB"/>
        </w:rPr>
        <w:t xml:space="preserve">, 2009; Cameron et al., 2009; </w:t>
      </w:r>
      <w:proofErr w:type="spellStart"/>
      <w:r w:rsidRPr="00953CD4">
        <w:rPr>
          <w:lang w:val="en-GB"/>
        </w:rPr>
        <w:t>Cuzon</w:t>
      </w:r>
      <w:proofErr w:type="spellEnd"/>
      <w:r w:rsidRPr="00953CD4">
        <w:rPr>
          <w:lang w:val="en-GB"/>
        </w:rPr>
        <w:t xml:space="preserve"> et al., 2006; de Lima et al., 2009; </w:t>
      </w:r>
      <w:proofErr w:type="spellStart"/>
      <w:r w:rsidRPr="00953CD4">
        <w:rPr>
          <w:lang w:val="en-GB"/>
        </w:rPr>
        <w:t>Komuro</w:t>
      </w:r>
      <w:proofErr w:type="spellEnd"/>
      <w:r w:rsidRPr="00953CD4">
        <w:rPr>
          <w:lang w:val="en-GB"/>
        </w:rPr>
        <w:t xml:space="preserve"> and </w:t>
      </w:r>
      <w:proofErr w:type="spellStart"/>
      <w:r w:rsidRPr="00953CD4">
        <w:rPr>
          <w:lang w:val="en-GB"/>
        </w:rPr>
        <w:t>Rakic</w:t>
      </w:r>
      <w:proofErr w:type="spellEnd"/>
      <w:r w:rsidRPr="00953CD4">
        <w:rPr>
          <w:lang w:val="en-GB"/>
        </w:rPr>
        <w:t xml:space="preserve">, 1993; </w:t>
      </w:r>
      <w:proofErr w:type="spellStart"/>
      <w:r w:rsidRPr="00953CD4">
        <w:rPr>
          <w:lang w:val="en-GB"/>
        </w:rPr>
        <w:t>Manent</w:t>
      </w:r>
      <w:proofErr w:type="spellEnd"/>
      <w:r w:rsidRPr="00953CD4">
        <w:rPr>
          <w:lang w:val="en-GB"/>
        </w:rPr>
        <w:t xml:space="preserve"> and </w:t>
      </w:r>
      <w:proofErr w:type="spellStart"/>
      <w:r w:rsidRPr="00953CD4">
        <w:rPr>
          <w:lang w:val="en-GB"/>
        </w:rPr>
        <w:t>Represa</w:t>
      </w:r>
      <w:proofErr w:type="spellEnd"/>
      <w:r w:rsidRPr="00953CD4">
        <w:rPr>
          <w:lang w:val="en-GB"/>
        </w:rPr>
        <w:t xml:space="preserve">, 2007; </w:t>
      </w:r>
      <w:proofErr w:type="spellStart"/>
      <w:r w:rsidRPr="00953CD4">
        <w:rPr>
          <w:lang w:val="en-GB"/>
        </w:rPr>
        <w:t>Manent</w:t>
      </w:r>
      <w:proofErr w:type="spellEnd"/>
      <w:r w:rsidRPr="00953CD4">
        <w:rPr>
          <w:lang w:val="en-GB"/>
        </w:rPr>
        <w:t xml:space="preserve"> et al., 2005). Further, it may be noted that the model proposed is conceptually equivalent to the well-established dependence of axonal guidance </w:t>
      </w:r>
      <w:r w:rsidR="00953CD4" w:rsidRPr="00953CD4">
        <w:rPr>
          <w:lang w:val="en-GB"/>
        </w:rPr>
        <w:t>signalling</w:t>
      </w:r>
      <w:r w:rsidRPr="00953CD4">
        <w:rPr>
          <w:lang w:val="en-GB"/>
        </w:rPr>
        <w:t xml:space="preserve">, where the attractive or repulsive interpretation of one signal may be switched by a second, permissive signal (or internal state) of the receptive cell (see Naoki et al., 2016 and further references therein). Third, this model may also be seen as an instance of a more general model in which contrasting local and global effects are integrated to allow cells to steer in shallow gradients and to avoid adaption (Hecht et al., 2011; </w:t>
      </w:r>
      <w:proofErr w:type="spellStart"/>
      <w:r w:rsidRPr="00953CD4">
        <w:rPr>
          <w:lang w:val="en-GB"/>
        </w:rPr>
        <w:t>Xiong</w:t>
      </w:r>
      <w:proofErr w:type="spellEnd"/>
      <w:r w:rsidRPr="00953CD4">
        <w:rPr>
          <w:lang w:val="en-GB"/>
        </w:rPr>
        <w:t xml:space="preserve"> et al., 2010). These</w:t>
      </w:r>
      <w:r w:rsidRPr="00953CD4">
        <w:rPr>
          <w:color w:val="FF0000"/>
          <w:lang w:val="en-GB"/>
        </w:rPr>
        <w:t xml:space="preserve"> </w:t>
      </w:r>
      <w:r w:rsidRPr="00953CD4">
        <w:rPr>
          <w:lang w:val="en-GB"/>
        </w:rPr>
        <w:t xml:space="preserve">conceptual parallels may also help to conceive future research to further identify the molecular mechanisms underpinning the observed migratory </w:t>
      </w:r>
      <w:r w:rsidR="00953CD4" w:rsidRPr="00953CD4">
        <w:rPr>
          <w:lang w:val="en-GB"/>
        </w:rPr>
        <w:t>behaviour</w:t>
      </w:r>
      <w:r w:rsidRPr="00953CD4">
        <w:rPr>
          <w:lang w:val="en-GB"/>
        </w:rPr>
        <w:t xml:space="preserve">. </w:t>
      </w:r>
    </w:p>
    <w:p w:rsidR="003704F2" w:rsidRPr="00953CD4" w:rsidRDefault="003704F2" w:rsidP="00DB6EAC">
      <w:pPr>
        <w:spacing w:line="360" w:lineRule="auto"/>
        <w:ind w:firstLine="708"/>
        <w:jc w:val="both"/>
        <w:rPr>
          <w:lang w:val="en-GB"/>
        </w:rPr>
      </w:pPr>
    </w:p>
    <w:p w:rsidR="003704F2" w:rsidRPr="00953CD4" w:rsidRDefault="003704F2" w:rsidP="00857236">
      <w:pPr>
        <w:spacing w:line="360" w:lineRule="auto"/>
        <w:ind w:firstLine="720"/>
        <w:jc w:val="both"/>
        <w:rPr>
          <w:lang w:val="en-GB"/>
        </w:rPr>
      </w:pPr>
      <w:r w:rsidRPr="00953CD4">
        <w:rPr>
          <w:lang w:val="en-GB"/>
        </w:rPr>
        <w:t>To date, the mechanisms which direct the fate, differentiation and spatial dispersal of cerebellar inhibitory interneurons remain elusive. Recent experimental evidence (</w:t>
      </w:r>
      <w:proofErr w:type="spellStart"/>
      <w:r w:rsidRPr="00953CD4">
        <w:rPr>
          <w:lang w:val="en-GB"/>
        </w:rPr>
        <w:t>Leto</w:t>
      </w:r>
      <w:proofErr w:type="spellEnd"/>
      <w:r w:rsidRPr="00953CD4">
        <w:rPr>
          <w:lang w:val="en-GB"/>
        </w:rPr>
        <w:t xml:space="preserve"> et al., 2009) revealed that post-mitotic precursors of these cells retain a considerable degree of plasticity while in transit from the ventricular zone to their adult positions, and are sensitive to, and dependent on, instructive signals received </w:t>
      </w:r>
      <w:proofErr w:type="spellStart"/>
      <w:r w:rsidRPr="00953CD4">
        <w:rPr>
          <w:lang w:val="en-GB"/>
        </w:rPr>
        <w:t>en</w:t>
      </w:r>
      <w:proofErr w:type="spellEnd"/>
      <w:r w:rsidRPr="00953CD4">
        <w:rPr>
          <w:lang w:val="en-GB"/>
        </w:rPr>
        <w:t xml:space="preserve"> route. The present results document that migration of inhibitory interneuron precursors is sensitive to pre-synaptic vesicular release; more significantly, we show that early synaptic activity provides a directional cue for these cells.</w:t>
      </w:r>
    </w:p>
    <w:p w:rsidR="003704F2" w:rsidRPr="00953CD4" w:rsidRDefault="003704F2" w:rsidP="00DB6EAC">
      <w:pPr>
        <w:spacing w:line="360" w:lineRule="auto"/>
        <w:ind w:firstLine="284"/>
        <w:jc w:val="both"/>
        <w:rPr>
          <w:lang w:val="en-GB"/>
        </w:rPr>
      </w:pPr>
      <w:r w:rsidRPr="00953CD4">
        <w:rPr>
          <w:lang w:val="en-GB"/>
        </w:rPr>
        <w:t>This suggests a new function for released neurotransmitters beyond those established for neural precursor proliferation (e.g.</w:t>
      </w:r>
      <w:r w:rsidRPr="00953CD4">
        <w:rPr>
          <w:vertAlign w:val="superscript"/>
          <w:lang w:val="en-GB"/>
        </w:rPr>
        <w:t> </w:t>
      </w:r>
      <w:r w:rsidRPr="00953CD4">
        <w:rPr>
          <w:lang w:val="en-GB"/>
        </w:rPr>
        <w:t xml:space="preserve">Liu et al., 2005; </w:t>
      </w:r>
      <w:proofErr w:type="spellStart"/>
      <w:r w:rsidRPr="00953CD4">
        <w:rPr>
          <w:lang w:val="en-GB"/>
        </w:rPr>
        <w:t>LoTurco</w:t>
      </w:r>
      <w:proofErr w:type="spellEnd"/>
      <w:r w:rsidRPr="00953CD4">
        <w:rPr>
          <w:lang w:val="en-GB"/>
        </w:rPr>
        <w:t xml:space="preserve"> et al., 1995), motility (e.g.</w:t>
      </w:r>
      <w:r w:rsidRPr="00953CD4">
        <w:rPr>
          <w:vertAlign w:val="superscript"/>
          <w:lang w:val="en-GB"/>
        </w:rPr>
        <w:t> </w:t>
      </w:r>
      <w:proofErr w:type="spellStart"/>
      <w:r w:rsidRPr="00953CD4">
        <w:rPr>
          <w:lang w:val="en-GB"/>
        </w:rPr>
        <w:t>Bouzigues</w:t>
      </w:r>
      <w:proofErr w:type="spellEnd"/>
      <w:r w:rsidRPr="00953CD4">
        <w:rPr>
          <w:lang w:val="en-GB"/>
        </w:rPr>
        <w:t xml:space="preserve"> et al., 2007; </w:t>
      </w:r>
      <w:proofErr w:type="spellStart"/>
      <w:r w:rsidRPr="00953CD4">
        <w:rPr>
          <w:lang w:val="en-GB"/>
        </w:rPr>
        <w:t>Manent</w:t>
      </w:r>
      <w:proofErr w:type="spellEnd"/>
      <w:r w:rsidRPr="00953CD4">
        <w:rPr>
          <w:lang w:val="en-GB"/>
        </w:rPr>
        <w:t xml:space="preserve"> et al., 2005) and network integration (e.g.</w:t>
      </w:r>
      <w:r w:rsidRPr="00953CD4">
        <w:rPr>
          <w:vertAlign w:val="superscript"/>
          <w:lang w:val="en-GB"/>
        </w:rPr>
        <w:t> </w:t>
      </w:r>
      <w:r w:rsidRPr="00953CD4">
        <w:rPr>
          <w:lang w:val="en-GB"/>
        </w:rPr>
        <w:t>Ge et al., 2006; for a review see</w:t>
      </w:r>
      <w:r w:rsidRPr="00953CD4">
        <w:rPr>
          <w:vertAlign w:val="subscript"/>
          <w:lang w:val="en-GB"/>
        </w:rPr>
        <w:t xml:space="preserve"> </w:t>
      </w:r>
      <w:r w:rsidRPr="00953CD4">
        <w:rPr>
          <w:lang w:val="en-GB"/>
        </w:rPr>
        <w:t xml:space="preserve">Spitzer, 2006). We demonstrate that transmitters act on developing cells in transit in a highly localized manner, indicating a role for synaptic innervation in early neural histogenesis. </w:t>
      </w:r>
    </w:p>
    <w:p w:rsidR="003704F2" w:rsidRPr="00953CD4" w:rsidRDefault="003704F2" w:rsidP="00857236">
      <w:pPr>
        <w:spacing w:line="360" w:lineRule="auto"/>
        <w:ind w:firstLine="720"/>
        <w:jc w:val="both"/>
        <w:rPr>
          <w:lang w:val="en-GB"/>
        </w:rPr>
      </w:pPr>
      <w:r w:rsidRPr="00953CD4">
        <w:rPr>
          <w:lang w:val="en-GB"/>
        </w:rPr>
        <w:t>Abrogation of synaptic release onto Pax2-cells reduced their displacement by some 40 % (</w:t>
      </w:r>
      <w:r w:rsidR="005E46DA" w:rsidRPr="00953CD4">
        <w:rPr>
          <w:u w:color="0070C0"/>
          <w:lang w:val="en-GB"/>
        </w:rPr>
        <w:t>Fig</w:t>
      </w:r>
      <w:r w:rsidR="007E6F9B" w:rsidRPr="00953CD4">
        <w:rPr>
          <w:u w:color="0070C0"/>
          <w:lang w:val="en-GB"/>
        </w:rPr>
        <w:t>. 6</w:t>
      </w:r>
      <w:r w:rsidRPr="00953CD4">
        <w:rPr>
          <w:lang w:val="en-GB"/>
        </w:rPr>
        <w:t xml:space="preserve">). This sets a frame for effects to be attributed to synaptic activity for the migration and dispersal of basket/stellate cells </w:t>
      </w:r>
      <w:r w:rsidRPr="00953CD4">
        <w:rPr>
          <w:i/>
          <w:iCs/>
          <w:lang w:val="en-GB"/>
        </w:rPr>
        <w:t>in vivo</w:t>
      </w:r>
      <w:r w:rsidRPr="00953CD4">
        <w:rPr>
          <w:lang w:val="en-GB"/>
        </w:rPr>
        <w:t xml:space="preserve">. Further, the </w:t>
      </w:r>
      <w:proofErr w:type="spellStart"/>
      <w:r w:rsidRPr="00953CD4">
        <w:rPr>
          <w:lang w:val="en-GB"/>
        </w:rPr>
        <w:t>spatio</w:t>
      </w:r>
      <w:proofErr w:type="spellEnd"/>
      <w:r w:rsidRPr="00953CD4">
        <w:rPr>
          <w:lang w:val="en-GB"/>
        </w:rPr>
        <w:t xml:space="preserve">-temporal resolution of the present data allowed us to identify changes in cellular directionality, rather than speed, as the major determinant of displacement. As already alluded to above, the robust effect of synaptic input on directionality, resp. directional persistence described here for Pax2-cells is in keeping with models (Hecht et al., 2011; </w:t>
      </w:r>
      <w:proofErr w:type="spellStart"/>
      <w:r w:rsidRPr="00953CD4">
        <w:rPr>
          <w:lang w:val="en-GB"/>
        </w:rPr>
        <w:t>Xiong</w:t>
      </w:r>
      <w:proofErr w:type="spellEnd"/>
      <w:r w:rsidRPr="00953CD4">
        <w:rPr>
          <w:lang w:val="en-GB"/>
        </w:rPr>
        <w:t xml:space="preserve"> et al., 2010) that explain how localized input enables cells to navigate molecular gradients generated by paracrine release and to avoid adaptation.</w:t>
      </w:r>
    </w:p>
    <w:p w:rsidR="003704F2" w:rsidRPr="00953CD4" w:rsidRDefault="003704F2" w:rsidP="00857236">
      <w:pPr>
        <w:pStyle w:val="Paragraph"/>
        <w:spacing w:before="0" w:line="360" w:lineRule="auto"/>
        <w:jc w:val="both"/>
        <w:rPr>
          <w:lang w:val="en-GB"/>
        </w:rPr>
      </w:pPr>
      <w:r w:rsidRPr="00953CD4">
        <w:rPr>
          <w:lang w:val="en-GB"/>
        </w:rPr>
        <w:t xml:space="preserve">Migrating Pax2-cells </w:t>
      </w:r>
      <w:r w:rsidR="00953CD4" w:rsidRPr="00953CD4">
        <w:rPr>
          <w:lang w:val="en-GB"/>
        </w:rPr>
        <w:t>analysed</w:t>
      </w:r>
      <w:r w:rsidRPr="00953CD4">
        <w:rPr>
          <w:lang w:val="en-GB"/>
        </w:rPr>
        <w:t xml:space="preserve"> presently (i.e., in the p7–9 cerebellar anlage) will eventually settle in the upper part of the molecular layer (</w:t>
      </w:r>
      <w:proofErr w:type="spellStart"/>
      <w:r w:rsidRPr="00953CD4">
        <w:rPr>
          <w:lang w:val="en-GB"/>
        </w:rPr>
        <w:t>Leto</w:t>
      </w:r>
      <w:proofErr w:type="spellEnd"/>
      <w:r w:rsidRPr="00953CD4">
        <w:rPr>
          <w:lang w:val="en-GB"/>
        </w:rPr>
        <w:t xml:space="preserve"> et al., 2009; </w:t>
      </w:r>
      <w:proofErr w:type="spellStart"/>
      <w:r w:rsidRPr="00953CD4">
        <w:rPr>
          <w:lang w:val="en-GB"/>
        </w:rPr>
        <w:t>Leto</w:t>
      </w:r>
      <w:proofErr w:type="spellEnd"/>
      <w:r w:rsidRPr="00953CD4">
        <w:rPr>
          <w:lang w:val="en-GB"/>
        </w:rPr>
        <w:t xml:space="preserve"> et al., 2011) to which their dendrites will also remain confined (e.g. </w:t>
      </w:r>
      <w:proofErr w:type="spellStart"/>
      <w:r w:rsidRPr="00953CD4">
        <w:rPr>
          <w:lang w:val="en-GB"/>
        </w:rPr>
        <w:t>Rakic</w:t>
      </w:r>
      <w:proofErr w:type="spellEnd"/>
      <w:r w:rsidRPr="00953CD4">
        <w:rPr>
          <w:lang w:val="en-GB"/>
        </w:rPr>
        <w:t xml:space="preserve">, 1972; Sultan and Bower, 1998). There, they will form excitatory synapses with granule cell-derived parallel </w:t>
      </w:r>
      <w:r w:rsidR="00953CD4" w:rsidRPr="00953CD4">
        <w:rPr>
          <w:lang w:val="en-GB"/>
        </w:rPr>
        <w:t>fibres</w:t>
      </w:r>
      <w:r w:rsidRPr="00953CD4">
        <w:rPr>
          <w:lang w:val="en-GB"/>
        </w:rPr>
        <w:t xml:space="preserve"> and inhibitory synapses with each other (for a review and detailed references on the synaptic wiring of ML interneurons, see Schilling, 2013).</w:t>
      </w:r>
    </w:p>
    <w:p w:rsidR="003704F2" w:rsidRPr="00953CD4" w:rsidRDefault="003704F2" w:rsidP="00857236">
      <w:pPr>
        <w:spacing w:line="360" w:lineRule="auto"/>
        <w:ind w:firstLine="720"/>
        <w:jc w:val="both"/>
        <w:rPr>
          <w:lang w:val="en-GB"/>
        </w:rPr>
      </w:pPr>
      <w:r w:rsidRPr="00953CD4">
        <w:rPr>
          <w:lang w:val="en-GB"/>
        </w:rPr>
        <w:t xml:space="preserve">Potential candidates providing afferent input to Pax2-cells </w:t>
      </w:r>
      <w:proofErr w:type="spellStart"/>
      <w:r w:rsidRPr="00953CD4">
        <w:rPr>
          <w:lang w:val="en-GB"/>
        </w:rPr>
        <w:t>en</w:t>
      </w:r>
      <w:proofErr w:type="spellEnd"/>
      <w:r w:rsidRPr="00953CD4">
        <w:rPr>
          <w:lang w:val="en-GB"/>
        </w:rPr>
        <w:t xml:space="preserve"> route include inhibitory interneurons of the granule cell layer and parallel </w:t>
      </w:r>
      <w:r w:rsidR="00CD5396" w:rsidRPr="00953CD4">
        <w:rPr>
          <w:lang w:val="en-GB"/>
        </w:rPr>
        <w:t>fibres</w:t>
      </w:r>
      <w:r w:rsidRPr="00953CD4">
        <w:rPr>
          <w:lang w:val="en-GB"/>
        </w:rPr>
        <w:t xml:space="preserve"> in the lower ML. The latter will not synapse on Pax2-cells </w:t>
      </w:r>
      <w:r w:rsidR="00CD5396" w:rsidRPr="00953CD4">
        <w:rPr>
          <w:lang w:val="en-GB"/>
        </w:rPr>
        <w:t>analysed</w:t>
      </w:r>
      <w:r w:rsidRPr="00953CD4">
        <w:rPr>
          <w:lang w:val="en-GB"/>
        </w:rPr>
        <w:t xml:space="preserve"> here once they have reached the upper ML. However, we consider parallel </w:t>
      </w:r>
      <w:r w:rsidR="00CD5396" w:rsidRPr="00953CD4">
        <w:rPr>
          <w:lang w:val="en-GB"/>
        </w:rPr>
        <w:t>fibres</w:t>
      </w:r>
      <w:r w:rsidRPr="00953CD4">
        <w:rPr>
          <w:lang w:val="en-GB"/>
        </w:rPr>
        <w:t xml:space="preserve"> an unlikely source of developmental synaptic input to migrating </w:t>
      </w:r>
      <w:r w:rsidR="0055473E" w:rsidRPr="00953CD4">
        <w:rPr>
          <w:lang w:val="en-GB"/>
        </w:rPr>
        <w:t>Pax2-cell</w:t>
      </w:r>
      <w:r w:rsidRPr="00953CD4">
        <w:rPr>
          <w:lang w:val="en-GB"/>
        </w:rPr>
        <w:t xml:space="preserve">s, given that there is no experimental evidence supporting spontaneous or triggered granule cell activity during the critical developmental period </w:t>
      </w:r>
      <w:r w:rsidR="00CD5396" w:rsidRPr="00953CD4">
        <w:rPr>
          <w:lang w:val="en-GB"/>
        </w:rPr>
        <w:t>analysed</w:t>
      </w:r>
      <w:r w:rsidRPr="00953CD4">
        <w:rPr>
          <w:lang w:val="en-GB"/>
        </w:rPr>
        <w:t xml:space="preserve"> here (for an extensive recent review, see </w:t>
      </w:r>
      <w:proofErr w:type="spellStart"/>
      <w:r w:rsidRPr="00953CD4">
        <w:rPr>
          <w:lang w:val="en-GB"/>
        </w:rPr>
        <w:t>Sassoe-Pognetto</w:t>
      </w:r>
      <w:proofErr w:type="spellEnd"/>
      <w:r w:rsidRPr="00953CD4">
        <w:rPr>
          <w:lang w:val="en-GB"/>
        </w:rPr>
        <w:t xml:space="preserve"> and </w:t>
      </w:r>
      <w:proofErr w:type="spellStart"/>
      <w:r w:rsidRPr="00953CD4">
        <w:rPr>
          <w:lang w:val="en-GB"/>
        </w:rPr>
        <w:t>Patrizi</w:t>
      </w:r>
      <w:proofErr w:type="spellEnd"/>
      <w:r w:rsidRPr="00953CD4">
        <w:rPr>
          <w:lang w:val="en-GB"/>
        </w:rPr>
        <w:t>, 2013).</w:t>
      </w:r>
    </w:p>
    <w:p w:rsidR="003704F2" w:rsidRPr="00953CD4" w:rsidRDefault="003704F2" w:rsidP="00857236">
      <w:pPr>
        <w:spacing w:line="360" w:lineRule="auto"/>
        <w:ind w:firstLine="720"/>
        <w:jc w:val="both"/>
        <w:rPr>
          <w:lang w:val="en-GB"/>
        </w:rPr>
      </w:pPr>
      <w:r w:rsidRPr="00953CD4">
        <w:rPr>
          <w:lang w:val="en-GB"/>
        </w:rPr>
        <w:t xml:space="preserve">GABAergic Purkinje cells, glutamatergic mossy and/or climbing </w:t>
      </w:r>
      <w:r w:rsidR="00CD5396" w:rsidRPr="00953CD4">
        <w:rPr>
          <w:lang w:val="en-GB"/>
        </w:rPr>
        <w:t>fibres</w:t>
      </w:r>
      <w:r w:rsidRPr="00953CD4">
        <w:rPr>
          <w:lang w:val="en-GB"/>
        </w:rPr>
        <w:t xml:space="preserve"> or developmental, intermediate forms of the latter two (Mason and Gregory, 1984) seem more likely candidates to provide (transient) afferents to mobile Pax2-cells. First, they are known to be active during the early postnatal period of cerebellar development (e.g. Puro and Woodward, 1977; </w:t>
      </w:r>
      <w:proofErr w:type="spellStart"/>
      <w:r w:rsidRPr="00953CD4">
        <w:rPr>
          <w:lang w:val="en-GB"/>
        </w:rPr>
        <w:t>Shimono</w:t>
      </w:r>
      <w:proofErr w:type="spellEnd"/>
      <w:r w:rsidRPr="00953CD4">
        <w:rPr>
          <w:lang w:val="en-GB"/>
        </w:rPr>
        <w:t xml:space="preserve"> et al., 1976; Sokoloff et al., 2015). Second, at least mossy </w:t>
      </w:r>
      <w:r w:rsidR="00CD5396" w:rsidRPr="00953CD4">
        <w:rPr>
          <w:lang w:val="en-GB"/>
        </w:rPr>
        <w:t>fibres</w:t>
      </w:r>
      <w:r w:rsidRPr="00953CD4">
        <w:rPr>
          <w:lang w:val="en-GB"/>
        </w:rPr>
        <w:t xml:space="preserve"> and climbing </w:t>
      </w:r>
      <w:r w:rsidR="00CD5396" w:rsidRPr="00953CD4">
        <w:rPr>
          <w:lang w:val="en-GB"/>
        </w:rPr>
        <w:t>fibres</w:t>
      </w:r>
      <w:r w:rsidRPr="00953CD4">
        <w:rPr>
          <w:lang w:val="en-GB"/>
        </w:rPr>
        <w:t xml:space="preserve">, are notorious for establishing developmentally transient synapses (e.g. </w:t>
      </w:r>
      <w:proofErr w:type="spellStart"/>
      <w:r w:rsidRPr="00953CD4">
        <w:rPr>
          <w:lang w:val="en-GB"/>
        </w:rPr>
        <w:t>Kalinovsky</w:t>
      </w:r>
      <w:proofErr w:type="spellEnd"/>
      <w:r w:rsidRPr="00953CD4">
        <w:rPr>
          <w:lang w:val="en-GB"/>
        </w:rPr>
        <w:t xml:space="preserve"> et al., 2011; Mason and Gregory, 1984; Watanabe and Kano, 2011).</w:t>
      </w:r>
    </w:p>
    <w:p w:rsidR="003704F2" w:rsidRPr="00953CD4" w:rsidRDefault="003704F2" w:rsidP="00857236">
      <w:pPr>
        <w:spacing w:line="360" w:lineRule="auto"/>
        <w:ind w:firstLine="720"/>
        <w:jc w:val="both"/>
        <w:rPr>
          <w:lang w:val="en-GB"/>
        </w:rPr>
      </w:pPr>
      <w:r w:rsidRPr="00953CD4">
        <w:rPr>
          <w:lang w:val="en-GB"/>
        </w:rPr>
        <w:t xml:space="preserve">The finding that Pax2-positive precursors of (upper) ML interneurons are synaptically innervated in areas not targeted by the afferents of their adult forms implicates that they experience a switch in synaptic input as they migrate to their final destinations. This switch would qualitatively differ from the well-known developmental synaptic </w:t>
      </w:r>
      <w:r w:rsidR="00CD5396" w:rsidRPr="00953CD4">
        <w:rPr>
          <w:lang w:val="en-GB"/>
        </w:rPr>
        <w:t>remodelling</w:t>
      </w:r>
      <w:r w:rsidRPr="00953CD4">
        <w:rPr>
          <w:lang w:val="en-GB"/>
        </w:rPr>
        <w:t xml:space="preserve"> occurring on more mature post-migratory cells to assure adequate matching of pre- and post-synapses (</w:t>
      </w:r>
      <w:proofErr w:type="spellStart"/>
      <w:r w:rsidRPr="00953CD4">
        <w:rPr>
          <w:lang w:val="en-GB"/>
        </w:rPr>
        <w:t>Gianola</w:t>
      </w:r>
      <w:proofErr w:type="spellEnd"/>
      <w:r w:rsidRPr="00953CD4">
        <w:rPr>
          <w:lang w:val="en-GB"/>
        </w:rPr>
        <w:t xml:space="preserve"> et al., 2003; </w:t>
      </w:r>
      <w:proofErr w:type="spellStart"/>
      <w:r w:rsidRPr="00953CD4">
        <w:rPr>
          <w:lang w:val="en-GB"/>
        </w:rPr>
        <w:t>Kalinovsky</w:t>
      </w:r>
      <w:proofErr w:type="spellEnd"/>
      <w:r w:rsidRPr="00953CD4">
        <w:rPr>
          <w:lang w:val="en-GB"/>
        </w:rPr>
        <w:t xml:space="preserve"> et al., 2011; Watanabe and Kano, 2011; Watt et al., 2009).</w:t>
      </w:r>
    </w:p>
    <w:p w:rsidR="003704F2" w:rsidRPr="00953CD4" w:rsidRDefault="003704F2" w:rsidP="00857236">
      <w:pPr>
        <w:spacing w:line="360" w:lineRule="auto"/>
        <w:ind w:firstLine="720"/>
        <w:jc w:val="both"/>
        <w:rPr>
          <w:lang w:val="en-GB"/>
        </w:rPr>
      </w:pPr>
      <w:r w:rsidRPr="00953CD4">
        <w:rPr>
          <w:lang w:val="en-GB"/>
        </w:rPr>
        <w:t xml:space="preserve">As the reduced preparation used here preserves only intra-cerebellar sources of mossy </w:t>
      </w:r>
      <w:r w:rsidR="00CD5396" w:rsidRPr="00953CD4">
        <w:rPr>
          <w:lang w:val="en-GB"/>
        </w:rPr>
        <w:t>fibres</w:t>
      </w:r>
      <w:r w:rsidRPr="00953CD4">
        <w:rPr>
          <w:lang w:val="en-GB"/>
        </w:rPr>
        <w:t>, i.e. those originating in deep nuclei (</w:t>
      </w:r>
      <w:proofErr w:type="spellStart"/>
      <w:r w:rsidRPr="00953CD4">
        <w:rPr>
          <w:lang w:val="en-GB"/>
        </w:rPr>
        <w:t>Batini</w:t>
      </w:r>
      <w:proofErr w:type="spellEnd"/>
      <w:r w:rsidRPr="00953CD4">
        <w:rPr>
          <w:lang w:val="en-GB"/>
        </w:rPr>
        <w:t xml:space="preserve"> et al., 1992), the impact of the mossy </w:t>
      </w:r>
      <w:r w:rsidR="00CD5396" w:rsidRPr="00953CD4">
        <w:rPr>
          <w:lang w:val="en-GB"/>
        </w:rPr>
        <w:t>fibre</w:t>
      </w:r>
      <w:r w:rsidRPr="00953CD4">
        <w:rPr>
          <w:lang w:val="en-GB"/>
        </w:rPr>
        <w:t xml:space="preserve"> system on Pax2-cell migration has probably been underestimated.</w:t>
      </w:r>
    </w:p>
    <w:p w:rsidR="003704F2" w:rsidRPr="00953CD4" w:rsidRDefault="003704F2" w:rsidP="00857236">
      <w:pPr>
        <w:spacing w:line="360" w:lineRule="auto"/>
        <w:ind w:firstLine="720"/>
        <w:jc w:val="both"/>
        <w:rPr>
          <w:lang w:val="en-GB"/>
        </w:rPr>
      </w:pPr>
      <w:r w:rsidRPr="00953CD4">
        <w:rPr>
          <w:lang w:val="en-GB"/>
        </w:rPr>
        <w:t>Our results identify a novel mechanism that allows synaptic activity in long-distance projections to fine-tune local circuit formation, by impinging on interneuron positioning during development.</w:t>
      </w:r>
    </w:p>
    <w:p w:rsidR="003704F2" w:rsidRPr="00953CD4" w:rsidRDefault="003704F2" w:rsidP="00DB6EAC">
      <w:pPr>
        <w:pStyle w:val="Paragraph"/>
        <w:spacing w:before="0" w:line="360" w:lineRule="auto"/>
        <w:ind w:firstLine="0"/>
        <w:jc w:val="both"/>
        <w:rPr>
          <w:b/>
          <w:bCs/>
          <w:sz w:val="28"/>
          <w:szCs w:val="28"/>
          <w:lang w:val="en-GB"/>
        </w:rPr>
      </w:pPr>
    </w:p>
    <w:p w:rsidR="003704F2" w:rsidRPr="00953CD4" w:rsidRDefault="00D4004D" w:rsidP="00DB6EAC">
      <w:pPr>
        <w:pStyle w:val="Paragraph"/>
        <w:spacing w:before="0" w:line="360" w:lineRule="auto"/>
        <w:ind w:firstLine="0"/>
        <w:jc w:val="both"/>
        <w:rPr>
          <w:b/>
          <w:bCs/>
          <w:sz w:val="28"/>
          <w:szCs w:val="28"/>
          <w:lang w:val="en-GB"/>
        </w:rPr>
      </w:pPr>
      <w:r w:rsidRPr="00953CD4">
        <w:rPr>
          <w:b/>
          <w:bCs/>
          <w:sz w:val="28"/>
          <w:szCs w:val="28"/>
          <w:lang w:val="en-GB"/>
        </w:rPr>
        <w:t>MATERIALS AND METHODS</w:t>
      </w:r>
    </w:p>
    <w:p w:rsidR="003704F2" w:rsidRPr="00953CD4" w:rsidRDefault="003704F2" w:rsidP="00DB6EAC">
      <w:pPr>
        <w:pStyle w:val="Paragraph"/>
        <w:spacing w:before="0" w:line="360" w:lineRule="auto"/>
        <w:ind w:firstLine="0"/>
        <w:jc w:val="both"/>
        <w:rPr>
          <w:b/>
          <w:bCs/>
          <w:lang w:val="en-GB"/>
        </w:rPr>
      </w:pPr>
      <w:r w:rsidRPr="00953CD4">
        <w:rPr>
          <w:b/>
          <w:bCs/>
          <w:lang w:val="en-GB"/>
        </w:rPr>
        <w:t>Animals</w:t>
      </w:r>
    </w:p>
    <w:p w:rsidR="003704F2" w:rsidRPr="00953CD4" w:rsidRDefault="003704F2" w:rsidP="00DB6EAC">
      <w:pPr>
        <w:pStyle w:val="Paragraph"/>
        <w:spacing w:before="0" w:line="360" w:lineRule="auto"/>
        <w:ind w:firstLine="0"/>
        <w:jc w:val="both"/>
        <w:rPr>
          <w:lang w:val="en-GB"/>
        </w:rPr>
      </w:pPr>
      <w:r w:rsidRPr="00953CD4">
        <w:rPr>
          <w:lang w:val="en-GB"/>
        </w:rPr>
        <w:t xml:space="preserve">Mice expressing EGFP from the </w:t>
      </w:r>
      <w:r w:rsidRPr="00953CD4">
        <w:rPr>
          <w:i/>
          <w:iCs/>
          <w:lang w:val="en-GB"/>
        </w:rPr>
        <w:t>Pax2</w:t>
      </w:r>
      <w:r w:rsidRPr="00953CD4">
        <w:rPr>
          <w:lang w:val="en-GB"/>
        </w:rPr>
        <w:t xml:space="preserve"> locus (Pax2-EGFP; line BAC#30 </w:t>
      </w:r>
      <w:proofErr w:type="spellStart"/>
      <w:r w:rsidRPr="00953CD4">
        <w:rPr>
          <w:lang w:val="en-GB"/>
        </w:rPr>
        <w:t>Pfeffer</w:t>
      </w:r>
      <w:proofErr w:type="spellEnd"/>
      <w:r w:rsidRPr="00953CD4">
        <w:rPr>
          <w:lang w:val="en-GB"/>
        </w:rPr>
        <w:t xml:space="preserve"> et al., 2002; Weisheit et al., 2006) were kept as heterozygotes on a C57BL/6 background. All animal handling was done in accordance with local governmental and institutional animal-care regulations.</w:t>
      </w:r>
    </w:p>
    <w:p w:rsidR="00D4004D" w:rsidRPr="00953CD4" w:rsidRDefault="00D4004D" w:rsidP="00DB6EAC">
      <w:pPr>
        <w:pStyle w:val="Paragraph"/>
        <w:spacing w:before="0" w:line="360" w:lineRule="auto"/>
        <w:ind w:firstLine="0"/>
        <w:jc w:val="both"/>
        <w:rPr>
          <w:lang w:val="en-GB"/>
        </w:rPr>
      </w:pPr>
    </w:p>
    <w:p w:rsidR="003704F2" w:rsidRPr="00953CD4" w:rsidRDefault="003704F2" w:rsidP="00DB6EAC">
      <w:pPr>
        <w:pStyle w:val="Paragraph"/>
        <w:spacing w:before="0" w:line="360" w:lineRule="auto"/>
        <w:ind w:firstLine="0"/>
        <w:jc w:val="both"/>
        <w:rPr>
          <w:b/>
          <w:bCs/>
          <w:lang w:val="en-GB"/>
        </w:rPr>
      </w:pPr>
      <w:r w:rsidRPr="00953CD4">
        <w:rPr>
          <w:b/>
          <w:bCs/>
          <w:lang w:val="en-GB"/>
        </w:rPr>
        <w:t>Preparation of cerebellar slices</w:t>
      </w:r>
    </w:p>
    <w:p w:rsidR="003704F2" w:rsidRPr="00953CD4" w:rsidRDefault="003704F2" w:rsidP="00DB6EAC">
      <w:pPr>
        <w:pStyle w:val="Paragraph"/>
        <w:spacing w:before="0" w:line="360" w:lineRule="auto"/>
        <w:ind w:firstLine="0"/>
        <w:jc w:val="both"/>
        <w:rPr>
          <w:lang w:val="en-GB"/>
        </w:rPr>
      </w:pPr>
      <w:r w:rsidRPr="00953CD4">
        <w:rPr>
          <w:lang w:val="en-GB"/>
        </w:rPr>
        <w:t>Mice</w:t>
      </w:r>
      <w:r w:rsidR="00F73CD4" w:rsidRPr="00953CD4">
        <w:rPr>
          <w:color w:val="0070C0"/>
          <w:lang w:val="en-GB"/>
        </w:rPr>
        <w:t xml:space="preserve"> </w:t>
      </w:r>
      <w:r w:rsidR="00F73CD4" w:rsidRPr="00953CD4">
        <w:rPr>
          <w:color w:val="FF0000"/>
          <w:lang w:val="en-GB"/>
        </w:rPr>
        <w:t xml:space="preserve">of </w:t>
      </w:r>
      <w:r w:rsidR="008F62E5" w:rsidRPr="00953CD4">
        <w:rPr>
          <w:color w:val="FF0000"/>
          <w:lang w:val="en-GB"/>
        </w:rPr>
        <w:t>either sex</w:t>
      </w:r>
      <w:r w:rsidRPr="00953CD4">
        <w:rPr>
          <w:lang w:val="en-GB"/>
        </w:rPr>
        <w:t xml:space="preserve"> (p7–9) were anaesthetised and decapitated. Parasagittal slices (200 or 300 µm) were cut from the cerebellar vermis using a vibratome (VT 1000 S or 1200 S, Leica) and collected in ice-cold buffer containing (in mM): 87 NaCl, 2.5 KCl, 1.25 NaH</w:t>
      </w:r>
      <w:r w:rsidRPr="00953CD4">
        <w:rPr>
          <w:vertAlign w:val="subscript"/>
          <w:lang w:val="en-GB"/>
        </w:rPr>
        <w:t>2</w:t>
      </w:r>
      <w:r w:rsidRPr="00953CD4">
        <w:rPr>
          <w:lang w:val="en-GB"/>
        </w:rPr>
        <w:t>PO</w:t>
      </w:r>
      <w:r w:rsidRPr="00953CD4">
        <w:rPr>
          <w:vertAlign w:val="subscript"/>
          <w:lang w:val="en-GB"/>
        </w:rPr>
        <w:t>4</w:t>
      </w:r>
      <w:r w:rsidRPr="00953CD4">
        <w:rPr>
          <w:lang w:val="en-GB"/>
        </w:rPr>
        <w:t>, 7 MgCl</w:t>
      </w:r>
      <w:r w:rsidRPr="00953CD4">
        <w:rPr>
          <w:vertAlign w:val="subscript"/>
          <w:lang w:val="en-GB"/>
        </w:rPr>
        <w:t>2</w:t>
      </w:r>
      <w:r w:rsidRPr="00953CD4">
        <w:rPr>
          <w:lang w:val="en-GB"/>
        </w:rPr>
        <w:t>, 0.5 CaCl</w:t>
      </w:r>
      <w:r w:rsidRPr="00953CD4">
        <w:rPr>
          <w:vertAlign w:val="subscript"/>
          <w:lang w:val="en-GB"/>
        </w:rPr>
        <w:t>2</w:t>
      </w:r>
      <w:r w:rsidRPr="00953CD4">
        <w:rPr>
          <w:lang w:val="en-GB"/>
        </w:rPr>
        <w:t>, 25 NaHCO</w:t>
      </w:r>
      <w:r w:rsidRPr="00953CD4">
        <w:rPr>
          <w:vertAlign w:val="subscript"/>
          <w:lang w:val="en-GB"/>
        </w:rPr>
        <w:t>3</w:t>
      </w:r>
      <w:r w:rsidRPr="00953CD4">
        <w:rPr>
          <w:lang w:val="en-GB"/>
        </w:rPr>
        <w:t>, 25 glucose, 75 sucrose (347 </w:t>
      </w:r>
      <w:proofErr w:type="spellStart"/>
      <w:r w:rsidRPr="00953CD4">
        <w:rPr>
          <w:lang w:val="en-GB"/>
        </w:rPr>
        <w:t>mOsm</w:t>
      </w:r>
      <w:proofErr w:type="spellEnd"/>
      <w:r w:rsidRPr="00953CD4">
        <w:rPr>
          <w:lang w:val="en-GB"/>
        </w:rPr>
        <w:t>) gassed with carbogen. They were stored for 30 min at 32 °C, cooled to room temperature (RT; ~24 °C) over a period of 30 min, and transferred to artificial cerebrospinal fluid (ACSF, RT) containing (in mM): 126 NaCl, 3 KCl, 1.25 NaH</w:t>
      </w:r>
      <w:r w:rsidRPr="00953CD4">
        <w:rPr>
          <w:vertAlign w:val="subscript"/>
          <w:lang w:val="en-GB"/>
        </w:rPr>
        <w:t>2</w:t>
      </w:r>
      <w:r w:rsidRPr="00953CD4">
        <w:rPr>
          <w:lang w:val="en-GB"/>
        </w:rPr>
        <w:t>PO</w:t>
      </w:r>
      <w:r w:rsidRPr="00953CD4">
        <w:rPr>
          <w:vertAlign w:val="subscript"/>
          <w:lang w:val="en-GB"/>
        </w:rPr>
        <w:t>4</w:t>
      </w:r>
      <w:r w:rsidRPr="00953CD4">
        <w:rPr>
          <w:lang w:val="en-GB"/>
        </w:rPr>
        <w:t>, 2 MgSO</w:t>
      </w:r>
      <w:r w:rsidRPr="00953CD4">
        <w:rPr>
          <w:vertAlign w:val="subscript"/>
          <w:lang w:val="en-GB"/>
        </w:rPr>
        <w:t>4</w:t>
      </w:r>
      <w:r w:rsidRPr="00953CD4">
        <w:rPr>
          <w:lang w:val="en-GB"/>
        </w:rPr>
        <w:t>, 2 CaCl</w:t>
      </w:r>
      <w:r w:rsidRPr="00953CD4">
        <w:rPr>
          <w:vertAlign w:val="subscript"/>
          <w:lang w:val="en-GB"/>
        </w:rPr>
        <w:t>2</w:t>
      </w:r>
      <w:r w:rsidRPr="00953CD4">
        <w:rPr>
          <w:lang w:val="en-GB"/>
        </w:rPr>
        <w:t>, 26 NaHCO</w:t>
      </w:r>
      <w:r w:rsidRPr="00953CD4">
        <w:rPr>
          <w:vertAlign w:val="subscript"/>
          <w:lang w:val="en-GB"/>
        </w:rPr>
        <w:t>3</w:t>
      </w:r>
      <w:r w:rsidRPr="00953CD4">
        <w:rPr>
          <w:lang w:val="en-GB"/>
        </w:rPr>
        <w:t xml:space="preserve"> and 10 glucose.</w:t>
      </w:r>
    </w:p>
    <w:p w:rsidR="00D4004D" w:rsidRPr="00953CD4" w:rsidRDefault="00D4004D" w:rsidP="00DB6EAC">
      <w:pPr>
        <w:pStyle w:val="Paragraph"/>
        <w:spacing w:before="0" w:line="360" w:lineRule="auto"/>
        <w:ind w:firstLine="0"/>
        <w:jc w:val="both"/>
        <w:rPr>
          <w:lang w:val="en-GB"/>
        </w:rPr>
      </w:pPr>
    </w:p>
    <w:p w:rsidR="003704F2" w:rsidRPr="00953CD4" w:rsidRDefault="003704F2" w:rsidP="00DB6EAC">
      <w:pPr>
        <w:pStyle w:val="Paragraph"/>
        <w:spacing w:before="0" w:line="360" w:lineRule="auto"/>
        <w:ind w:firstLine="0"/>
        <w:jc w:val="both"/>
        <w:rPr>
          <w:b/>
          <w:bCs/>
          <w:lang w:val="en-GB"/>
        </w:rPr>
      </w:pPr>
      <w:r w:rsidRPr="00953CD4">
        <w:rPr>
          <w:b/>
          <w:bCs/>
          <w:lang w:val="en-GB"/>
        </w:rPr>
        <w:t>Patch-clamp recordings</w:t>
      </w:r>
    </w:p>
    <w:p w:rsidR="003704F2" w:rsidRPr="005E6166" w:rsidRDefault="003704F2" w:rsidP="00DB6EAC">
      <w:pPr>
        <w:pStyle w:val="Paragraph"/>
        <w:spacing w:before="0" w:line="360" w:lineRule="auto"/>
        <w:ind w:firstLine="0"/>
        <w:jc w:val="both"/>
        <w:rPr>
          <w:color w:val="FF0000"/>
          <w:lang w:val="en-GB"/>
        </w:rPr>
      </w:pPr>
      <w:r w:rsidRPr="00953CD4">
        <w:rPr>
          <w:lang w:val="en-GB"/>
        </w:rPr>
        <w:t xml:space="preserve">Slices were viewed with infrared DIC-optics. Pax2-cells in lobule IV were identified by their expression of EGFP (using epifluorescence; </w:t>
      </w:r>
      <w:proofErr w:type="spellStart"/>
      <w:r w:rsidRPr="00953CD4">
        <w:rPr>
          <w:lang w:val="en-GB"/>
        </w:rPr>
        <w:t>Axioskop</w:t>
      </w:r>
      <w:proofErr w:type="spellEnd"/>
      <w:r w:rsidRPr="00953CD4">
        <w:rPr>
          <w:lang w:val="en-GB"/>
        </w:rPr>
        <w:t xml:space="preserve"> FS2, Zeiss, or DM 6000 CES, Leica microscopes) and their distinct morphology. Whereas stationary interneurons of the granule cell layer, which also express Pax2, are roundish with a diameter of about 12–15 µm, Pax2-cells impressed as slender cells with a </w:t>
      </w:r>
      <w:bookmarkStart w:id="4" w:name="_Hlk456964961"/>
      <w:r w:rsidRPr="00953CD4">
        <w:rPr>
          <w:lang w:val="en-GB"/>
        </w:rPr>
        <w:t xml:space="preserve">perikaryon </w:t>
      </w:r>
      <w:bookmarkEnd w:id="4"/>
      <w:r w:rsidRPr="00953CD4">
        <w:rPr>
          <w:lang w:val="en-GB"/>
        </w:rPr>
        <w:t>measuring some 12 </w:t>
      </w:r>
      <w:r w:rsidRPr="00953CD4">
        <w:rPr>
          <w:lang w:val="en-GB"/>
        </w:rPr>
        <w:sym w:font="Symbol" w:char="F0B4"/>
      </w:r>
      <w:r w:rsidRPr="00953CD4">
        <w:rPr>
          <w:lang w:val="en-GB"/>
        </w:rPr>
        <w:t xml:space="preserve"> 5 µm. They were typically oriented perpendicular relative to the Purkinje cell layer while in transit through the cerebellar </w:t>
      </w:r>
      <w:r w:rsidR="00404A4B" w:rsidRPr="00953CD4">
        <w:rPr>
          <w:lang w:val="en-GB"/>
        </w:rPr>
        <w:t>cortex. Lastly, we note that</w:t>
      </w:r>
      <w:r w:rsidRPr="00953CD4">
        <w:rPr>
          <w:lang w:val="en-GB"/>
        </w:rPr>
        <w:t xml:space="preserve"> mature interneurons of the granule cell layer, </w:t>
      </w:r>
      <w:r w:rsidR="00404A4B" w:rsidRPr="00953CD4">
        <w:rPr>
          <w:color w:val="FF0000"/>
          <w:lang w:val="en-GB"/>
        </w:rPr>
        <w:t>including</w:t>
      </w:r>
      <w:r w:rsidRPr="00953CD4">
        <w:rPr>
          <w:lang w:val="en-GB"/>
        </w:rPr>
        <w:t xml:space="preserve"> Golgi cells, showed a characteristic electrophysiological signature</w:t>
      </w:r>
      <w:r w:rsidR="00404A4B" w:rsidRPr="00953CD4">
        <w:rPr>
          <w:lang w:val="en-GB"/>
        </w:rPr>
        <w:t xml:space="preserve"> </w:t>
      </w:r>
      <w:r w:rsidR="00404A4B" w:rsidRPr="00953CD4">
        <w:rPr>
          <w:color w:val="FF0000"/>
          <w:lang w:val="en-GB"/>
        </w:rPr>
        <w:t>and were able to</w:t>
      </w:r>
      <w:r w:rsidR="00404A4B" w:rsidRPr="00953CD4">
        <w:rPr>
          <w:lang w:val="en-GB"/>
        </w:rPr>
        <w:t xml:space="preserve"> </w:t>
      </w:r>
      <w:r w:rsidRPr="00953CD4">
        <w:rPr>
          <w:lang w:val="en-GB"/>
        </w:rPr>
        <w:t xml:space="preserve">generate action potentials </w:t>
      </w:r>
      <w:r w:rsidR="00404A4B" w:rsidRPr="00953CD4">
        <w:rPr>
          <w:color w:val="FF0000"/>
          <w:lang w:val="en-GB"/>
        </w:rPr>
        <w:t>which</w:t>
      </w:r>
      <w:r w:rsidRPr="00953CD4">
        <w:rPr>
          <w:lang w:val="en-GB"/>
        </w:rPr>
        <w:t xml:space="preserve"> unequivocally distinguished them from Pax2-cells. Cells were recorded in the whole-cell mode. During recording, slices were continuously perfused with ACSF, if not stated otherwise. Patch pipettes (borosilicate capillaries) had resistances of 3–4.5 MΩ and were filled with (in mM): </w:t>
      </w:r>
      <w:bookmarkStart w:id="5" w:name="OLE_LINK2"/>
      <w:r w:rsidRPr="00953CD4">
        <w:rPr>
          <w:lang w:val="en-GB"/>
        </w:rPr>
        <w:t>130 KCl, 3 Na</w:t>
      </w:r>
      <w:r w:rsidRPr="00953CD4">
        <w:rPr>
          <w:vertAlign w:val="subscript"/>
          <w:lang w:val="en-GB"/>
        </w:rPr>
        <w:t>2</w:t>
      </w:r>
      <w:r w:rsidRPr="00953CD4">
        <w:rPr>
          <w:lang w:val="en-GB"/>
        </w:rPr>
        <w:t>-ATP, 2 MgCl</w:t>
      </w:r>
      <w:r w:rsidRPr="00953CD4">
        <w:rPr>
          <w:vertAlign w:val="subscript"/>
          <w:lang w:val="en-GB"/>
        </w:rPr>
        <w:t>2</w:t>
      </w:r>
      <w:r w:rsidRPr="00953CD4">
        <w:rPr>
          <w:lang w:val="en-GB"/>
        </w:rPr>
        <w:t>, 0.5 CaCl</w:t>
      </w:r>
      <w:r w:rsidRPr="00953CD4">
        <w:rPr>
          <w:vertAlign w:val="subscript"/>
          <w:lang w:val="en-GB"/>
        </w:rPr>
        <w:t>2</w:t>
      </w:r>
      <w:r w:rsidRPr="00953CD4">
        <w:rPr>
          <w:lang w:val="en-GB"/>
        </w:rPr>
        <w:t>, 5 BAPTA, 10 HEPES</w:t>
      </w:r>
      <w:bookmarkEnd w:id="5"/>
      <w:r w:rsidRPr="00953CD4">
        <w:rPr>
          <w:lang w:val="en-GB"/>
        </w:rPr>
        <w:t>; or 130 CsCl, 3 Na</w:t>
      </w:r>
      <w:r w:rsidRPr="00953CD4">
        <w:rPr>
          <w:vertAlign w:val="subscript"/>
          <w:lang w:val="en-GB"/>
        </w:rPr>
        <w:t>2</w:t>
      </w:r>
      <w:r w:rsidRPr="00953CD4">
        <w:rPr>
          <w:lang w:val="en-GB"/>
        </w:rPr>
        <w:t>-ATP, 2 MgCl</w:t>
      </w:r>
      <w:r w:rsidRPr="00953CD4">
        <w:rPr>
          <w:vertAlign w:val="subscript"/>
          <w:lang w:val="en-GB"/>
        </w:rPr>
        <w:t>2</w:t>
      </w:r>
      <w:r w:rsidRPr="00953CD4">
        <w:rPr>
          <w:lang w:val="en-GB"/>
        </w:rPr>
        <w:t>, 0.5 CaCl</w:t>
      </w:r>
      <w:r w:rsidRPr="00953CD4">
        <w:rPr>
          <w:vertAlign w:val="subscript"/>
          <w:lang w:val="en-GB"/>
        </w:rPr>
        <w:t>2</w:t>
      </w:r>
      <w:r w:rsidRPr="00953CD4">
        <w:rPr>
          <w:lang w:val="en-GB"/>
        </w:rPr>
        <w:t>, 5 BAPTA, 10 HEPES; or 125 K-gluconate, 2 Na</w:t>
      </w:r>
      <w:r w:rsidRPr="00953CD4">
        <w:rPr>
          <w:vertAlign w:val="subscript"/>
          <w:lang w:val="en-GB"/>
        </w:rPr>
        <w:t>2</w:t>
      </w:r>
      <w:r w:rsidRPr="00953CD4">
        <w:rPr>
          <w:lang w:val="en-GB"/>
        </w:rPr>
        <w:t>-ATP, 2 MgCl</w:t>
      </w:r>
      <w:r w:rsidRPr="00953CD4">
        <w:rPr>
          <w:vertAlign w:val="subscript"/>
          <w:lang w:val="en-GB"/>
        </w:rPr>
        <w:t>2</w:t>
      </w:r>
      <w:r w:rsidRPr="00953CD4">
        <w:rPr>
          <w:lang w:val="en-GB"/>
        </w:rPr>
        <w:t>, 0.5 EGTA, 10 HEPES, 20 KCl, 3 NaCl; or 125 Cs-gluconate, 2 Na</w:t>
      </w:r>
      <w:r w:rsidRPr="00953CD4">
        <w:rPr>
          <w:vertAlign w:val="subscript"/>
          <w:lang w:val="en-GB"/>
        </w:rPr>
        <w:t>2</w:t>
      </w:r>
      <w:r w:rsidRPr="00953CD4">
        <w:rPr>
          <w:lang w:val="en-GB"/>
        </w:rPr>
        <w:t>-ATP, 2 MgCl</w:t>
      </w:r>
      <w:r w:rsidRPr="00953CD4">
        <w:rPr>
          <w:vertAlign w:val="subscript"/>
          <w:lang w:val="en-GB"/>
        </w:rPr>
        <w:t>2</w:t>
      </w:r>
      <w:r w:rsidRPr="00953CD4">
        <w:rPr>
          <w:lang w:val="en-GB"/>
        </w:rPr>
        <w:t xml:space="preserve">, 0.5 EGTA, 10 HEPES, 20 CsCl, 3 NaCl (all solutions pH 7.25–7.3; liquid junction potentials corrected for gluconate solutions). EGFP-washout was used to confirm that recordings were actually obtained from Pax2-cells. To allow visualization of cells after EGFP-washout, internal solutions also contained 0.05% dextran-conjugated TRITC or 0.1% dextran-conjugated Texas Red (both MW 3000, Molecular Probes). Data were recorded with EPC 8, 9 or 800 amplifiers, filtered at 1–3 kHz, sampled at 0.1–30 kHz, and digitized with DAAD converters (ITC 16 or LIH 1600) controlled by TIDA software (HEKA </w:t>
      </w:r>
      <w:proofErr w:type="spellStart"/>
      <w:r w:rsidRPr="00953CD4">
        <w:rPr>
          <w:lang w:val="en-GB"/>
        </w:rPr>
        <w:t>Elektronik</w:t>
      </w:r>
      <w:proofErr w:type="spellEnd"/>
      <w:r w:rsidRPr="00953CD4">
        <w:rPr>
          <w:lang w:val="en-GB"/>
        </w:rPr>
        <w:t>). Test pulses were elicited between −160 and +70 mV (before and after adding TTX, 1 µM), subsequent to applying conditioning pre-pulses (to −110 and −10 mV) to remove current inactivation. AMPA/KA- and GABA</w:t>
      </w:r>
      <w:r w:rsidRPr="00953CD4">
        <w:rPr>
          <w:vertAlign w:val="subscript"/>
          <w:lang w:val="en-GB"/>
        </w:rPr>
        <w:t>A</w:t>
      </w:r>
      <w:r w:rsidRPr="00953CD4">
        <w:rPr>
          <w:lang w:val="en-GB"/>
        </w:rPr>
        <w:t xml:space="preserve">-receptors were </w:t>
      </w:r>
      <w:r w:rsidR="00CD5396" w:rsidRPr="00953CD4">
        <w:rPr>
          <w:lang w:val="en-GB"/>
        </w:rPr>
        <w:t>analysed</w:t>
      </w:r>
      <w:r w:rsidRPr="00953CD4">
        <w:rPr>
          <w:lang w:val="en-GB"/>
        </w:rPr>
        <w:t xml:space="preserve"> in solutions containing bicuculline (10 µM) or picrotoxin (50 µM) and NBQX (10–20 µM) or CNQX (10 µM), respectively, and 10 mM BaCl</w:t>
      </w:r>
      <w:r w:rsidRPr="00953CD4">
        <w:rPr>
          <w:vertAlign w:val="subscript"/>
          <w:lang w:val="en-GB"/>
        </w:rPr>
        <w:t>2</w:t>
      </w:r>
      <w:r w:rsidRPr="00953CD4">
        <w:rPr>
          <w:lang w:val="en-GB"/>
        </w:rPr>
        <w:t>, 4 mM 4-AP, 30 µM CdCl</w:t>
      </w:r>
      <w:r w:rsidRPr="00953CD4">
        <w:rPr>
          <w:vertAlign w:val="subscript"/>
          <w:lang w:val="en-GB"/>
        </w:rPr>
        <w:t>2</w:t>
      </w:r>
      <w:r w:rsidRPr="00953CD4">
        <w:rPr>
          <w:lang w:val="en-GB"/>
        </w:rPr>
        <w:t>, 1 µM TTX, 50 µM DL-APV or 20</w:t>
      </w:r>
      <w:r w:rsidRPr="00953CD4">
        <w:rPr>
          <w:lang w:val="en-GB"/>
        </w:rPr>
        <w:noBreakHyphen/>
        <w:t>25 µM D-APV, 135 mM NaCl, 5 mM KCl, 2 mM MgCl</w:t>
      </w:r>
      <w:r w:rsidRPr="00953CD4">
        <w:rPr>
          <w:vertAlign w:val="subscript"/>
          <w:lang w:val="en-GB"/>
        </w:rPr>
        <w:t>2</w:t>
      </w:r>
      <w:r w:rsidRPr="00953CD4">
        <w:rPr>
          <w:lang w:val="en-GB"/>
        </w:rPr>
        <w:t>, 2 mM CaCl</w:t>
      </w:r>
      <w:r w:rsidRPr="00953CD4">
        <w:rPr>
          <w:vertAlign w:val="subscript"/>
          <w:lang w:val="en-GB"/>
        </w:rPr>
        <w:t>2</w:t>
      </w:r>
      <w:r w:rsidRPr="00953CD4">
        <w:rPr>
          <w:lang w:val="en-GB"/>
        </w:rPr>
        <w:t>, 10 mM glucose, 10 mM HEPES (</w:t>
      </w:r>
      <w:r w:rsidR="005E46DA" w:rsidRPr="00953CD4">
        <w:rPr>
          <w:u w:color="0070C0"/>
          <w:lang w:val="en-GB"/>
        </w:rPr>
        <w:t>Fig</w:t>
      </w:r>
      <w:r w:rsidR="00270DFC" w:rsidRPr="00953CD4">
        <w:rPr>
          <w:u w:color="0070C0"/>
          <w:lang w:val="en-GB"/>
        </w:rPr>
        <w:t>s</w:t>
      </w:r>
      <w:r w:rsidR="002D3873" w:rsidRPr="00953CD4">
        <w:rPr>
          <w:u w:color="0070C0"/>
          <w:lang w:val="en-GB"/>
        </w:rPr>
        <w:t> </w:t>
      </w:r>
      <w:r w:rsidR="00C75F8A" w:rsidRPr="00953CD4">
        <w:rPr>
          <w:lang w:val="en-GB"/>
        </w:rPr>
        <w:t>3</w:t>
      </w:r>
      <w:r w:rsidR="006B7DC3" w:rsidRPr="00953CD4">
        <w:rPr>
          <w:lang w:val="en-GB"/>
        </w:rPr>
        <w:t>C</w:t>
      </w:r>
      <w:r w:rsidR="002D3873" w:rsidRPr="00953CD4">
        <w:rPr>
          <w:lang w:val="en-GB"/>
        </w:rPr>
        <w:t>,D</w:t>
      </w:r>
      <w:r w:rsidR="00270DFC" w:rsidRPr="00953CD4">
        <w:rPr>
          <w:lang w:val="en-GB"/>
        </w:rPr>
        <w:t>,</w:t>
      </w:r>
      <w:r w:rsidRPr="00953CD4">
        <w:rPr>
          <w:lang w:val="en-GB"/>
        </w:rPr>
        <w:t xml:space="preserve">S2). Agonists were bath-applied. Data were </w:t>
      </w:r>
      <w:r w:rsidR="00CD5396" w:rsidRPr="00953CD4">
        <w:rPr>
          <w:lang w:val="en-GB"/>
        </w:rPr>
        <w:t>analysed</w:t>
      </w:r>
      <w:r w:rsidRPr="00953CD4">
        <w:rPr>
          <w:lang w:val="en-GB"/>
        </w:rPr>
        <w:t xml:space="preserve"> with Igor Pro 6 (</w:t>
      </w:r>
      <w:proofErr w:type="spellStart"/>
      <w:r w:rsidRPr="00953CD4">
        <w:rPr>
          <w:lang w:val="en-GB"/>
        </w:rPr>
        <w:t>WaveMetrics</w:t>
      </w:r>
      <w:proofErr w:type="spellEnd"/>
      <w:r w:rsidRPr="00953CD4">
        <w:rPr>
          <w:lang w:val="en-GB"/>
        </w:rPr>
        <w:t xml:space="preserve"> Inc.) and </w:t>
      </w:r>
      <w:proofErr w:type="spellStart"/>
      <w:r w:rsidRPr="00953CD4">
        <w:rPr>
          <w:lang w:val="en-GB"/>
        </w:rPr>
        <w:t>MiniAnalysis</w:t>
      </w:r>
      <w:proofErr w:type="spellEnd"/>
      <w:r w:rsidRPr="00953CD4">
        <w:rPr>
          <w:lang w:val="en-GB"/>
        </w:rPr>
        <w:t xml:space="preserve"> 6 (</w:t>
      </w:r>
      <w:proofErr w:type="spellStart"/>
      <w:r w:rsidRPr="00953CD4">
        <w:rPr>
          <w:lang w:val="en-GB"/>
        </w:rPr>
        <w:t>Synaptosoft</w:t>
      </w:r>
      <w:proofErr w:type="spellEnd"/>
      <w:r w:rsidRPr="00953CD4">
        <w:rPr>
          <w:lang w:val="en-GB"/>
        </w:rPr>
        <w:t xml:space="preserve"> Inc.) or </w:t>
      </w:r>
      <w:proofErr w:type="spellStart"/>
      <w:r w:rsidRPr="00953CD4">
        <w:rPr>
          <w:lang w:val="en-GB"/>
        </w:rPr>
        <w:t>PClamp</w:t>
      </w:r>
      <w:proofErr w:type="spellEnd"/>
      <w:r w:rsidRPr="00953CD4">
        <w:rPr>
          <w:lang w:val="en-GB"/>
        </w:rPr>
        <w:t> 10 (Molecular Devices Corporation). PSCs with amplitudes less than twice the noise level were excluded. All electrophysiological recordings were obtained at RT.</w:t>
      </w:r>
      <w:r w:rsidR="00586026" w:rsidRPr="00953CD4">
        <w:rPr>
          <w:lang w:val="en-GB"/>
        </w:rPr>
        <w:t xml:space="preserve"> </w:t>
      </w:r>
      <w:r w:rsidR="00586026" w:rsidRPr="00953CD4">
        <w:rPr>
          <w:color w:val="FF0000"/>
          <w:lang w:val="en-GB"/>
        </w:rPr>
        <w:t xml:space="preserve">Slices for these analyses were obtained from a total of </w:t>
      </w:r>
      <w:r w:rsidR="00FF5F20" w:rsidRPr="00953CD4">
        <w:rPr>
          <w:color w:val="FF0000"/>
          <w:lang w:val="en-GB"/>
        </w:rPr>
        <w:t>~100</w:t>
      </w:r>
      <w:r w:rsidR="00586026" w:rsidRPr="00953CD4">
        <w:rPr>
          <w:color w:val="FF0000"/>
          <w:lang w:val="en-GB"/>
        </w:rPr>
        <w:t xml:space="preserve"> animals, and all measurements reported are based on values obtained from at least three slices obtained from animals taken from distinct litters</w:t>
      </w:r>
      <w:r w:rsidR="008F62E5" w:rsidRPr="00953CD4">
        <w:rPr>
          <w:color w:val="0070C0"/>
          <w:lang w:val="en-GB"/>
        </w:rPr>
        <w:t>.</w:t>
      </w:r>
      <w:r w:rsidR="00405466" w:rsidRPr="00953CD4">
        <w:rPr>
          <w:color w:val="0070C0"/>
          <w:lang w:val="en-GB"/>
        </w:rPr>
        <w:t xml:space="preserve"> </w:t>
      </w:r>
      <w:r w:rsidR="00586026" w:rsidRPr="00953CD4">
        <w:rPr>
          <w:color w:val="FF0000"/>
          <w:lang w:val="en-GB"/>
        </w:rPr>
        <w:t xml:space="preserve">More typically, data were obtained from </w:t>
      </w:r>
      <w:r w:rsidR="00FF5F20" w:rsidRPr="00953CD4">
        <w:rPr>
          <w:color w:val="FF0000"/>
          <w:lang w:val="en-GB"/>
        </w:rPr>
        <w:t>8-12</w:t>
      </w:r>
      <w:r w:rsidR="00586026" w:rsidRPr="00953CD4">
        <w:rPr>
          <w:color w:val="FF0000"/>
          <w:lang w:val="en-GB"/>
        </w:rPr>
        <w:t xml:space="preserve"> slices from 5-7 animals from distinct litters</w:t>
      </w:r>
      <w:r w:rsidR="008F62E5" w:rsidRPr="00953CD4">
        <w:rPr>
          <w:color w:val="FF0000"/>
          <w:lang w:val="en-GB"/>
        </w:rPr>
        <w:t xml:space="preserve">. All data recorded were used for </w:t>
      </w:r>
      <w:r w:rsidR="008F62E5" w:rsidRPr="005E6166">
        <w:rPr>
          <w:color w:val="FF0000"/>
          <w:lang w:val="en-GB"/>
        </w:rPr>
        <w:t>analysis.</w:t>
      </w:r>
    </w:p>
    <w:p w:rsidR="00D4004D" w:rsidRPr="005E6166" w:rsidRDefault="00D4004D" w:rsidP="00DB6EAC">
      <w:pPr>
        <w:pStyle w:val="Paragraph"/>
        <w:spacing w:before="0" w:line="360" w:lineRule="auto"/>
        <w:ind w:firstLine="0"/>
        <w:jc w:val="both"/>
        <w:rPr>
          <w:color w:val="FF0000"/>
          <w:lang w:val="en-GB"/>
        </w:rPr>
      </w:pPr>
    </w:p>
    <w:p w:rsidR="003704F2" w:rsidRPr="00953CD4" w:rsidRDefault="003704F2" w:rsidP="00DB6EAC">
      <w:pPr>
        <w:pStyle w:val="Paragraph"/>
        <w:spacing w:before="0" w:line="360" w:lineRule="auto"/>
        <w:ind w:firstLine="0"/>
        <w:jc w:val="both"/>
        <w:rPr>
          <w:b/>
          <w:bCs/>
          <w:lang w:val="en-GB"/>
        </w:rPr>
      </w:pPr>
      <w:r w:rsidRPr="00953CD4">
        <w:rPr>
          <w:b/>
          <w:bCs/>
          <w:lang w:val="en-GB"/>
        </w:rPr>
        <w:t>Imaging</w:t>
      </w:r>
    </w:p>
    <w:p w:rsidR="003704F2" w:rsidRPr="00953CD4" w:rsidRDefault="003704F2" w:rsidP="00DB6EAC">
      <w:pPr>
        <w:pStyle w:val="Paragraph"/>
        <w:spacing w:before="0" w:line="360" w:lineRule="auto"/>
        <w:ind w:firstLine="0"/>
        <w:jc w:val="both"/>
        <w:rPr>
          <w:color w:val="FF0000"/>
          <w:lang w:val="en-GB"/>
        </w:rPr>
      </w:pPr>
      <w:r w:rsidRPr="00953CD4">
        <w:rPr>
          <w:lang w:val="en-GB"/>
        </w:rPr>
        <w:t xml:space="preserve">Migration of </w:t>
      </w:r>
      <w:bookmarkStart w:id="6" w:name="_Hlk308695659"/>
      <w:r w:rsidRPr="00953CD4">
        <w:rPr>
          <w:lang w:val="en-GB"/>
        </w:rPr>
        <w:t xml:space="preserve">Pax2-cells was </w:t>
      </w:r>
      <w:bookmarkEnd w:id="6"/>
      <w:r w:rsidRPr="00953CD4">
        <w:rPr>
          <w:lang w:val="en-GB"/>
        </w:rPr>
        <w:t xml:space="preserve">observed in lobules IV and V of </w:t>
      </w:r>
      <w:r w:rsidR="00404A4B" w:rsidRPr="00953CD4">
        <w:rPr>
          <w:lang w:val="en-GB"/>
        </w:rPr>
        <w:t xml:space="preserve">a </w:t>
      </w:r>
      <w:r w:rsidR="00404A4B" w:rsidRPr="00953CD4">
        <w:rPr>
          <w:color w:val="FF0000"/>
          <w:lang w:val="en-GB"/>
        </w:rPr>
        <w:t xml:space="preserve">total of </w:t>
      </w:r>
      <w:r w:rsidR="006F349D" w:rsidRPr="00953CD4">
        <w:rPr>
          <w:color w:val="FF0000"/>
          <w:lang w:val="en-GB"/>
        </w:rPr>
        <w:t>14</w:t>
      </w:r>
      <w:r w:rsidR="00404A4B" w:rsidRPr="00953CD4">
        <w:rPr>
          <w:lang w:val="en-GB"/>
        </w:rPr>
        <w:t xml:space="preserve"> </w:t>
      </w:r>
      <w:r w:rsidRPr="00953CD4">
        <w:rPr>
          <w:lang w:val="en-GB"/>
        </w:rPr>
        <w:t>acute slices (300 µm)</w:t>
      </w:r>
      <w:r w:rsidR="00404A4B" w:rsidRPr="00953CD4">
        <w:rPr>
          <w:lang w:val="en-GB"/>
        </w:rPr>
        <w:t xml:space="preserve"> </w:t>
      </w:r>
      <w:r w:rsidR="006F349D" w:rsidRPr="00953CD4">
        <w:rPr>
          <w:color w:val="FF0000"/>
          <w:lang w:val="en-GB"/>
        </w:rPr>
        <w:t>prepared from 14</w:t>
      </w:r>
      <w:r w:rsidR="00404A4B" w:rsidRPr="00953CD4">
        <w:rPr>
          <w:color w:val="FF0000"/>
          <w:lang w:val="en-GB"/>
        </w:rPr>
        <w:t xml:space="preserve"> animals from distinct litters</w:t>
      </w:r>
      <w:r w:rsidR="006F349D" w:rsidRPr="00953CD4">
        <w:rPr>
          <w:color w:val="FF0000"/>
          <w:lang w:val="en-GB"/>
        </w:rPr>
        <w:t xml:space="preserve">. </w:t>
      </w:r>
      <w:r w:rsidR="00404A4B" w:rsidRPr="00953CD4">
        <w:rPr>
          <w:color w:val="FF0000"/>
          <w:lang w:val="en-GB"/>
        </w:rPr>
        <w:t>Slices were</w:t>
      </w:r>
      <w:r w:rsidRPr="00953CD4">
        <w:rPr>
          <w:lang w:val="en-GB"/>
        </w:rPr>
        <w:t xml:space="preserve"> kept in modified</w:t>
      </w:r>
      <w:r w:rsidR="006F349D" w:rsidRPr="00953CD4">
        <w:rPr>
          <w:lang w:val="en-GB"/>
        </w:rPr>
        <w:t xml:space="preserve">, </w:t>
      </w:r>
      <w:r w:rsidR="006F349D" w:rsidRPr="00953CD4">
        <w:rPr>
          <w:color w:val="FF0000"/>
          <w:lang w:val="en-GB"/>
        </w:rPr>
        <w:t>35°C-warm</w:t>
      </w:r>
      <w:r w:rsidR="006F349D" w:rsidRPr="00953CD4">
        <w:rPr>
          <w:lang w:val="en-GB"/>
        </w:rPr>
        <w:t xml:space="preserve"> </w:t>
      </w:r>
      <w:r w:rsidRPr="00953CD4">
        <w:rPr>
          <w:lang w:val="en-GB"/>
        </w:rPr>
        <w:t>ACSF containing (in mM): 132 NaCl, 3 KCl, 1.25 NaH</w:t>
      </w:r>
      <w:r w:rsidRPr="00953CD4">
        <w:rPr>
          <w:vertAlign w:val="subscript"/>
          <w:lang w:val="en-GB"/>
        </w:rPr>
        <w:t>2</w:t>
      </w:r>
      <w:r w:rsidRPr="00953CD4">
        <w:rPr>
          <w:lang w:val="en-GB"/>
        </w:rPr>
        <w:t>PO</w:t>
      </w:r>
      <w:r w:rsidRPr="00953CD4">
        <w:rPr>
          <w:vertAlign w:val="subscript"/>
          <w:lang w:val="en-GB"/>
        </w:rPr>
        <w:t>4</w:t>
      </w:r>
      <w:r w:rsidRPr="00953CD4">
        <w:rPr>
          <w:lang w:val="en-GB"/>
        </w:rPr>
        <w:t>, 2 MgCl</w:t>
      </w:r>
      <w:r w:rsidRPr="00953CD4">
        <w:rPr>
          <w:vertAlign w:val="subscript"/>
          <w:lang w:val="en-GB"/>
        </w:rPr>
        <w:t>2</w:t>
      </w:r>
      <w:r w:rsidRPr="00953CD4">
        <w:rPr>
          <w:lang w:val="en-GB"/>
        </w:rPr>
        <w:t>, 2 CaCl</w:t>
      </w:r>
      <w:r w:rsidRPr="00953CD4">
        <w:rPr>
          <w:vertAlign w:val="subscript"/>
          <w:lang w:val="en-GB"/>
        </w:rPr>
        <w:t>2</w:t>
      </w:r>
      <w:r w:rsidRPr="00953CD4">
        <w:rPr>
          <w:lang w:val="en-GB"/>
        </w:rPr>
        <w:t>, 20 NaHCO</w:t>
      </w:r>
      <w:r w:rsidRPr="00953CD4">
        <w:rPr>
          <w:vertAlign w:val="subscript"/>
          <w:lang w:val="en-GB"/>
        </w:rPr>
        <w:t>3</w:t>
      </w:r>
      <w:r w:rsidRPr="00953CD4">
        <w:rPr>
          <w:lang w:val="en-GB"/>
        </w:rPr>
        <w:t xml:space="preserve">, </w:t>
      </w:r>
      <w:r w:rsidR="006F349D" w:rsidRPr="00953CD4">
        <w:rPr>
          <w:color w:val="FF0000"/>
          <w:lang w:val="en-GB"/>
        </w:rPr>
        <w:t xml:space="preserve">and </w:t>
      </w:r>
      <w:proofErr w:type="gramStart"/>
      <w:r w:rsidRPr="00953CD4">
        <w:rPr>
          <w:lang w:val="en-GB"/>
        </w:rPr>
        <w:t>10 glucose</w:t>
      </w:r>
      <w:proofErr w:type="gramEnd"/>
      <w:r w:rsidRPr="00953CD4">
        <w:rPr>
          <w:lang w:val="en-GB"/>
        </w:rPr>
        <w:t>. We blocked pre-synaptic release by adding either TeNT (100 µg/ml</w:t>
      </w:r>
      <w:r w:rsidR="00445126" w:rsidRPr="00953CD4">
        <w:rPr>
          <w:lang w:val="en-GB"/>
        </w:rPr>
        <w:t xml:space="preserve">; </w:t>
      </w:r>
      <w:r w:rsidR="00445126" w:rsidRPr="00953CD4">
        <w:rPr>
          <w:color w:val="FF0000"/>
          <w:lang w:val="en-GB"/>
        </w:rPr>
        <w:t>3 slices</w:t>
      </w:r>
      <w:r w:rsidRPr="00953CD4">
        <w:rPr>
          <w:lang w:val="en-GB"/>
        </w:rPr>
        <w:t>) or Co</w:t>
      </w:r>
      <w:r w:rsidRPr="00953CD4">
        <w:rPr>
          <w:vertAlign w:val="superscript"/>
          <w:lang w:val="en-GB"/>
        </w:rPr>
        <w:t>2+</w:t>
      </w:r>
      <w:r w:rsidRPr="00953CD4">
        <w:rPr>
          <w:lang w:val="en-GB"/>
        </w:rPr>
        <w:t xml:space="preserve"> (2 mM</w:t>
      </w:r>
      <w:r w:rsidR="00445126" w:rsidRPr="00953CD4">
        <w:rPr>
          <w:lang w:val="en-GB"/>
        </w:rPr>
        <w:t xml:space="preserve">; </w:t>
      </w:r>
      <w:r w:rsidR="00445126" w:rsidRPr="00953CD4">
        <w:rPr>
          <w:color w:val="FF0000"/>
          <w:lang w:val="en-GB"/>
        </w:rPr>
        <w:t>3 slices</w:t>
      </w:r>
      <w:r w:rsidRPr="00953CD4">
        <w:rPr>
          <w:lang w:val="en-GB"/>
        </w:rPr>
        <w:t xml:space="preserve">) to ACSF. </w:t>
      </w:r>
      <w:r w:rsidR="00E07AB4" w:rsidRPr="00953CD4">
        <w:rPr>
          <w:color w:val="FF0000"/>
          <w:lang w:val="en-GB"/>
        </w:rPr>
        <w:t xml:space="preserve">One </w:t>
      </w:r>
      <w:r w:rsidR="00445126" w:rsidRPr="00953CD4">
        <w:rPr>
          <w:color w:val="FF0000"/>
          <w:lang w:val="en-GB"/>
        </w:rPr>
        <w:t>slic</w:t>
      </w:r>
      <w:r w:rsidR="00E07AB4" w:rsidRPr="00953CD4">
        <w:rPr>
          <w:color w:val="FF0000"/>
          <w:lang w:val="en-GB"/>
        </w:rPr>
        <w:t>e</w:t>
      </w:r>
      <w:r w:rsidR="00445126" w:rsidRPr="00953CD4">
        <w:rPr>
          <w:color w:val="FF0000"/>
          <w:lang w:val="en-GB"/>
        </w:rPr>
        <w:t xml:space="preserve"> w</w:t>
      </w:r>
      <w:r w:rsidR="00E07AB4" w:rsidRPr="00953CD4">
        <w:rPr>
          <w:color w:val="FF0000"/>
          <w:lang w:val="en-GB"/>
        </w:rPr>
        <w:t>as</w:t>
      </w:r>
      <w:r w:rsidR="00445126" w:rsidRPr="00953CD4">
        <w:rPr>
          <w:color w:val="FF0000"/>
          <w:lang w:val="en-GB"/>
        </w:rPr>
        <w:t xml:space="preserve"> used for sham incubation</w:t>
      </w:r>
      <w:r w:rsidR="00E07AB4" w:rsidRPr="00953CD4">
        <w:rPr>
          <w:color w:val="FF0000"/>
          <w:lang w:val="en-GB"/>
        </w:rPr>
        <w:t>, and one for</w:t>
      </w:r>
      <w:r w:rsidR="00445126" w:rsidRPr="00953CD4">
        <w:rPr>
          <w:color w:val="FF0000"/>
          <w:lang w:val="en-GB"/>
        </w:rPr>
        <w:t xml:space="preserve"> long-term observation</w:t>
      </w:r>
      <w:r w:rsidR="00E07AB4" w:rsidRPr="00953CD4">
        <w:rPr>
          <w:color w:val="FF0000"/>
          <w:lang w:val="en-GB"/>
        </w:rPr>
        <w:t>s</w:t>
      </w:r>
      <w:r w:rsidR="00445126" w:rsidRPr="00953CD4">
        <w:rPr>
          <w:color w:val="FF0000"/>
          <w:lang w:val="en-GB"/>
        </w:rPr>
        <w:t xml:space="preserve"> (up to 4 h) to check for run-down of our preparation.</w:t>
      </w:r>
      <w:r w:rsidR="00445126" w:rsidRPr="00953CD4">
        <w:rPr>
          <w:lang w:val="en-GB"/>
        </w:rPr>
        <w:t xml:space="preserve"> </w:t>
      </w:r>
      <w:r w:rsidRPr="00953CD4">
        <w:rPr>
          <w:lang w:val="en-GB"/>
        </w:rPr>
        <w:t>To block post-synaptic receptors, we combined antagonists against ionotropic glutamate receptors of the AMPA/kainate- (NBQX, 20 µM) and NMDA subtypes (D-APV, 25 µM), metabotropic glutamate receptors (group I-III: LY341495, 5 µM; mGluR5: MPEP, 10 µM; mGluR1: 3-MATIDA, 40 µM), ionotropic GABA</w:t>
      </w:r>
      <w:r w:rsidRPr="00953CD4">
        <w:rPr>
          <w:vertAlign w:val="subscript"/>
          <w:lang w:val="en-GB"/>
        </w:rPr>
        <w:t>A</w:t>
      </w:r>
      <w:r w:rsidRPr="00953CD4">
        <w:rPr>
          <w:lang w:val="en-GB"/>
        </w:rPr>
        <w:t xml:space="preserve"> receptors (</w:t>
      </w:r>
      <w:proofErr w:type="spellStart"/>
      <w:r w:rsidRPr="00953CD4">
        <w:rPr>
          <w:lang w:val="en-GB"/>
        </w:rPr>
        <w:t>Gabazine</w:t>
      </w:r>
      <w:proofErr w:type="spellEnd"/>
      <w:r w:rsidRPr="00953CD4">
        <w:rPr>
          <w:lang w:val="en-GB"/>
        </w:rPr>
        <w:t>, 20 µM), metabotropic GABA</w:t>
      </w:r>
      <w:r w:rsidRPr="00953CD4">
        <w:rPr>
          <w:vertAlign w:val="subscript"/>
          <w:lang w:val="en-GB"/>
        </w:rPr>
        <w:t>B</w:t>
      </w:r>
      <w:r w:rsidRPr="00953CD4">
        <w:rPr>
          <w:lang w:val="en-GB"/>
        </w:rPr>
        <w:t xml:space="preserve"> receptors (CGP55845, 4 µM), ionotropic purinergic receptors (P2X</w:t>
      </w:r>
      <w:r w:rsidRPr="00953CD4">
        <w:rPr>
          <w:vertAlign w:val="subscript"/>
          <w:lang w:val="en-GB"/>
        </w:rPr>
        <w:t>1-6</w:t>
      </w:r>
      <w:r w:rsidRPr="00953CD4">
        <w:rPr>
          <w:lang w:val="en-GB"/>
        </w:rPr>
        <w:t>: PPADS, 200 µM), metabotropic purinergic receptors (P2Y</w:t>
      </w:r>
      <w:r w:rsidRPr="00953CD4">
        <w:rPr>
          <w:vertAlign w:val="subscript"/>
          <w:lang w:val="en-GB"/>
        </w:rPr>
        <w:t>1-12</w:t>
      </w:r>
      <w:r w:rsidRPr="00953CD4">
        <w:rPr>
          <w:lang w:val="en-GB"/>
        </w:rPr>
        <w:t xml:space="preserve">: </w:t>
      </w:r>
      <w:proofErr w:type="spellStart"/>
      <w:r w:rsidRPr="00953CD4">
        <w:rPr>
          <w:lang w:val="en-GB"/>
        </w:rPr>
        <w:t>Suramin</w:t>
      </w:r>
      <w:proofErr w:type="spellEnd"/>
      <w:r w:rsidRPr="00953CD4">
        <w:rPr>
          <w:lang w:val="en-GB"/>
        </w:rPr>
        <w:t>, 100 µM; P2Y</w:t>
      </w:r>
      <w:r w:rsidRPr="00953CD4">
        <w:rPr>
          <w:vertAlign w:val="subscript"/>
          <w:lang w:val="en-GB"/>
        </w:rPr>
        <w:t>1,2,4,6,,11,12</w:t>
      </w:r>
      <w:r w:rsidRPr="00953CD4">
        <w:rPr>
          <w:lang w:val="en-GB"/>
        </w:rPr>
        <w:t xml:space="preserve">: MRS2279, 0.5 µM), </w:t>
      </w:r>
      <w:bookmarkStart w:id="7" w:name="_Hlk454989001"/>
      <w:r w:rsidRPr="00953CD4">
        <w:rPr>
          <w:lang w:val="en-GB"/>
        </w:rPr>
        <w:t xml:space="preserve">cytokine receptors including </w:t>
      </w:r>
      <w:proofErr w:type="spellStart"/>
      <w:r w:rsidRPr="00953CD4">
        <w:rPr>
          <w:lang w:val="en-GB"/>
        </w:rPr>
        <w:t>Trk</w:t>
      </w:r>
      <w:proofErr w:type="spellEnd"/>
      <w:r w:rsidRPr="00953CD4">
        <w:rPr>
          <w:lang w:val="en-GB"/>
        </w:rPr>
        <w:t> A/B/C, p75 and others</w:t>
      </w:r>
      <w:bookmarkEnd w:id="7"/>
      <w:r w:rsidRPr="00953CD4">
        <w:rPr>
          <w:lang w:val="en-GB"/>
        </w:rPr>
        <w:t xml:space="preserve"> (NGF inhibitor: Ro 08-2750, 5 µM; pan-</w:t>
      </w:r>
      <w:proofErr w:type="spellStart"/>
      <w:r w:rsidRPr="00953CD4">
        <w:rPr>
          <w:lang w:val="en-GB"/>
        </w:rPr>
        <w:t>Trk</w:t>
      </w:r>
      <w:proofErr w:type="spellEnd"/>
      <w:r w:rsidRPr="00953CD4">
        <w:rPr>
          <w:lang w:val="en-GB"/>
        </w:rPr>
        <w:t xml:space="preserve"> inhibitor: GNF5837, 0.5 µM; JAK2, FLT3 and </w:t>
      </w:r>
      <w:proofErr w:type="spellStart"/>
      <w:r w:rsidRPr="00953CD4">
        <w:rPr>
          <w:lang w:val="en-GB"/>
        </w:rPr>
        <w:t>TrkA</w:t>
      </w:r>
      <w:proofErr w:type="spellEnd"/>
      <w:r w:rsidRPr="00953CD4">
        <w:rPr>
          <w:lang w:val="en-GB"/>
        </w:rPr>
        <w:t xml:space="preserve"> inhibitor: </w:t>
      </w:r>
      <w:proofErr w:type="spellStart"/>
      <w:r w:rsidRPr="00953CD4">
        <w:rPr>
          <w:lang w:val="en-GB"/>
        </w:rPr>
        <w:t>Lestaurtinib</w:t>
      </w:r>
      <w:proofErr w:type="spellEnd"/>
      <w:r w:rsidRPr="00953CD4">
        <w:rPr>
          <w:lang w:val="en-GB"/>
        </w:rPr>
        <w:t>, 0.5 µM).</w:t>
      </w:r>
      <w:r w:rsidR="00445126" w:rsidRPr="00953CD4">
        <w:rPr>
          <w:lang w:val="en-GB"/>
        </w:rPr>
        <w:t xml:space="preserve"> </w:t>
      </w:r>
      <w:r w:rsidR="00445126" w:rsidRPr="00953CD4">
        <w:rPr>
          <w:color w:val="FF0000"/>
          <w:lang w:val="en-GB"/>
        </w:rPr>
        <w:t xml:space="preserve">For these pharmacological studies, we </w:t>
      </w:r>
      <w:r w:rsidR="00CD5396" w:rsidRPr="00953CD4">
        <w:rPr>
          <w:color w:val="FF0000"/>
          <w:lang w:val="en-GB"/>
        </w:rPr>
        <w:t>analysed</w:t>
      </w:r>
      <w:r w:rsidR="006F349D" w:rsidRPr="00953CD4">
        <w:rPr>
          <w:color w:val="FF0000"/>
          <w:lang w:val="en-GB"/>
        </w:rPr>
        <w:t xml:space="preserve"> cells from a total of 6 slices from 6 animals from distinct litters.</w:t>
      </w:r>
    </w:p>
    <w:p w:rsidR="003704F2" w:rsidRPr="00953CD4" w:rsidRDefault="003704F2" w:rsidP="00857236">
      <w:pPr>
        <w:pStyle w:val="Paragraph"/>
        <w:spacing w:before="0" w:line="360" w:lineRule="auto"/>
        <w:ind w:firstLine="708"/>
        <w:jc w:val="both"/>
        <w:rPr>
          <w:lang w:val="en-GB"/>
        </w:rPr>
      </w:pPr>
      <w:r w:rsidRPr="00953CD4">
        <w:rPr>
          <w:lang w:val="en-GB"/>
        </w:rPr>
        <w:t xml:space="preserve">Time-lapse recordings (TLR) were done either in </w:t>
      </w:r>
      <w:proofErr w:type="spellStart"/>
      <w:r w:rsidRPr="00953CD4">
        <w:rPr>
          <w:lang w:val="en-GB"/>
        </w:rPr>
        <w:t>x</w:t>
      </w:r>
      <w:proofErr w:type="gramStart"/>
      <w:r w:rsidRPr="00953CD4">
        <w:rPr>
          <w:lang w:val="en-GB"/>
        </w:rPr>
        <w:t>,y,t</w:t>
      </w:r>
      <w:proofErr w:type="spellEnd"/>
      <w:proofErr w:type="gramEnd"/>
      <w:r w:rsidRPr="00953CD4">
        <w:rPr>
          <w:lang w:val="en-GB"/>
        </w:rPr>
        <w:t xml:space="preserve"> (3 D) with a confocal LSM5-Pascal (Zeiss; Argon laser (</w:t>
      </w:r>
      <w:proofErr w:type="spellStart"/>
      <w:r w:rsidRPr="00953CD4">
        <w:rPr>
          <w:lang w:val="en-GB"/>
        </w:rPr>
        <w:t>Lasos</w:t>
      </w:r>
      <w:proofErr w:type="spellEnd"/>
      <w:r w:rsidRPr="00953CD4">
        <w:rPr>
          <w:lang w:val="en-GB"/>
        </w:rPr>
        <w:t xml:space="preserve">), excitation at 488 nm), or in </w:t>
      </w:r>
      <w:proofErr w:type="spellStart"/>
      <w:r w:rsidRPr="00953CD4">
        <w:rPr>
          <w:lang w:val="en-GB"/>
        </w:rPr>
        <w:t>x,y,z,t</w:t>
      </w:r>
      <w:proofErr w:type="spellEnd"/>
      <w:r w:rsidRPr="00953CD4">
        <w:rPr>
          <w:lang w:val="en-GB"/>
        </w:rPr>
        <w:t xml:space="preserve"> (4 D) with an LSM TCS-SP5 (Leica) and two-photon excitation (pulsed IR laser, excitation at 980 nm; </w:t>
      </w:r>
      <w:proofErr w:type="spellStart"/>
      <w:r w:rsidRPr="00953CD4">
        <w:rPr>
          <w:lang w:val="en-GB"/>
        </w:rPr>
        <w:t>MaiTai</w:t>
      </w:r>
      <w:proofErr w:type="spellEnd"/>
      <w:r w:rsidRPr="00953CD4">
        <w:rPr>
          <w:lang w:val="en-GB"/>
        </w:rPr>
        <w:t xml:space="preserve"> BB, Newport/Spectra Physics). For 3 D TLR, images (217 </w:t>
      </w:r>
      <w:r w:rsidRPr="00953CD4">
        <w:rPr>
          <w:lang w:val="en-GB"/>
        </w:rPr>
        <w:sym w:font="Symbol" w:char="F0B4"/>
      </w:r>
      <w:r w:rsidRPr="00953CD4">
        <w:rPr>
          <w:lang w:val="en-GB"/>
        </w:rPr>
        <w:t> 217 µm</w:t>
      </w:r>
      <w:r w:rsidRPr="00953CD4">
        <w:rPr>
          <w:vertAlign w:val="superscript"/>
          <w:lang w:val="en-GB"/>
        </w:rPr>
        <w:t>2</w:t>
      </w:r>
      <w:r w:rsidRPr="00953CD4">
        <w:rPr>
          <w:lang w:val="en-GB"/>
        </w:rPr>
        <w:t>) were taken every 10 s for up to 4.5 h from an individual Pax2-cell, which was manually kept in the focal plane. In 4 D TLR, volumes of 456 </w:t>
      </w:r>
      <w:r w:rsidRPr="00953CD4">
        <w:rPr>
          <w:lang w:val="en-GB"/>
        </w:rPr>
        <w:sym w:font="Symbol" w:char="F0B4"/>
      </w:r>
      <w:r w:rsidRPr="00953CD4">
        <w:rPr>
          <w:lang w:val="en-GB"/>
        </w:rPr>
        <w:t> 456 </w:t>
      </w:r>
      <w:r w:rsidRPr="00953CD4">
        <w:rPr>
          <w:lang w:val="en-GB"/>
        </w:rPr>
        <w:sym w:font="Symbol" w:char="F0B4"/>
      </w:r>
      <w:r w:rsidRPr="00953CD4">
        <w:rPr>
          <w:lang w:val="en-GB"/>
        </w:rPr>
        <w:t> 30 µm</w:t>
      </w:r>
      <w:r w:rsidRPr="00953CD4">
        <w:rPr>
          <w:vertAlign w:val="superscript"/>
          <w:lang w:val="en-GB"/>
        </w:rPr>
        <w:t>3</w:t>
      </w:r>
      <w:r w:rsidRPr="00953CD4">
        <w:rPr>
          <w:lang w:val="en-GB"/>
        </w:rPr>
        <w:t xml:space="preserve"> were imaged every 42 s up to 4 h. If the z-drift was &gt; 4 µm, z-settings were re-adjusted. Offline xyz-drift-correction was based on the stationary Golgi-cells. For quantitative analysis of Pax2-cell migration, centres of mass calculated from isosurfaces were tracked over time (</w:t>
      </w:r>
      <w:proofErr w:type="spellStart"/>
      <w:r w:rsidRPr="00953CD4">
        <w:rPr>
          <w:lang w:val="en-GB"/>
        </w:rPr>
        <w:t>Imaris</w:t>
      </w:r>
      <w:proofErr w:type="spellEnd"/>
      <w:r w:rsidRPr="00953CD4">
        <w:rPr>
          <w:lang w:val="en-GB"/>
        </w:rPr>
        <w:t xml:space="preserve"> 7.5.1, </w:t>
      </w:r>
      <w:proofErr w:type="spellStart"/>
      <w:r w:rsidRPr="00953CD4">
        <w:rPr>
          <w:lang w:val="en-GB"/>
        </w:rPr>
        <w:t>Bitplane</w:t>
      </w:r>
      <w:proofErr w:type="spellEnd"/>
      <w:r w:rsidRPr="00953CD4">
        <w:rPr>
          <w:lang w:val="en-GB"/>
        </w:rPr>
        <w:t>). Only cells that were visible during at least 80% of the observation time were included. Speed was calculated from the distance the cells travelled between two successive observation points. Displacement represents the straight line distance between start- and end-point of a cell’s trajectory, and directionality is the ratio of displacement and length of the entire trajectory.</w:t>
      </w:r>
    </w:p>
    <w:p w:rsidR="003704F2" w:rsidRPr="00953CD4" w:rsidRDefault="003704F2" w:rsidP="00857236">
      <w:pPr>
        <w:pStyle w:val="Default"/>
        <w:spacing w:line="360" w:lineRule="auto"/>
        <w:ind w:firstLine="708"/>
        <w:jc w:val="both"/>
        <w:rPr>
          <w:color w:val="auto"/>
          <w:lang w:val="en-GB"/>
        </w:rPr>
      </w:pPr>
      <w:r w:rsidRPr="00953CD4">
        <w:rPr>
          <w:color w:val="auto"/>
          <w:lang w:val="en-GB"/>
        </w:rPr>
        <w:t xml:space="preserve">Angles between subsequent migratory steps were measured in the sagittal plane (i.e., the plane of slice sectioning) and in the coronal plane. For the calculation of probability density plots, we accounted for the fact that angular changes measured in the sagittal plane are continuous at </w:t>
      </w:r>
      <w:r w:rsidRPr="00953CD4">
        <w:rPr>
          <w:color w:val="auto"/>
          <w:u w:val="single"/>
          <w:lang w:val="en-GB"/>
        </w:rPr>
        <w:t>+</w:t>
      </w:r>
      <w:r w:rsidRPr="00953CD4">
        <w:rPr>
          <w:rFonts w:ascii="Symbol" w:hAnsi="Symbol" w:cs="Symbol"/>
          <w:color w:val="auto"/>
          <w:lang w:val="en-GB"/>
        </w:rPr>
        <w:t></w:t>
      </w:r>
      <w:r w:rsidRPr="00953CD4">
        <w:rPr>
          <w:color w:val="auto"/>
          <w:lang w:val="en-GB"/>
        </w:rPr>
        <w:t xml:space="preserve"> radians, and those in the coronal plane at </w:t>
      </w:r>
      <w:r w:rsidRPr="00953CD4">
        <w:rPr>
          <w:color w:val="auto"/>
          <w:u w:val="single"/>
          <w:lang w:val="en-GB"/>
        </w:rPr>
        <w:t>+</w:t>
      </w:r>
      <w:r w:rsidRPr="00953CD4">
        <w:rPr>
          <w:color w:val="auto"/>
          <w:lang w:val="en-GB"/>
        </w:rPr>
        <w:t xml:space="preserve"> 0.5</w:t>
      </w:r>
      <w:r w:rsidRPr="00953CD4">
        <w:rPr>
          <w:rFonts w:ascii="Symbol" w:hAnsi="Symbol" w:cs="Symbol"/>
          <w:color w:val="auto"/>
          <w:lang w:val="en-GB"/>
        </w:rPr>
        <w:t></w:t>
      </w:r>
      <w:r w:rsidRPr="00953CD4">
        <w:rPr>
          <w:rFonts w:ascii="Symbol" w:hAnsi="Symbol" w:cs="Symbol"/>
          <w:color w:val="auto"/>
          <w:lang w:val="en-GB"/>
        </w:rPr>
        <w:t></w:t>
      </w:r>
      <w:r w:rsidRPr="00953CD4">
        <w:rPr>
          <w:color w:val="auto"/>
          <w:lang w:val="en-GB"/>
        </w:rPr>
        <w:t xml:space="preserve"> radians. Data-based smoothing kernels were determined as described by </w:t>
      </w:r>
      <w:proofErr w:type="spellStart"/>
      <w:r w:rsidRPr="00953CD4">
        <w:rPr>
          <w:color w:val="auto"/>
          <w:lang w:val="en-GB"/>
        </w:rPr>
        <w:t>Sheather</w:t>
      </w:r>
      <w:proofErr w:type="spellEnd"/>
      <w:r w:rsidRPr="00953CD4">
        <w:rPr>
          <w:color w:val="auto"/>
          <w:lang w:val="en-GB"/>
        </w:rPr>
        <w:t xml:space="preserve"> and Jones </w:t>
      </w:r>
      <w:r w:rsidRPr="00953CD4">
        <w:rPr>
          <w:lang w:val="en-GB"/>
        </w:rPr>
        <w:t xml:space="preserve">(Jones et al., 1996; </w:t>
      </w:r>
      <w:proofErr w:type="spellStart"/>
      <w:r w:rsidRPr="00953CD4">
        <w:rPr>
          <w:lang w:val="en-GB"/>
        </w:rPr>
        <w:t>Sheather</w:t>
      </w:r>
      <w:proofErr w:type="spellEnd"/>
      <w:r w:rsidRPr="00953CD4">
        <w:rPr>
          <w:lang w:val="en-GB"/>
        </w:rPr>
        <w:t xml:space="preserve">, S.J. and </w:t>
      </w:r>
      <w:proofErr w:type="spellStart"/>
      <w:r w:rsidRPr="00953CD4">
        <w:rPr>
          <w:lang w:val="en-GB"/>
        </w:rPr>
        <w:t>Jones</w:t>
      </w:r>
      <w:proofErr w:type="gramStart"/>
      <w:r w:rsidRPr="00953CD4">
        <w:rPr>
          <w:lang w:val="en-GB"/>
        </w:rPr>
        <w:t>,M.C</w:t>
      </w:r>
      <w:proofErr w:type="spellEnd"/>
      <w:proofErr w:type="gramEnd"/>
      <w:r w:rsidRPr="00953CD4">
        <w:rPr>
          <w:lang w:val="en-GB"/>
        </w:rPr>
        <w:t>., 1991)</w:t>
      </w:r>
      <w:r w:rsidRPr="00953CD4">
        <w:rPr>
          <w:color w:val="auto"/>
          <w:lang w:val="en-GB"/>
        </w:rPr>
        <w:t>.</w:t>
      </w:r>
    </w:p>
    <w:p w:rsidR="00D4004D" w:rsidRPr="00953CD4" w:rsidRDefault="00D4004D" w:rsidP="00DB6EAC">
      <w:pPr>
        <w:pStyle w:val="Default"/>
        <w:spacing w:line="360" w:lineRule="auto"/>
        <w:jc w:val="both"/>
        <w:rPr>
          <w:color w:val="auto"/>
          <w:lang w:val="en-GB"/>
        </w:rPr>
      </w:pPr>
    </w:p>
    <w:p w:rsidR="003704F2" w:rsidRPr="00953CD4" w:rsidRDefault="003704F2" w:rsidP="00DB6EAC">
      <w:pPr>
        <w:pStyle w:val="Paragraph"/>
        <w:spacing w:before="0" w:line="360" w:lineRule="auto"/>
        <w:ind w:firstLine="0"/>
        <w:jc w:val="both"/>
        <w:rPr>
          <w:b/>
          <w:bCs/>
          <w:lang w:val="en-GB"/>
        </w:rPr>
      </w:pPr>
      <w:r w:rsidRPr="00953CD4">
        <w:rPr>
          <w:b/>
          <w:bCs/>
          <w:lang w:val="en-GB"/>
        </w:rPr>
        <w:t>Electron microscopy</w:t>
      </w:r>
    </w:p>
    <w:p w:rsidR="003704F2" w:rsidRPr="00953CD4" w:rsidRDefault="003704F2" w:rsidP="00DB6EAC">
      <w:pPr>
        <w:spacing w:line="360" w:lineRule="auto"/>
        <w:jc w:val="both"/>
        <w:rPr>
          <w:lang w:val="en-GB"/>
        </w:rPr>
      </w:pPr>
      <w:r w:rsidRPr="00953CD4">
        <w:rPr>
          <w:lang w:val="en-GB"/>
        </w:rPr>
        <w:t>Transgenic mice expressing EGFP under the control of Pax2 promoter were anesthetized and perfusion fixed transcardially with 0.01 M phosphate buffered saline (PBS; pH 7.4) containing 4% paraformaldehyde (PFA) and 0.05% glutaraldehyde at postnatal day 8. Cerebella were sectioned using a vibratome (50 µm thickness). Pre-embedding immune-peroxidase staining and electron microscopy were done as previously described (</w:t>
      </w:r>
      <w:proofErr w:type="spellStart"/>
      <w:r w:rsidRPr="00953CD4">
        <w:rPr>
          <w:lang w:val="en-GB"/>
        </w:rPr>
        <w:t>Boulland</w:t>
      </w:r>
      <w:proofErr w:type="spellEnd"/>
      <w:r w:rsidRPr="00953CD4">
        <w:rPr>
          <w:lang w:val="en-GB"/>
        </w:rPr>
        <w:t xml:space="preserve"> et al., 2003). Briefly, sections were treated with 1 M ethanolamine-HCl (pH 7.4) and 1% H</w:t>
      </w:r>
      <w:r w:rsidRPr="00953CD4">
        <w:rPr>
          <w:vertAlign w:val="subscript"/>
          <w:lang w:val="en-GB"/>
        </w:rPr>
        <w:t>2</w:t>
      </w:r>
      <w:r w:rsidRPr="00953CD4">
        <w:rPr>
          <w:lang w:val="en-GB"/>
        </w:rPr>
        <w:t>O</w:t>
      </w:r>
      <w:r w:rsidRPr="00953CD4">
        <w:rPr>
          <w:vertAlign w:val="subscript"/>
          <w:lang w:val="en-GB"/>
        </w:rPr>
        <w:t>2</w:t>
      </w:r>
      <w:r w:rsidRPr="00953CD4">
        <w:rPr>
          <w:lang w:val="en-GB"/>
        </w:rPr>
        <w:t xml:space="preserve">, followed by incubation overnight with anti-GFP antibodies (rabbit; 1:1000; Rockland </w:t>
      </w:r>
      <w:proofErr w:type="spellStart"/>
      <w:r w:rsidRPr="00953CD4">
        <w:rPr>
          <w:lang w:val="en-GB"/>
        </w:rPr>
        <w:t>Immunochemicals</w:t>
      </w:r>
      <w:proofErr w:type="spellEnd"/>
      <w:r w:rsidRPr="00953CD4">
        <w:rPr>
          <w:lang w:val="en-GB"/>
        </w:rPr>
        <w:t xml:space="preserve">) in 10% </w:t>
      </w:r>
      <w:proofErr w:type="spellStart"/>
      <w:r w:rsidRPr="00953CD4">
        <w:rPr>
          <w:lang w:val="en-GB"/>
        </w:rPr>
        <w:t>newborn</w:t>
      </w:r>
      <w:proofErr w:type="spellEnd"/>
      <w:r w:rsidRPr="00953CD4">
        <w:rPr>
          <w:lang w:val="en-GB"/>
        </w:rPr>
        <w:t xml:space="preserve"> calf serum in 0.1 M </w:t>
      </w:r>
      <w:proofErr w:type="spellStart"/>
      <w:r w:rsidRPr="00953CD4">
        <w:rPr>
          <w:lang w:val="en-GB"/>
        </w:rPr>
        <w:t>Tris</w:t>
      </w:r>
      <w:proofErr w:type="spellEnd"/>
      <w:r w:rsidRPr="00953CD4">
        <w:rPr>
          <w:lang w:val="en-GB"/>
        </w:rPr>
        <w:t xml:space="preserve"> / HCl (pH 7.4) containing 0.3 M NaCl. The sections were then incubated with biotinylated anti-rabbit antibodies, streptavidin-peroxidase complexes, and finally with </w:t>
      </w:r>
      <w:proofErr w:type="spellStart"/>
      <w:r w:rsidRPr="00953CD4">
        <w:rPr>
          <w:lang w:val="en-GB"/>
        </w:rPr>
        <w:t>diaminobenzidine</w:t>
      </w:r>
      <w:proofErr w:type="spellEnd"/>
      <w:r w:rsidRPr="00953CD4">
        <w:rPr>
          <w:lang w:val="en-GB"/>
        </w:rPr>
        <w:t xml:space="preserve"> and 0.1% H</w:t>
      </w:r>
      <w:r w:rsidRPr="00953CD4">
        <w:rPr>
          <w:vertAlign w:val="subscript"/>
          <w:lang w:val="en-GB"/>
        </w:rPr>
        <w:t>2</w:t>
      </w:r>
      <w:r w:rsidRPr="00953CD4">
        <w:rPr>
          <w:lang w:val="en-GB"/>
        </w:rPr>
        <w:t>O</w:t>
      </w:r>
      <w:r w:rsidRPr="00953CD4">
        <w:rPr>
          <w:vertAlign w:val="subscript"/>
          <w:lang w:val="en-GB"/>
        </w:rPr>
        <w:t>2</w:t>
      </w:r>
      <w:r w:rsidRPr="00953CD4">
        <w:rPr>
          <w:lang w:val="en-GB"/>
        </w:rPr>
        <w:t>. Samples of stained tissue were dissected out, treated with 1% OsO</w:t>
      </w:r>
      <w:r w:rsidRPr="00953CD4">
        <w:rPr>
          <w:vertAlign w:val="subscript"/>
          <w:lang w:val="en-GB"/>
        </w:rPr>
        <w:t>4</w:t>
      </w:r>
      <w:r w:rsidRPr="00953CD4">
        <w:rPr>
          <w:lang w:val="en-GB"/>
        </w:rPr>
        <w:t xml:space="preserve"> in phosphate buffer, dehydrated in graded </w:t>
      </w:r>
      <w:proofErr w:type="spellStart"/>
      <w:r w:rsidRPr="00953CD4">
        <w:rPr>
          <w:lang w:val="en-GB"/>
        </w:rPr>
        <w:t>ethanols</w:t>
      </w:r>
      <w:proofErr w:type="spellEnd"/>
      <w:r w:rsidRPr="00953CD4">
        <w:rPr>
          <w:lang w:val="en-GB"/>
        </w:rPr>
        <w:t xml:space="preserve"> and propylene oxide and embedded in </w:t>
      </w:r>
      <w:proofErr w:type="spellStart"/>
      <w:r w:rsidRPr="00953CD4">
        <w:rPr>
          <w:lang w:val="en-GB"/>
        </w:rPr>
        <w:t>Durcupan</w:t>
      </w:r>
      <w:proofErr w:type="spellEnd"/>
      <w:r w:rsidRPr="00953CD4">
        <w:rPr>
          <w:lang w:val="en-GB"/>
        </w:rPr>
        <w:t xml:space="preserve"> ACM. Subsequently, ultrathin sections were cut and lightly contrasted with 2% uranyl acetate and 0.3% lead citrate. The samples were examined with a </w:t>
      </w:r>
      <w:proofErr w:type="spellStart"/>
      <w:r w:rsidRPr="00953CD4">
        <w:rPr>
          <w:lang w:val="en-GB"/>
        </w:rPr>
        <w:t>Tecnai</w:t>
      </w:r>
      <w:proofErr w:type="spellEnd"/>
      <w:r w:rsidRPr="00953CD4">
        <w:rPr>
          <w:lang w:val="en-GB"/>
        </w:rPr>
        <w:t xml:space="preserve"> CM10 electron microscope (FEI Company, Hillsboro, OR, USA).</w:t>
      </w:r>
    </w:p>
    <w:p w:rsidR="003704F2" w:rsidRPr="00953CD4" w:rsidRDefault="003704F2" w:rsidP="00857236">
      <w:pPr>
        <w:pStyle w:val="Paragraph"/>
        <w:spacing w:before="0" w:line="360" w:lineRule="auto"/>
        <w:ind w:firstLine="708"/>
        <w:jc w:val="both"/>
        <w:rPr>
          <w:lang w:val="en-GB" w:eastAsia="de-DE"/>
        </w:rPr>
      </w:pPr>
      <w:r w:rsidRPr="00953CD4">
        <w:rPr>
          <w:lang w:val="en-GB" w:eastAsia="de-DE"/>
        </w:rPr>
        <w:t>Alternatively, the DAB-reaction product from immune labelling for GFP was intensified with a modified gold-substituted silver peroxidase technique </w:t>
      </w:r>
      <w:r w:rsidRPr="00953CD4">
        <w:rPr>
          <w:lang w:val="en-GB"/>
        </w:rPr>
        <w:t xml:space="preserve">(van den Pol and </w:t>
      </w:r>
      <w:proofErr w:type="spellStart"/>
      <w:r w:rsidRPr="00953CD4">
        <w:rPr>
          <w:lang w:val="en-GB"/>
        </w:rPr>
        <w:t>Gorcs</w:t>
      </w:r>
      <w:proofErr w:type="spellEnd"/>
      <w:r w:rsidRPr="00953CD4">
        <w:rPr>
          <w:lang w:val="en-GB"/>
        </w:rPr>
        <w:t>, 1986)</w:t>
      </w:r>
      <w:r w:rsidRPr="00953CD4">
        <w:rPr>
          <w:lang w:val="en-GB" w:eastAsia="de-DE"/>
        </w:rPr>
        <w:t>. After washing DAB-reacted slices with 0.1 M Na-</w:t>
      </w:r>
      <w:proofErr w:type="spellStart"/>
      <w:r w:rsidRPr="00953CD4">
        <w:rPr>
          <w:lang w:val="en-GB" w:eastAsia="de-DE"/>
        </w:rPr>
        <w:t>cacodylate</w:t>
      </w:r>
      <w:proofErr w:type="spellEnd"/>
      <w:r w:rsidRPr="00953CD4">
        <w:rPr>
          <w:lang w:val="en-GB" w:eastAsia="de-DE"/>
        </w:rPr>
        <w:t xml:space="preserve"> buffer (CB; pH 7.6), they were fixed in 0.2% glutaraldehyde in CB and then osmicated in 0.1 M CB with 1% OsO</w:t>
      </w:r>
      <w:r w:rsidRPr="00953CD4">
        <w:rPr>
          <w:vertAlign w:val="subscript"/>
          <w:lang w:val="en-GB" w:eastAsia="de-DE"/>
        </w:rPr>
        <w:t>4</w:t>
      </w:r>
      <w:r w:rsidRPr="00953CD4">
        <w:rPr>
          <w:lang w:val="en-GB" w:eastAsia="de-DE"/>
        </w:rPr>
        <w:t xml:space="preserve"> and 1.5% potassium </w:t>
      </w:r>
      <w:proofErr w:type="spellStart"/>
      <w:r w:rsidRPr="00953CD4">
        <w:rPr>
          <w:lang w:val="en-GB" w:eastAsia="de-DE"/>
        </w:rPr>
        <w:t>hexacyanoferrate</w:t>
      </w:r>
      <w:proofErr w:type="spellEnd"/>
      <w:r w:rsidRPr="00953CD4">
        <w:rPr>
          <w:lang w:val="en-GB" w:eastAsia="de-DE"/>
        </w:rPr>
        <w:t xml:space="preserve"> for 15 min. After dehydration in a in a graded series of </w:t>
      </w:r>
      <w:proofErr w:type="spellStart"/>
      <w:r w:rsidRPr="00953CD4">
        <w:rPr>
          <w:lang w:val="en-GB" w:eastAsia="de-DE"/>
        </w:rPr>
        <w:t>ethanols</w:t>
      </w:r>
      <w:proofErr w:type="spellEnd"/>
      <w:r w:rsidRPr="00953CD4">
        <w:rPr>
          <w:lang w:val="en-GB" w:eastAsia="de-DE"/>
        </w:rPr>
        <w:t xml:space="preserve">, they were flat-embedded in </w:t>
      </w:r>
      <w:proofErr w:type="spellStart"/>
      <w:r w:rsidRPr="00953CD4">
        <w:rPr>
          <w:lang w:val="en-GB" w:eastAsia="de-DE"/>
        </w:rPr>
        <w:t>Epon</w:t>
      </w:r>
      <w:proofErr w:type="spellEnd"/>
      <w:r w:rsidRPr="00953CD4">
        <w:rPr>
          <w:lang w:val="en-GB" w:eastAsia="de-DE"/>
        </w:rPr>
        <w:t xml:space="preserve">. </w:t>
      </w:r>
      <w:proofErr w:type="spellStart"/>
      <w:r w:rsidRPr="00953CD4">
        <w:rPr>
          <w:lang w:val="en-GB" w:eastAsia="de-DE"/>
        </w:rPr>
        <w:t>Semithin</w:t>
      </w:r>
      <w:proofErr w:type="spellEnd"/>
      <w:r w:rsidRPr="00953CD4">
        <w:rPr>
          <w:lang w:val="en-GB" w:eastAsia="de-DE"/>
        </w:rPr>
        <w:t xml:space="preserve"> sections (1 </w:t>
      </w:r>
      <w:proofErr w:type="spellStart"/>
      <w:r w:rsidRPr="00953CD4">
        <w:rPr>
          <w:lang w:val="en-GB" w:eastAsia="de-DE"/>
        </w:rPr>
        <w:t>μm</w:t>
      </w:r>
      <w:proofErr w:type="spellEnd"/>
      <w:r w:rsidRPr="00953CD4">
        <w:rPr>
          <w:lang w:val="en-GB" w:eastAsia="de-DE"/>
        </w:rPr>
        <w:t xml:space="preserve">) were cut on an LKB </w:t>
      </w:r>
      <w:proofErr w:type="spellStart"/>
      <w:r w:rsidRPr="00953CD4">
        <w:rPr>
          <w:lang w:val="en-GB" w:eastAsia="de-DE"/>
        </w:rPr>
        <w:t>Ultratome</w:t>
      </w:r>
      <w:proofErr w:type="spellEnd"/>
      <w:r w:rsidRPr="00953CD4">
        <w:rPr>
          <w:lang w:val="en-GB" w:eastAsia="de-DE"/>
        </w:rPr>
        <w:t>, stained with Toluidine Blue and used for orientation. Ultrathin sections (50</w:t>
      </w:r>
      <w:r w:rsidRPr="00953CD4">
        <w:rPr>
          <w:lang w:val="en-GB" w:eastAsia="de-DE"/>
        </w:rPr>
        <w:noBreakHyphen/>
        <w:t xml:space="preserve">100 nm) were collected on </w:t>
      </w:r>
      <w:proofErr w:type="spellStart"/>
      <w:r w:rsidRPr="00953CD4">
        <w:rPr>
          <w:lang w:val="en-GB" w:eastAsia="de-DE"/>
        </w:rPr>
        <w:t>Formvar</w:t>
      </w:r>
      <w:proofErr w:type="spellEnd"/>
      <w:r w:rsidRPr="00953CD4">
        <w:rPr>
          <w:lang w:val="en-GB" w:eastAsia="de-DE"/>
        </w:rPr>
        <w:t>-coated grids, counterstained with uranyl-acetate and lead-citrate, and examined with a Philips CM 100 transmission electron-microscope (FEI).</w:t>
      </w:r>
    </w:p>
    <w:p w:rsidR="00D4004D" w:rsidRPr="00953CD4" w:rsidRDefault="00D4004D" w:rsidP="00DB6EAC">
      <w:pPr>
        <w:pStyle w:val="Paragraph"/>
        <w:spacing w:before="0" w:line="360" w:lineRule="auto"/>
        <w:ind w:firstLine="0"/>
        <w:jc w:val="both"/>
        <w:rPr>
          <w:lang w:val="en-GB"/>
        </w:rPr>
      </w:pPr>
    </w:p>
    <w:p w:rsidR="003704F2" w:rsidRPr="00953CD4" w:rsidRDefault="003704F2" w:rsidP="00DB6EAC">
      <w:pPr>
        <w:pStyle w:val="Paragraph"/>
        <w:spacing w:before="0" w:line="360" w:lineRule="auto"/>
        <w:ind w:firstLine="0"/>
        <w:jc w:val="both"/>
        <w:rPr>
          <w:b/>
          <w:bCs/>
          <w:lang w:val="en-GB"/>
        </w:rPr>
      </w:pPr>
      <w:r w:rsidRPr="00953CD4">
        <w:rPr>
          <w:b/>
          <w:bCs/>
          <w:lang w:val="en-GB"/>
        </w:rPr>
        <w:t>Immunohistochemistry</w:t>
      </w:r>
    </w:p>
    <w:p w:rsidR="003704F2" w:rsidRPr="00953CD4" w:rsidRDefault="003704F2" w:rsidP="00DB6EAC">
      <w:pPr>
        <w:pStyle w:val="Paragraph"/>
        <w:spacing w:before="0" w:line="360" w:lineRule="auto"/>
        <w:ind w:firstLine="0"/>
        <w:jc w:val="both"/>
        <w:rPr>
          <w:lang w:val="en-GB"/>
        </w:rPr>
      </w:pPr>
      <w:r w:rsidRPr="00953CD4">
        <w:rPr>
          <w:lang w:val="en-GB"/>
        </w:rPr>
        <w:t>PFA-fixed slices (50 µm) were blocked with 2% normal goat serum in PBS for 2 h and incubated at 4°C with antibody G95 against synaptophysin (1:500) (</w:t>
      </w:r>
      <w:proofErr w:type="spellStart"/>
      <w:r w:rsidRPr="00953CD4">
        <w:rPr>
          <w:lang w:val="en-GB"/>
        </w:rPr>
        <w:t>Ikin</w:t>
      </w:r>
      <w:proofErr w:type="spellEnd"/>
      <w:r w:rsidRPr="00953CD4">
        <w:rPr>
          <w:lang w:val="en-GB"/>
        </w:rPr>
        <w:t xml:space="preserve"> et al., 1996) or against Calbindin D28K (</w:t>
      </w:r>
      <w:proofErr w:type="spellStart"/>
      <w:r w:rsidRPr="00953CD4">
        <w:rPr>
          <w:lang w:val="en-GB"/>
        </w:rPr>
        <w:t>Swant</w:t>
      </w:r>
      <w:proofErr w:type="spellEnd"/>
      <w:r w:rsidRPr="00953CD4">
        <w:rPr>
          <w:lang w:val="en-GB"/>
        </w:rPr>
        <w:t xml:space="preserve">, </w:t>
      </w:r>
      <w:proofErr w:type="spellStart"/>
      <w:r w:rsidRPr="00953CD4">
        <w:rPr>
          <w:lang w:val="en-GB"/>
        </w:rPr>
        <w:t>Bellinzona</w:t>
      </w:r>
      <w:proofErr w:type="spellEnd"/>
      <w:r w:rsidRPr="00953CD4">
        <w:rPr>
          <w:lang w:val="en-GB"/>
        </w:rPr>
        <w:t xml:space="preserve">, CH; 1:4000) overnight . Secondary Alexa-546 goat anti-rabbit or goat anti-mouse antibodies (1:500; Molecular Probes) were applied for 2 h. Confocal images were acquired using a Leica TCS SP2-system (excitation: 488 nm/543 nm; z-width 115 nm). To obtain a measure of the density of pre-synaptic elements in cerebellar layers, we measured the fraction of synaptophysin-positive pixels separately for each layer. To assess whether Pax2-cells might be contacted by synaptophysin-positive terminals, we first generated a mask based on the EGFP-signal to delineate Pax2-cells. Next, co-localization of EGFP and synaptophysin-immunoreactivity was quantified as described by </w:t>
      </w:r>
      <w:proofErr w:type="spellStart"/>
      <w:r w:rsidRPr="00953CD4">
        <w:rPr>
          <w:lang w:val="en-GB"/>
        </w:rPr>
        <w:t>Costes</w:t>
      </w:r>
      <w:proofErr w:type="spellEnd"/>
      <w:r w:rsidRPr="00953CD4">
        <w:rPr>
          <w:lang w:val="en-GB"/>
        </w:rPr>
        <w:t xml:space="preserve"> et al. (</w:t>
      </w:r>
      <w:proofErr w:type="spellStart"/>
      <w:r w:rsidRPr="00953CD4">
        <w:rPr>
          <w:lang w:val="en-GB"/>
        </w:rPr>
        <w:t>Costes</w:t>
      </w:r>
      <w:proofErr w:type="spellEnd"/>
      <w:r w:rsidRPr="00953CD4">
        <w:rPr>
          <w:lang w:val="en-GB"/>
        </w:rPr>
        <w:t xml:space="preserve"> et al., 2004). Computation was done with </w:t>
      </w:r>
      <w:proofErr w:type="spellStart"/>
      <w:r w:rsidRPr="00953CD4">
        <w:rPr>
          <w:lang w:val="en-GB"/>
        </w:rPr>
        <w:t>Imaris</w:t>
      </w:r>
      <w:proofErr w:type="spellEnd"/>
      <w:r w:rsidRPr="00953CD4">
        <w:rPr>
          <w:lang w:val="en-GB"/>
        </w:rPr>
        <w:t>.</w:t>
      </w:r>
    </w:p>
    <w:p w:rsidR="00D4004D" w:rsidRPr="00953CD4" w:rsidRDefault="00D4004D" w:rsidP="00DB6EAC">
      <w:pPr>
        <w:pStyle w:val="Paragraph"/>
        <w:spacing w:before="0" w:line="360" w:lineRule="auto"/>
        <w:ind w:firstLine="0"/>
        <w:jc w:val="both"/>
        <w:rPr>
          <w:lang w:val="en-GB"/>
        </w:rPr>
      </w:pPr>
    </w:p>
    <w:p w:rsidR="003704F2" w:rsidRPr="00953CD4" w:rsidRDefault="003704F2" w:rsidP="00DB6EAC">
      <w:pPr>
        <w:pStyle w:val="Paragraph"/>
        <w:spacing w:before="0" w:line="360" w:lineRule="auto"/>
        <w:ind w:firstLine="0"/>
        <w:jc w:val="both"/>
        <w:rPr>
          <w:b/>
          <w:bCs/>
          <w:lang w:val="en-GB"/>
        </w:rPr>
      </w:pPr>
      <w:r w:rsidRPr="00953CD4">
        <w:rPr>
          <w:b/>
          <w:bCs/>
          <w:lang w:val="en-GB"/>
        </w:rPr>
        <w:t>Reagents</w:t>
      </w:r>
    </w:p>
    <w:p w:rsidR="003704F2" w:rsidRPr="00953CD4" w:rsidRDefault="003704F2" w:rsidP="00DB6EAC">
      <w:pPr>
        <w:pStyle w:val="Paragraph"/>
        <w:spacing w:before="0" w:line="360" w:lineRule="auto"/>
        <w:ind w:firstLine="0"/>
        <w:jc w:val="both"/>
        <w:rPr>
          <w:lang w:val="en-GB"/>
        </w:rPr>
      </w:pPr>
      <w:r w:rsidRPr="00953CD4">
        <w:rPr>
          <w:lang w:val="en-GB"/>
        </w:rPr>
        <w:t xml:space="preserve">NBQX, D-APV, LY 341495, (S)-3,5-DHPG, </w:t>
      </w:r>
      <w:proofErr w:type="spellStart"/>
      <w:r w:rsidRPr="00953CD4">
        <w:rPr>
          <w:lang w:val="en-GB"/>
        </w:rPr>
        <w:t>Lestaurtinib</w:t>
      </w:r>
      <w:proofErr w:type="spellEnd"/>
      <w:r w:rsidRPr="00953CD4">
        <w:rPr>
          <w:lang w:val="en-GB"/>
        </w:rPr>
        <w:t xml:space="preserve">, GNF 5837, Ro 08-2750, PPADS, </w:t>
      </w:r>
      <w:proofErr w:type="spellStart"/>
      <w:r w:rsidRPr="00953CD4">
        <w:rPr>
          <w:lang w:val="en-GB"/>
        </w:rPr>
        <w:t>Suramin</w:t>
      </w:r>
      <w:proofErr w:type="spellEnd"/>
      <w:r w:rsidRPr="00953CD4">
        <w:rPr>
          <w:lang w:val="en-GB"/>
        </w:rPr>
        <w:t xml:space="preserve">, CGP 55845, MRS2279, 3-MATIDA, MPEP, </w:t>
      </w:r>
      <w:proofErr w:type="spellStart"/>
      <w:r w:rsidRPr="00953CD4">
        <w:rPr>
          <w:lang w:val="en-GB"/>
        </w:rPr>
        <w:t>Gabazine</w:t>
      </w:r>
      <w:proofErr w:type="spellEnd"/>
      <w:r w:rsidRPr="00953CD4">
        <w:rPr>
          <w:lang w:val="en-GB"/>
        </w:rPr>
        <w:t xml:space="preserve"> and ionomycin were from </w:t>
      </w:r>
      <w:proofErr w:type="spellStart"/>
      <w:r w:rsidRPr="00953CD4">
        <w:rPr>
          <w:lang w:val="en-GB"/>
        </w:rPr>
        <w:t>Tocris</w:t>
      </w:r>
      <w:proofErr w:type="spellEnd"/>
      <w:r w:rsidRPr="00953CD4">
        <w:rPr>
          <w:lang w:val="en-GB"/>
        </w:rPr>
        <w:t xml:space="preserve">; CNQX, bicuculline and muscimol from Ascent Scientific; DL-APV, KA, CTZ, GABA and picrotoxin from Sigma; TTX from </w:t>
      </w:r>
      <w:proofErr w:type="spellStart"/>
      <w:r w:rsidRPr="00953CD4">
        <w:rPr>
          <w:lang w:val="en-GB"/>
        </w:rPr>
        <w:t>Alomone</w:t>
      </w:r>
      <w:proofErr w:type="spellEnd"/>
      <w:r w:rsidRPr="00953CD4">
        <w:rPr>
          <w:lang w:val="en-GB"/>
        </w:rPr>
        <w:t xml:space="preserve"> Labs; and tetanus toxin from </w:t>
      </w:r>
      <w:proofErr w:type="spellStart"/>
      <w:r w:rsidRPr="00953CD4">
        <w:rPr>
          <w:lang w:val="en-GB"/>
        </w:rPr>
        <w:t>Calbiochem</w:t>
      </w:r>
      <w:proofErr w:type="spellEnd"/>
      <w:r w:rsidRPr="00953CD4">
        <w:rPr>
          <w:lang w:val="en-GB"/>
        </w:rPr>
        <w:t>.</w:t>
      </w:r>
    </w:p>
    <w:p w:rsidR="00D4004D" w:rsidRPr="00953CD4" w:rsidRDefault="00D4004D" w:rsidP="00DB6EAC">
      <w:pPr>
        <w:pStyle w:val="Paragraph"/>
        <w:spacing w:before="0" w:line="360" w:lineRule="auto"/>
        <w:ind w:firstLine="0"/>
        <w:jc w:val="both"/>
        <w:rPr>
          <w:b/>
          <w:bCs/>
          <w:lang w:val="en-GB"/>
        </w:rPr>
      </w:pPr>
    </w:p>
    <w:p w:rsidR="003704F2" w:rsidRPr="00953CD4" w:rsidRDefault="003704F2" w:rsidP="00DB6EAC">
      <w:pPr>
        <w:pStyle w:val="Paragraph"/>
        <w:spacing w:before="0" w:line="360" w:lineRule="auto"/>
        <w:ind w:firstLine="0"/>
        <w:jc w:val="both"/>
        <w:rPr>
          <w:b/>
          <w:bCs/>
          <w:lang w:val="en-GB"/>
        </w:rPr>
      </w:pPr>
      <w:r w:rsidRPr="00953CD4">
        <w:rPr>
          <w:b/>
          <w:bCs/>
          <w:lang w:val="en-GB"/>
        </w:rPr>
        <w:t>Data analysis</w:t>
      </w:r>
    </w:p>
    <w:p w:rsidR="003704F2" w:rsidRDefault="003704F2" w:rsidP="00DB6EAC">
      <w:pPr>
        <w:pStyle w:val="Paragraph"/>
        <w:spacing w:before="0" w:line="360" w:lineRule="auto"/>
        <w:ind w:firstLine="0"/>
        <w:jc w:val="both"/>
        <w:rPr>
          <w:lang w:val="en-GB"/>
        </w:rPr>
      </w:pPr>
      <w:r w:rsidRPr="00953CD4">
        <w:rPr>
          <w:lang w:val="en-GB"/>
        </w:rPr>
        <w:t xml:space="preserve">Summary data are given as means ± SEM unless otherwise stated. Experimental groups were tested for normality using Shapiro/Wilk and subsequently compared either using ANOVA followed by Tukey's HSD for Gaussian data; or </w:t>
      </w:r>
      <w:proofErr w:type="spellStart"/>
      <w:r w:rsidRPr="00953CD4">
        <w:rPr>
          <w:lang w:val="en-GB"/>
        </w:rPr>
        <w:t>Kruskal</w:t>
      </w:r>
      <w:proofErr w:type="spellEnd"/>
      <w:r w:rsidR="00C517DA">
        <w:rPr>
          <w:lang w:val="en-GB"/>
        </w:rPr>
        <w:t>-</w:t>
      </w:r>
      <w:r w:rsidRPr="00953CD4">
        <w:rPr>
          <w:lang w:val="en-GB"/>
        </w:rPr>
        <w:t>Wallis followed by Dunn/Holland/Wolfe for non-Gaussian data. Speed, displacement and directionality were compared based on their medians to account for their non-normal distribution. Effect size was calculated as follows:</w:t>
      </w:r>
    </w:p>
    <w:p w:rsidR="003704F2" w:rsidRPr="00953CD4" w:rsidRDefault="003704F2" w:rsidP="00CD5396">
      <w:pPr>
        <w:pStyle w:val="Paragraph"/>
        <w:spacing w:before="0" w:line="360" w:lineRule="auto"/>
        <w:ind w:firstLine="0"/>
        <w:jc w:val="center"/>
        <w:rPr>
          <w:lang w:val="en-GB"/>
        </w:rPr>
      </w:pPr>
      <w:proofErr w:type="gramStart"/>
      <w:r w:rsidRPr="00953CD4">
        <w:rPr>
          <w:lang w:val="en-GB"/>
        </w:rPr>
        <w:t>effect</w:t>
      </w:r>
      <w:proofErr w:type="gramEnd"/>
      <w:r w:rsidRPr="00953CD4">
        <w:rPr>
          <w:lang w:val="en-GB"/>
        </w:rPr>
        <w:t xml:space="preserve"> size (%) = </w:t>
      </w:r>
      <m:oMath>
        <m:r>
          <w:rPr>
            <w:rFonts w:ascii="Cambria Math" w:hAnsi="Cambria Math"/>
            <w:lang w:val="en-GB"/>
          </w:rPr>
          <m:t>100%-</m:t>
        </m:r>
        <m:f>
          <m:fPr>
            <m:ctrlPr>
              <w:rPr>
                <w:rFonts w:ascii="Cambria Math" w:hAnsi="Cambria Math"/>
                <w:i/>
                <w:lang w:val="en-GB"/>
              </w:rPr>
            </m:ctrlPr>
          </m:fPr>
          <m:num>
            <m:r>
              <w:rPr>
                <w:rFonts w:ascii="Cambria Math" w:hAnsi="Cambria Math"/>
                <w:lang w:val="en-GB"/>
              </w:rPr>
              <m:t>median of variable under block</m:t>
            </m:r>
            <m:r>
              <w:rPr>
                <w:rFonts w:ascii="Cambria Math" w:hAnsi="Cambria Math"/>
                <w:lang w:val="en-GB"/>
              </w:rPr>
              <m:t>ed conditions</m:t>
            </m:r>
          </m:num>
          <m:den>
            <m:r>
              <w:rPr>
                <w:rFonts w:ascii="Cambria Math" w:hAnsi="Cambria Math"/>
                <w:lang w:val="en-GB"/>
              </w:rPr>
              <m:t>median of variable under control conditions</m:t>
            </m:r>
          </m:den>
        </m:f>
        <m:r>
          <w:rPr>
            <w:rFonts w:ascii="Cambria Math" w:hAnsi="Cambria Math"/>
            <w:lang w:val="en-GB"/>
          </w:rPr>
          <m:t>*100%</m:t>
        </m:r>
      </m:oMath>
    </w:p>
    <w:p w:rsidR="00A33609" w:rsidRPr="00953CD4" w:rsidRDefault="003704F2" w:rsidP="00DB6EAC">
      <w:pPr>
        <w:pStyle w:val="Paragraph"/>
        <w:spacing w:before="0" w:line="360" w:lineRule="auto"/>
        <w:ind w:firstLine="0"/>
        <w:jc w:val="both"/>
        <w:rPr>
          <w:lang w:val="en-GB"/>
        </w:rPr>
      </w:pPr>
      <w:proofErr w:type="gramStart"/>
      <w:r w:rsidRPr="00953CD4">
        <w:rPr>
          <w:lang w:val="en-GB"/>
        </w:rPr>
        <w:t>Percentile-based 95% confidence intervals for medians (</w:t>
      </w:r>
      <w:r w:rsidR="005E46DA" w:rsidRPr="00953CD4">
        <w:rPr>
          <w:u w:color="0070C0"/>
          <w:lang w:val="en-GB"/>
        </w:rPr>
        <w:t>Fig</w:t>
      </w:r>
      <w:r w:rsidR="002D3873" w:rsidRPr="00953CD4">
        <w:rPr>
          <w:u w:color="0070C0"/>
          <w:lang w:val="en-GB"/>
        </w:rPr>
        <w:t>.</w:t>
      </w:r>
      <w:proofErr w:type="gramEnd"/>
      <w:r w:rsidR="002D3873" w:rsidRPr="00953CD4">
        <w:rPr>
          <w:u w:color="0070C0"/>
          <w:lang w:val="en-GB"/>
        </w:rPr>
        <w:t> </w:t>
      </w:r>
      <w:r w:rsidR="00474CB6" w:rsidRPr="00953CD4">
        <w:rPr>
          <w:lang w:val="en-GB"/>
        </w:rPr>
        <w:t>S5</w:t>
      </w:r>
      <w:r w:rsidR="006B7DC3" w:rsidRPr="00953CD4">
        <w:rPr>
          <w:lang w:val="en-GB"/>
        </w:rPr>
        <w:t>D</w:t>
      </w:r>
      <w:r w:rsidRPr="00953CD4">
        <w:rPr>
          <w:lang w:val="en-GB"/>
        </w:rPr>
        <w:t>) and effect sizes (</w:t>
      </w:r>
      <w:r w:rsidR="005E46DA" w:rsidRPr="00953CD4">
        <w:rPr>
          <w:u w:color="0070C0"/>
          <w:lang w:val="en-GB"/>
        </w:rPr>
        <w:t>Fig</w:t>
      </w:r>
      <w:r w:rsidR="007E6F9B" w:rsidRPr="00953CD4">
        <w:rPr>
          <w:u w:color="0070C0"/>
          <w:lang w:val="en-GB"/>
        </w:rPr>
        <w:t>. 6</w:t>
      </w:r>
      <w:r w:rsidRPr="00953CD4">
        <w:rPr>
          <w:lang w:val="en-GB"/>
        </w:rPr>
        <w:t xml:space="preserve">) were obtained by bootstrapping using 3000 repetitions. Angular distributions were compared applying </w:t>
      </w:r>
      <w:bookmarkStart w:id="8" w:name="_Hlk465435137"/>
      <w:r w:rsidRPr="00953CD4">
        <w:rPr>
          <w:lang w:val="en-GB"/>
        </w:rPr>
        <w:t>Kuiper’s</w:t>
      </w:r>
      <w:bookmarkEnd w:id="8"/>
      <w:r w:rsidRPr="00953CD4">
        <w:rPr>
          <w:lang w:val="en-GB"/>
        </w:rPr>
        <w:t xml:space="preserve"> test. Test power was estimated post-hoc using </w:t>
      </w:r>
      <w:proofErr w:type="spellStart"/>
      <w:r w:rsidRPr="00953CD4">
        <w:rPr>
          <w:lang w:val="en-GB"/>
        </w:rPr>
        <w:t>GPower</w:t>
      </w:r>
      <w:proofErr w:type="spellEnd"/>
      <w:r w:rsidRPr="00953CD4">
        <w:rPr>
          <w:lang w:val="en-GB"/>
        </w:rPr>
        <w:t xml:space="preserve"> 3.1 if applicable. All statistical procedures were implemented in R </w:t>
      </w:r>
      <w:r w:rsidR="00DE1A6E" w:rsidRPr="00953CD4">
        <w:rPr>
          <w:lang w:val="en-GB"/>
        </w:rPr>
        <w:t>(R Development Core Team, 2017</w:t>
      </w:r>
      <w:r w:rsidRPr="00953CD4">
        <w:rPr>
          <w:lang w:val="en-GB"/>
        </w:rPr>
        <w:t>).</w:t>
      </w:r>
    </w:p>
    <w:p w:rsidR="003704F2" w:rsidRPr="00953CD4" w:rsidRDefault="003704F2" w:rsidP="00DB6EAC">
      <w:pPr>
        <w:pStyle w:val="Paragraph"/>
        <w:spacing w:before="0" w:line="360" w:lineRule="auto"/>
        <w:ind w:firstLine="0"/>
        <w:jc w:val="both"/>
        <w:rPr>
          <w:b/>
          <w:bCs/>
          <w:lang w:val="en-GB"/>
        </w:rPr>
      </w:pPr>
      <w:r w:rsidRPr="00953CD4">
        <w:rPr>
          <w:b/>
          <w:bCs/>
          <w:lang w:val="en-GB"/>
        </w:rPr>
        <w:t>Acknowledgments</w:t>
      </w:r>
    </w:p>
    <w:p w:rsidR="003704F2" w:rsidRPr="00953CD4" w:rsidRDefault="003704F2" w:rsidP="00DB6EAC">
      <w:pPr>
        <w:pStyle w:val="Paragraph"/>
        <w:spacing w:before="0" w:line="360" w:lineRule="auto"/>
        <w:ind w:firstLine="0"/>
        <w:jc w:val="both"/>
        <w:rPr>
          <w:lang w:val="en-GB"/>
        </w:rPr>
      </w:pPr>
      <w:r w:rsidRPr="00953CD4">
        <w:rPr>
          <w:lang w:val="en-GB"/>
        </w:rPr>
        <w:t xml:space="preserve">We thank R. </w:t>
      </w:r>
      <w:proofErr w:type="spellStart"/>
      <w:r w:rsidRPr="00953CD4">
        <w:rPr>
          <w:lang w:val="en-GB"/>
        </w:rPr>
        <w:t>Fi</w:t>
      </w:r>
      <w:r w:rsidR="008F62E5" w:rsidRPr="00953CD4">
        <w:rPr>
          <w:lang w:val="en-GB"/>
        </w:rPr>
        <w:t>mmers</w:t>
      </w:r>
      <w:proofErr w:type="spellEnd"/>
      <w:r w:rsidR="008F62E5" w:rsidRPr="00953CD4">
        <w:rPr>
          <w:lang w:val="en-GB"/>
        </w:rPr>
        <w:t xml:space="preserve"> for advice on statistics and D. Krauss and N. </w:t>
      </w:r>
      <w:proofErr w:type="spellStart"/>
      <w:r w:rsidR="008F62E5" w:rsidRPr="00953CD4">
        <w:rPr>
          <w:lang w:val="en-GB"/>
        </w:rPr>
        <w:t>Haias</w:t>
      </w:r>
      <w:proofErr w:type="spellEnd"/>
      <w:r w:rsidR="008F62E5" w:rsidRPr="00953CD4">
        <w:rPr>
          <w:lang w:val="en-GB"/>
        </w:rPr>
        <w:t xml:space="preserve"> for animal husbandry</w:t>
      </w:r>
      <w:r w:rsidR="006A323B" w:rsidRPr="00953CD4">
        <w:rPr>
          <w:lang w:val="en-GB"/>
        </w:rPr>
        <w:t>.</w:t>
      </w:r>
    </w:p>
    <w:p w:rsidR="00A33609" w:rsidRPr="00953CD4" w:rsidRDefault="00A33609" w:rsidP="00DB6EAC">
      <w:pPr>
        <w:pStyle w:val="Paragraph"/>
        <w:spacing w:before="0" w:line="360" w:lineRule="auto"/>
        <w:ind w:firstLine="0"/>
        <w:jc w:val="both"/>
        <w:rPr>
          <w:lang w:val="en-GB"/>
        </w:rPr>
      </w:pPr>
    </w:p>
    <w:p w:rsidR="003704F2" w:rsidRPr="00953CD4" w:rsidRDefault="003704F2" w:rsidP="00DB6EAC">
      <w:pPr>
        <w:pStyle w:val="Paragraph"/>
        <w:spacing w:before="0" w:line="360" w:lineRule="auto"/>
        <w:ind w:firstLine="0"/>
        <w:jc w:val="both"/>
        <w:rPr>
          <w:b/>
          <w:bCs/>
          <w:lang w:val="en-GB"/>
        </w:rPr>
      </w:pPr>
      <w:r w:rsidRPr="00953CD4">
        <w:rPr>
          <w:b/>
          <w:bCs/>
          <w:lang w:val="en-GB"/>
        </w:rPr>
        <w:t>Competing interests</w:t>
      </w:r>
    </w:p>
    <w:p w:rsidR="003704F2" w:rsidRPr="00953CD4" w:rsidRDefault="003704F2" w:rsidP="00DB6EAC">
      <w:pPr>
        <w:spacing w:line="360" w:lineRule="auto"/>
        <w:jc w:val="both"/>
        <w:rPr>
          <w:lang w:val="en-GB" w:eastAsia="en-US"/>
        </w:rPr>
      </w:pPr>
      <w:r w:rsidRPr="00953CD4">
        <w:rPr>
          <w:lang w:val="en-GB" w:eastAsia="en-US"/>
        </w:rPr>
        <w:t>No competing interests declared.</w:t>
      </w:r>
    </w:p>
    <w:p w:rsidR="00A33609" w:rsidRPr="00953CD4" w:rsidRDefault="00A33609" w:rsidP="00DB6EAC">
      <w:pPr>
        <w:pStyle w:val="Paragraph"/>
        <w:spacing w:before="0" w:line="360" w:lineRule="auto"/>
        <w:ind w:firstLine="0"/>
        <w:jc w:val="both"/>
        <w:rPr>
          <w:lang w:val="en-GB"/>
        </w:rPr>
      </w:pPr>
    </w:p>
    <w:p w:rsidR="003704F2" w:rsidRPr="00953CD4" w:rsidRDefault="003704F2" w:rsidP="00DB6EAC">
      <w:pPr>
        <w:pStyle w:val="Paragraph"/>
        <w:spacing w:before="0" w:line="360" w:lineRule="auto"/>
        <w:ind w:firstLine="0"/>
        <w:jc w:val="both"/>
        <w:rPr>
          <w:b/>
          <w:bCs/>
          <w:lang w:val="en-GB"/>
        </w:rPr>
      </w:pPr>
      <w:r w:rsidRPr="00953CD4">
        <w:rPr>
          <w:b/>
          <w:bCs/>
          <w:lang w:val="en-GB"/>
        </w:rPr>
        <w:t>Funding</w:t>
      </w:r>
    </w:p>
    <w:p w:rsidR="003704F2" w:rsidRPr="00953CD4" w:rsidRDefault="003704F2" w:rsidP="00DB6EAC">
      <w:pPr>
        <w:spacing w:line="360" w:lineRule="auto"/>
        <w:jc w:val="both"/>
        <w:rPr>
          <w:b/>
          <w:bCs/>
          <w:sz w:val="28"/>
          <w:szCs w:val="28"/>
          <w:lang w:val="en-GB" w:eastAsia="en-US"/>
        </w:rPr>
      </w:pPr>
      <w:r w:rsidRPr="00953CD4">
        <w:rPr>
          <w:lang w:val="en-GB"/>
        </w:rPr>
        <w:t xml:space="preserve">This work was supported by grants of the Deutsche </w:t>
      </w:r>
      <w:proofErr w:type="spellStart"/>
      <w:r w:rsidRPr="00953CD4">
        <w:rPr>
          <w:lang w:val="en-GB"/>
        </w:rPr>
        <w:t>Forschungsgemeinschaft</w:t>
      </w:r>
      <w:proofErr w:type="spellEnd"/>
      <w:r w:rsidRPr="00953CD4">
        <w:rPr>
          <w:lang w:val="en-GB"/>
        </w:rPr>
        <w:t xml:space="preserve"> </w:t>
      </w:r>
      <w:r w:rsidR="005941F8" w:rsidRPr="00953CD4">
        <w:rPr>
          <w:lang w:val="en-GB"/>
        </w:rPr>
        <w:t>(</w:t>
      </w:r>
      <w:r w:rsidR="004052ED" w:rsidRPr="00953CD4">
        <w:rPr>
          <w:lang w:val="en-GB"/>
        </w:rPr>
        <w:t xml:space="preserve">GRK246 to K.S. and A.K.W.; </w:t>
      </w:r>
      <w:r w:rsidRPr="00953CD4">
        <w:rPr>
          <w:lang w:val="en-GB"/>
        </w:rPr>
        <w:t>SPP1757: STE 552/5 to C.S., JA 942-1/2 to R</w:t>
      </w:r>
      <w:r w:rsidR="004052ED" w:rsidRPr="00953CD4">
        <w:rPr>
          <w:lang w:val="en-GB"/>
        </w:rPr>
        <w:t>.</w:t>
      </w:r>
      <w:r w:rsidRPr="00953CD4">
        <w:rPr>
          <w:lang w:val="en-GB"/>
        </w:rPr>
        <w:t>J</w:t>
      </w:r>
      <w:r w:rsidR="004052ED" w:rsidRPr="00953CD4">
        <w:rPr>
          <w:lang w:val="en-GB"/>
        </w:rPr>
        <w:t>.</w:t>
      </w:r>
      <w:r w:rsidR="005941F8" w:rsidRPr="00953CD4">
        <w:rPr>
          <w:lang w:val="en-GB"/>
        </w:rPr>
        <w:t>)</w:t>
      </w:r>
      <w:r w:rsidRPr="00953CD4">
        <w:rPr>
          <w:lang w:val="en-GB"/>
        </w:rPr>
        <w:t xml:space="preserve">; and the European Union </w:t>
      </w:r>
      <w:bookmarkStart w:id="9" w:name="_Hlk465434252"/>
      <w:r w:rsidR="005941F8" w:rsidRPr="00953CD4">
        <w:rPr>
          <w:lang w:val="en-GB"/>
        </w:rPr>
        <w:t>(</w:t>
      </w:r>
      <w:r w:rsidRPr="00953CD4">
        <w:rPr>
          <w:lang w:val="en-GB"/>
        </w:rPr>
        <w:t xml:space="preserve">ERA-NET NEURON: </w:t>
      </w:r>
      <w:proofErr w:type="spellStart"/>
      <w:r w:rsidRPr="00953CD4">
        <w:rPr>
          <w:lang w:val="en-GB"/>
        </w:rPr>
        <w:t>BrIE</w:t>
      </w:r>
      <w:bookmarkEnd w:id="9"/>
      <w:proofErr w:type="spellEnd"/>
      <w:r w:rsidRPr="00953CD4">
        <w:rPr>
          <w:lang w:val="en-GB"/>
        </w:rPr>
        <w:t xml:space="preserve"> to C.S.</w:t>
      </w:r>
      <w:r w:rsidR="005941F8" w:rsidRPr="00953CD4">
        <w:rPr>
          <w:lang w:val="en-GB"/>
        </w:rPr>
        <w:t>)</w:t>
      </w:r>
      <w:r w:rsidRPr="00953CD4">
        <w:rPr>
          <w:lang w:val="en-GB"/>
        </w:rPr>
        <w:t>.</w:t>
      </w:r>
    </w:p>
    <w:p w:rsidR="00A33609" w:rsidRPr="00953CD4" w:rsidRDefault="00A33609" w:rsidP="00DB6EAC">
      <w:pPr>
        <w:pStyle w:val="Paragraph"/>
        <w:spacing w:before="0" w:line="360" w:lineRule="auto"/>
        <w:ind w:firstLine="0"/>
        <w:jc w:val="both"/>
        <w:rPr>
          <w:lang w:val="en-GB"/>
        </w:rPr>
      </w:pPr>
    </w:p>
    <w:p w:rsidR="003704F2" w:rsidRPr="00953CD4" w:rsidRDefault="00A33609" w:rsidP="00ED3BD6">
      <w:pPr>
        <w:pStyle w:val="Paragraph"/>
        <w:tabs>
          <w:tab w:val="left" w:pos="0"/>
          <w:tab w:val="right" w:pos="180"/>
        </w:tabs>
        <w:spacing w:after="240"/>
        <w:ind w:left="360" w:hanging="360"/>
        <w:rPr>
          <w:b/>
          <w:bCs/>
          <w:sz w:val="28"/>
          <w:szCs w:val="28"/>
          <w:lang w:val="en-GB"/>
        </w:rPr>
      </w:pPr>
      <w:r w:rsidRPr="00953CD4">
        <w:rPr>
          <w:b/>
          <w:bCs/>
          <w:sz w:val="28"/>
          <w:szCs w:val="28"/>
          <w:lang w:val="en-GB"/>
        </w:rPr>
        <w:t>REFERENCES</w:t>
      </w:r>
    </w:p>
    <w:p w:rsidR="003704F2" w:rsidRPr="00953CD4" w:rsidRDefault="003704F2" w:rsidP="001D3E43">
      <w:pPr>
        <w:pStyle w:val="Literaturverzeichnis1"/>
        <w:rPr>
          <w:lang w:val="en-GB"/>
        </w:rPr>
      </w:pPr>
      <w:proofErr w:type="gramStart"/>
      <w:r w:rsidRPr="00953CD4">
        <w:rPr>
          <w:b/>
          <w:bCs/>
          <w:lang w:val="en-GB"/>
        </w:rPr>
        <w:t>Ashwell, K. W. and Zhang, L. L.</w:t>
      </w:r>
      <w:r w:rsidRPr="00953CD4">
        <w:rPr>
          <w:lang w:val="en-GB"/>
        </w:rPr>
        <w:t xml:space="preserve"> (1992).</w:t>
      </w:r>
      <w:proofErr w:type="gramEnd"/>
      <w:r w:rsidRPr="00953CD4">
        <w:rPr>
          <w:lang w:val="en-GB"/>
        </w:rPr>
        <w:t xml:space="preserve"> </w:t>
      </w:r>
      <w:proofErr w:type="gramStart"/>
      <w:r w:rsidRPr="00953CD4">
        <w:rPr>
          <w:lang w:val="en-GB"/>
        </w:rPr>
        <w:t xml:space="preserve">Ontogeny of afferents to the </w:t>
      </w:r>
      <w:proofErr w:type="spellStart"/>
      <w:r w:rsidRPr="00953CD4">
        <w:rPr>
          <w:lang w:val="en-GB"/>
        </w:rPr>
        <w:t>fetal</w:t>
      </w:r>
      <w:proofErr w:type="spellEnd"/>
      <w:r w:rsidRPr="00953CD4">
        <w:rPr>
          <w:lang w:val="en-GB"/>
        </w:rPr>
        <w:t xml:space="preserve"> rat cerebellum.</w:t>
      </w:r>
      <w:proofErr w:type="gramEnd"/>
      <w:r w:rsidRPr="00953CD4">
        <w:rPr>
          <w:lang w:val="en-GB"/>
        </w:rPr>
        <w:t xml:space="preserve"> </w:t>
      </w:r>
      <w:proofErr w:type="spellStart"/>
      <w:r w:rsidRPr="00953CD4">
        <w:rPr>
          <w:i/>
          <w:iCs/>
          <w:lang w:val="en-GB"/>
        </w:rPr>
        <w:t>Acta</w:t>
      </w:r>
      <w:proofErr w:type="spellEnd"/>
      <w:r w:rsidRPr="00953CD4">
        <w:rPr>
          <w:i/>
          <w:iCs/>
          <w:lang w:val="en-GB"/>
        </w:rPr>
        <w:t xml:space="preserve"> Anat. (Basel)</w:t>
      </w:r>
      <w:r w:rsidRPr="00953CD4">
        <w:rPr>
          <w:lang w:val="en-GB"/>
        </w:rPr>
        <w:t xml:space="preserve"> </w:t>
      </w:r>
      <w:r w:rsidRPr="00953CD4">
        <w:rPr>
          <w:b/>
          <w:bCs/>
          <w:lang w:val="en-GB"/>
        </w:rPr>
        <w:t>145</w:t>
      </w:r>
      <w:r w:rsidRPr="00953CD4">
        <w:rPr>
          <w:lang w:val="en-GB"/>
        </w:rPr>
        <w:t>, 17–23.</w:t>
      </w:r>
    </w:p>
    <w:p w:rsidR="003704F2" w:rsidRPr="00953CD4" w:rsidRDefault="003704F2" w:rsidP="001D3E43">
      <w:pPr>
        <w:pStyle w:val="Literaturverzeichnis1"/>
        <w:rPr>
          <w:lang w:val="en-GB"/>
        </w:rPr>
      </w:pPr>
      <w:proofErr w:type="spellStart"/>
      <w:proofErr w:type="gramStart"/>
      <w:r w:rsidRPr="00953CD4">
        <w:rPr>
          <w:b/>
          <w:bCs/>
          <w:lang w:val="en-GB"/>
        </w:rPr>
        <w:t>Barkovich</w:t>
      </w:r>
      <w:proofErr w:type="spellEnd"/>
      <w:r w:rsidRPr="00953CD4">
        <w:rPr>
          <w:b/>
          <w:bCs/>
          <w:lang w:val="en-GB"/>
        </w:rPr>
        <w:t xml:space="preserve">, A. J., </w:t>
      </w:r>
      <w:proofErr w:type="spellStart"/>
      <w:r w:rsidRPr="00953CD4">
        <w:rPr>
          <w:b/>
          <w:bCs/>
          <w:lang w:val="en-GB"/>
        </w:rPr>
        <w:t>Guerrini</w:t>
      </w:r>
      <w:proofErr w:type="spellEnd"/>
      <w:r w:rsidRPr="00953CD4">
        <w:rPr>
          <w:b/>
          <w:bCs/>
          <w:lang w:val="en-GB"/>
        </w:rPr>
        <w:t xml:space="preserve">, R., </w:t>
      </w:r>
      <w:proofErr w:type="spellStart"/>
      <w:r w:rsidRPr="00953CD4">
        <w:rPr>
          <w:b/>
          <w:bCs/>
          <w:lang w:val="en-GB"/>
        </w:rPr>
        <w:t>Kuzniecky</w:t>
      </w:r>
      <w:proofErr w:type="spellEnd"/>
      <w:r w:rsidRPr="00953CD4">
        <w:rPr>
          <w:b/>
          <w:bCs/>
          <w:lang w:val="en-GB"/>
        </w:rPr>
        <w:t xml:space="preserve">, R. I., Jackson, G. D. and </w:t>
      </w:r>
      <w:proofErr w:type="spellStart"/>
      <w:r w:rsidRPr="00953CD4">
        <w:rPr>
          <w:b/>
          <w:bCs/>
          <w:lang w:val="en-GB"/>
        </w:rPr>
        <w:t>Dobyns</w:t>
      </w:r>
      <w:proofErr w:type="spellEnd"/>
      <w:r w:rsidRPr="00953CD4">
        <w:rPr>
          <w:b/>
          <w:bCs/>
          <w:lang w:val="en-GB"/>
        </w:rPr>
        <w:t>, W. B.</w:t>
      </w:r>
      <w:r w:rsidRPr="00953CD4">
        <w:rPr>
          <w:lang w:val="en-GB"/>
        </w:rPr>
        <w:t xml:space="preserve"> (2012).</w:t>
      </w:r>
      <w:proofErr w:type="gramEnd"/>
      <w:r w:rsidRPr="00953CD4">
        <w:rPr>
          <w:lang w:val="en-GB"/>
        </w:rPr>
        <w:t xml:space="preserve"> A developmental and genetic classification for malformations of cortical development: update 2012. </w:t>
      </w:r>
      <w:r w:rsidRPr="00953CD4">
        <w:rPr>
          <w:i/>
          <w:iCs/>
          <w:lang w:val="en-GB"/>
        </w:rPr>
        <w:t>Brain</w:t>
      </w:r>
      <w:r w:rsidRPr="00953CD4">
        <w:rPr>
          <w:lang w:val="en-GB"/>
        </w:rPr>
        <w:t xml:space="preserve"> </w:t>
      </w:r>
      <w:r w:rsidRPr="00953CD4">
        <w:rPr>
          <w:b/>
          <w:bCs/>
          <w:lang w:val="en-GB"/>
        </w:rPr>
        <w:t>135</w:t>
      </w:r>
      <w:r w:rsidRPr="00953CD4">
        <w:rPr>
          <w:lang w:val="en-GB"/>
        </w:rPr>
        <w:t>, 1348–1369.</w:t>
      </w:r>
    </w:p>
    <w:p w:rsidR="003704F2" w:rsidRPr="00953CD4" w:rsidRDefault="003704F2" w:rsidP="001D3E43">
      <w:pPr>
        <w:pStyle w:val="Literaturverzeichnis1"/>
        <w:rPr>
          <w:lang w:val="en-GB"/>
        </w:rPr>
      </w:pPr>
      <w:proofErr w:type="spellStart"/>
      <w:proofErr w:type="gramStart"/>
      <w:r w:rsidRPr="00953CD4">
        <w:rPr>
          <w:b/>
          <w:bCs/>
          <w:lang w:val="en-GB"/>
        </w:rPr>
        <w:t>Batini</w:t>
      </w:r>
      <w:proofErr w:type="spellEnd"/>
      <w:r w:rsidRPr="00953CD4">
        <w:rPr>
          <w:b/>
          <w:bCs/>
          <w:lang w:val="en-GB"/>
        </w:rPr>
        <w:t xml:space="preserve">, C., </w:t>
      </w:r>
      <w:proofErr w:type="spellStart"/>
      <w:r w:rsidRPr="00953CD4">
        <w:rPr>
          <w:b/>
          <w:bCs/>
          <w:lang w:val="en-GB"/>
        </w:rPr>
        <w:t>Compoint</w:t>
      </w:r>
      <w:proofErr w:type="spellEnd"/>
      <w:r w:rsidRPr="00953CD4">
        <w:rPr>
          <w:b/>
          <w:bCs/>
          <w:lang w:val="en-GB"/>
        </w:rPr>
        <w:t xml:space="preserve">, C., </w:t>
      </w:r>
      <w:proofErr w:type="spellStart"/>
      <w:r w:rsidRPr="00953CD4">
        <w:rPr>
          <w:b/>
          <w:bCs/>
          <w:lang w:val="en-GB"/>
        </w:rPr>
        <w:t>Buisseret-Delmas</w:t>
      </w:r>
      <w:proofErr w:type="spellEnd"/>
      <w:r w:rsidRPr="00953CD4">
        <w:rPr>
          <w:b/>
          <w:bCs/>
          <w:lang w:val="en-GB"/>
        </w:rPr>
        <w:t xml:space="preserve">, C., Daniel, H. and </w:t>
      </w:r>
      <w:proofErr w:type="spellStart"/>
      <w:r w:rsidRPr="00953CD4">
        <w:rPr>
          <w:b/>
          <w:bCs/>
          <w:lang w:val="en-GB"/>
        </w:rPr>
        <w:t>Guegan</w:t>
      </w:r>
      <w:proofErr w:type="spellEnd"/>
      <w:r w:rsidRPr="00953CD4">
        <w:rPr>
          <w:b/>
          <w:bCs/>
          <w:lang w:val="en-GB"/>
        </w:rPr>
        <w:t>, M.</w:t>
      </w:r>
      <w:r w:rsidRPr="00953CD4">
        <w:rPr>
          <w:lang w:val="en-GB"/>
        </w:rPr>
        <w:t xml:space="preserve"> (1992).</w:t>
      </w:r>
      <w:proofErr w:type="gramEnd"/>
      <w:r w:rsidRPr="00953CD4">
        <w:rPr>
          <w:lang w:val="en-GB"/>
        </w:rPr>
        <w:t xml:space="preserve"> Cerebellar nuclei and the </w:t>
      </w:r>
      <w:proofErr w:type="spellStart"/>
      <w:r w:rsidRPr="00953CD4">
        <w:rPr>
          <w:lang w:val="en-GB"/>
        </w:rPr>
        <w:t>nucleocortical</w:t>
      </w:r>
      <w:proofErr w:type="spellEnd"/>
      <w:r w:rsidRPr="00953CD4">
        <w:rPr>
          <w:lang w:val="en-GB"/>
        </w:rPr>
        <w:t xml:space="preserve"> projections in the rat: Retrograde tracing coupled to GABA and glutamate immunohistochemistry. </w:t>
      </w:r>
      <w:r w:rsidRPr="00953CD4">
        <w:rPr>
          <w:i/>
          <w:iCs/>
          <w:lang w:val="en-GB"/>
        </w:rPr>
        <w:t>J. Comp. Neurol.</w:t>
      </w:r>
      <w:r w:rsidRPr="00953CD4">
        <w:rPr>
          <w:lang w:val="en-GB"/>
        </w:rPr>
        <w:t xml:space="preserve"> </w:t>
      </w:r>
      <w:r w:rsidRPr="00953CD4">
        <w:rPr>
          <w:b/>
          <w:bCs/>
          <w:lang w:val="en-GB"/>
        </w:rPr>
        <w:t>315</w:t>
      </w:r>
      <w:r w:rsidRPr="00953CD4">
        <w:rPr>
          <w:lang w:val="en-GB"/>
        </w:rPr>
        <w:t>, 74–84.</w:t>
      </w:r>
    </w:p>
    <w:p w:rsidR="003704F2" w:rsidRPr="00953CD4" w:rsidRDefault="003704F2" w:rsidP="001D3E43">
      <w:pPr>
        <w:pStyle w:val="Literaturverzeichnis1"/>
        <w:rPr>
          <w:lang w:val="en-GB"/>
        </w:rPr>
      </w:pPr>
      <w:proofErr w:type="spellStart"/>
      <w:r w:rsidRPr="00953CD4">
        <w:rPr>
          <w:b/>
          <w:bCs/>
          <w:lang w:val="en-GB"/>
        </w:rPr>
        <w:t>Batschelet</w:t>
      </w:r>
      <w:proofErr w:type="spellEnd"/>
      <w:r w:rsidRPr="00953CD4">
        <w:rPr>
          <w:b/>
          <w:bCs/>
          <w:lang w:val="en-GB"/>
        </w:rPr>
        <w:t>, E.</w:t>
      </w:r>
      <w:r w:rsidRPr="00953CD4">
        <w:rPr>
          <w:lang w:val="en-GB"/>
        </w:rPr>
        <w:t xml:space="preserve"> (1981). </w:t>
      </w:r>
      <w:proofErr w:type="gramStart"/>
      <w:r w:rsidRPr="00953CD4">
        <w:rPr>
          <w:i/>
          <w:iCs/>
          <w:lang w:val="en-GB"/>
        </w:rPr>
        <w:t>Circular Statistics in Biology</w:t>
      </w:r>
      <w:r w:rsidRPr="00953CD4">
        <w:rPr>
          <w:lang w:val="en-GB"/>
        </w:rPr>
        <w:t>.</w:t>
      </w:r>
      <w:proofErr w:type="gramEnd"/>
      <w:r w:rsidRPr="00953CD4">
        <w:rPr>
          <w:lang w:val="en-GB"/>
        </w:rPr>
        <w:t xml:space="preserve"> London, New York: Academic Press.</w:t>
      </w:r>
    </w:p>
    <w:p w:rsidR="003704F2" w:rsidRPr="00953CD4" w:rsidRDefault="003704F2" w:rsidP="001D3E43">
      <w:pPr>
        <w:pStyle w:val="Literaturverzeichnis1"/>
        <w:rPr>
          <w:lang w:val="en-GB"/>
        </w:rPr>
      </w:pPr>
      <w:proofErr w:type="gramStart"/>
      <w:r w:rsidRPr="00953CD4">
        <w:rPr>
          <w:b/>
          <w:bCs/>
          <w:lang w:val="en-GB"/>
        </w:rPr>
        <w:t xml:space="preserve">Bell, C. C., Han, V. and </w:t>
      </w:r>
      <w:proofErr w:type="spellStart"/>
      <w:r w:rsidRPr="00953CD4">
        <w:rPr>
          <w:b/>
          <w:bCs/>
          <w:lang w:val="en-GB"/>
        </w:rPr>
        <w:t>Sawtell</w:t>
      </w:r>
      <w:proofErr w:type="spellEnd"/>
      <w:r w:rsidRPr="00953CD4">
        <w:rPr>
          <w:b/>
          <w:bCs/>
          <w:lang w:val="en-GB"/>
        </w:rPr>
        <w:t>, N. B.</w:t>
      </w:r>
      <w:r w:rsidRPr="00953CD4">
        <w:rPr>
          <w:lang w:val="en-GB"/>
        </w:rPr>
        <w:t xml:space="preserve"> (2008).</w:t>
      </w:r>
      <w:proofErr w:type="gramEnd"/>
      <w:r w:rsidRPr="00953CD4">
        <w:rPr>
          <w:lang w:val="en-GB"/>
        </w:rPr>
        <w:t xml:space="preserve"> </w:t>
      </w:r>
      <w:proofErr w:type="gramStart"/>
      <w:r w:rsidRPr="00953CD4">
        <w:rPr>
          <w:lang w:val="en-GB"/>
        </w:rPr>
        <w:t>Cerebellum-Like Structures and Their Implications for Cerebellar Function.</w:t>
      </w:r>
      <w:proofErr w:type="gramEnd"/>
      <w:r w:rsidRPr="00953CD4">
        <w:rPr>
          <w:lang w:val="en-GB"/>
        </w:rPr>
        <w:t xml:space="preserve"> </w:t>
      </w:r>
      <w:proofErr w:type="spellStart"/>
      <w:proofErr w:type="gramStart"/>
      <w:r w:rsidRPr="00953CD4">
        <w:rPr>
          <w:i/>
          <w:iCs/>
          <w:lang w:val="en-GB"/>
        </w:rPr>
        <w:t>Annu</w:t>
      </w:r>
      <w:proofErr w:type="spellEnd"/>
      <w:r w:rsidRPr="00953CD4">
        <w:rPr>
          <w:i/>
          <w:iCs/>
          <w:lang w:val="en-GB"/>
        </w:rPr>
        <w:t>.</w:t>
      </w:r>
      <w:proofErr w:type="gramEnd"/>
      <w:r w:rsidRPr="00953CD4">
        <w:rPr>
          <w:i/>
          <w:iCs/>
          <w:lang w:val="en-GB"/>
        </w:rPr>
        <w:t xml:space="preserve"> Rev.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31</w:t>
      </w:r>
      <w:r w:rsidRPr="00953CD4">
        <w:rPr>
          <w:lang w:val="en-GB"/>
        </w:rPr>
        <w:t>, 1–24.</w:t>
      </w:r>
    </w:p>
    <w:p w:rsidR="003704F2" w:rsidRPr="00953CD4" w:rsidRDefault="003704F2" w:rsidP="001D3E43">
      <w:pPr>
        <w:pStyle w:val="Literaturverzeichnis1"/>
        <w:rPr>
          <w:lang w:val="en-GB"/>
        </w:rPr>
      </w:pPr>
      <w:r w:rsidRPr="00953CD4">
        <w:rPr>
          <w:b/>
          <w:bCs/>
          <w:lang w:val="en-GB"/>
        </w:rPr>
        <w:t>Ben-</w:t>
      </w:r>
      <w:proofErr w:type="spellStart"/>
      <w:r w:rsidRPr="00953CD4">
        <w:rPr>
          <w:b/>
          <w:bCs/>
          <w:lang w:val="en-GB"/>
        </w:rPr>
        <w:t>Arie</w:t>
      </w:r>
      <w:proofErr w:type="spellEnd"/>
      <w:r w:rsidRPr="00953CD4">
        <w:rPr>
          <w:b/>
          <w:bCs/>
          <w:lang w:val="en-GB"/>
        </w:rPr>
        <w:t xml:space="preserve">, N., </w:t>
      </w:r>
      <w:proofErr w:type="spellStart"/>
      <w:r w:rsidRPr="00953CD4">
        <w:rPr>
          <w:b/>
          <w:bCs/>
          <w:lang w:val="en-GB"/>
        </w:rPr>
        <w:t>Bellen</w:t>
      </w:r>
      <w:proofErr w:type="spellEnd"/>
      <w:r w:rsidRPr="00953CD4">
        <w:rPr>
          <w:b/>
          <w:bCs/>
          <w:lang w:val="en-GB"/>
        </w:rPr>
        <w:t xml:space="preserve">, H. J., Armstrong, D. L., McCall, A. E., </w:t>
      </w:r>
      <w:proofErr w:type="spellStart"/>
      <w:r w:rsidRPr="00953CD4">
        <w:rPr>
          <w:b/>
          <w:bCs/>
          <w:lang w:val="en-GB"/>
        </w:rPr>
        <w:t>Gordadze</w:t>
      </w:r>
      <w:proofErr w:type="spellEnd"/>
      <w:r w:rsidRPr="00953CD4">
        <w:rPr>
          <w:b/>
          <w:bCs/>
          <w:lang w:val="en-GB"/>
        </w:rPr>
        <w:t xml:space="preserve">, P. R., </w:t>
      </w:r>
      <w:proofErr w:type="spellStart"/>
      <w:r w:rsidRPr="00953CD4">
        <w:rPr>
          <w:b/>
          <w:bCs/>
          <w:lang w:val="en-GB"/>
        </w:rPr>
        <w:t>Guo</w:t>
      </w:r>
      <w:proofErr w:type="spellEnd"/>
      <w:r w:rsidRPr="00953CD4">
        <w:rPr>
          <w:b/>
          <w:bCs/>
          <w:lang w:val="en-GB"/>
        </w:rPr>
        <w:t xml:space="preserve">, Q., </w:t>
      </w:r>
      <w:proofErr w:type="spellStart"/>
      <w:r w:rsidRPr="00953CD4">
        <w:rPr>
          <w:b/>
          <w:bCs/>
          <w:lang w:val="en-GB"/>
        </w:rPr>
        <w:t>Matzuk</w:t>
      </w:r>
      <w:proofErr w:type="spellEnd"/>
      <w:r w:rsidRPr="00953CD4">
        <w:rPr>
          <w:b/>
          <w:bCs/>
          <w:lang w:val="en-GB"/>
        </w:rPr>
        <w:t xml:space="preserve">, M. M. and </w:t>
      </w:r>
      <w:proofErr w:type="spellStart"/>
      <w:r w:rsidRPr="00953CD4">
        <w:rPr>
          <w:b/>
          <w:bCs/>
          <w:lang w:val="en-GB"/>
        </w:rPr>
        <w:t>Zoghbi</w:t>
      </w:r>
      <w:proofErr w:type="spellEnd"/>
      <w:r w:rsidRPr="00953CD4">
        <w:rPr>
          <w:b/>
          <w:bCs/>
          <w:lang w:val="en-GB"/>
        </w:rPr>
        <w:t>, H. Y.</w:t>
      </w:r>
      <w:r w:rsidRPr="00953CD4">
        <w:rPr>
          <w:lang w:val="en-GB"/>
        </w:rPr>
        <w:t xml:space="preserve"> (1997). Math1 is essential for genesis of cerebellar granule neurons. </w:t>
      </w:r>
      <w:r w:rsidRPr="00953CD4">
        <w:rPr>
          <w:i/>
          <w:iCs/>
          <w:lang w:val="en-GB"/>
        </w:rPr>
        <w:t>Nature</w:t>
      </w:r>
      <w:r w:rsidRPr="00953CD4">
        <w:rPr>
          <w:lang w:val="en-GB"/>
        </w:rPr>
        <w:t xml:space="preserve"> </w:t>
      </w:r>
      <w:r w:rsidRPr="00953CD4">
        <w:rPr>
          <w:b/>
          <w:bCs/>
          <w:lang w:val="en-GB"/>
        </w:rPr>
        <w:t>390</w:t>
      </w:r>
      <w:r w:rsidRPr="00953CD4">
        <w:rPr>
          <w:lang w:val="en-GB"/>
        </w:rPr>
        <w:t>, 169–172.</w:t>
      </w:r>
    </w:p>
    <w:p w:rsidR="003704F2" w:rsidRPr="00953CD4" w:rsidRDefault="003704F2" w:rsidP="001D3E43">
      <w:pPr>
        <w:pStyle w:val="Literaturverzeichnis1"/>
        <w:rPr>
          <w:lang w:val="en-GB"/>
        </w:rPr>
      </w:pPr>
      <w:proofErr w:type="spellStart"/>
      <w:proofErr w:type="gramStart"/>
      <w:r w:rsidRPr="00953CD4">
        <w:rPr>
          <w:b/>
          <w:bCs/>
          <w:lang w:val="en-GB"/>
        </w:rPr>
        <w:t>Benhamou</w:t>
      </w:r>
      <w:proofErr w:type="spellEnd"/>
      <w:r w:rsidRPr="00953CD4">
        <w:rPr>
          <w:b/>
          <w:bCs/>
          <w:lang w:val="en-GB"/>
        </w:rPr>
        <w:t>, S.</w:t>
      </w:r>
      <w:r w:rsidRPr="00953CD4">
        <w:rPr>
          <w:lang w:val="en-GB"/>
        </w:rPr>
        <w:t xml:space="preserve"> (2004).</w:t>
      </w:r>
      <w:proofErr w:type="gramEnd"/>
      <w:r w:rsidRPr="00953CD4">
        <w:rPr>
          <w:lang w:val="en-GB"/>
        </w:rPr>
        <w:t xml:space="preserve"> How to reliably estimate the tortuosity of an animal’s path: straightness, sinuosity, or fractal dimension? </w:t>
      </w:r>
      <w:r w:rsidRPr="00953CD4">
        <w:rPr>
          <w:i/>
          <w:iCs/>
          <w:lang w:val="en-GB"/>
        </w:rPr>
        <w:t xml:space="preserve">J. </w:t>
      </w:r>
      <w:proofErr w:type="spellStart"/>
      <w:r w:rsidRPr="00953CD4">
        <w:rPr>
          <w:i/>
          <w:iCs/>
          <w:lang w:val="en-GB"/>
        </w:rPr>
        <w:t>Theor</w:t>
      </w:r>
      <w:proofErr w:type="spellEnd"/>
      <w:r w:rsidRPr="00953CD4">
        <w:rPr>
          <w:i/>
          <w:iCs/>
          <w:lang w:val="en-GB"/>
        </w:rPr>
        <w:t>. Biol.</w:t>
      </w:r>
      <w:r w:rsidRPr="00953CD4">
        <w:rPr>
          <w:lang w:val="en-GB"/>
        </w:rPr>
        <w:t xml:space="preserve"> </w:t>
      </w:r>
      <w:r w:rsidRPr="00953CD4">
        <w:rPr>
          <w:b/>
          <w:bCs/>
          <w:lang w:val="en-GB"/>
        </w:rPr>
        <w:t>229</w:t>
      </w:r>
      <w:r w:rsidRPr="00953CD4">
        <w:rPr>
          <w:lang w:val="en-GB"/>
        </w:rPr>
        <w:t>, 209–220.</w:t>
      </w:r>
    </w:p>
    <w:p w:rsidR="003704F2" w:rsidRPr="00953CD4" w:rsidRDefault="003704F2" w:rsidP="001D3E43">
      <w:pPr>
        <w:pStyle w:val="Literaturverzeichnis1"/>
        <w:rPr>
          <w:lang w:val="en-GB"/>
        </w:rPr>
      </w:pPr>
      <w:proofErr w:type="spellStart"/>
      <w:proofErr w:type="gramStart"/>
      <w:r w:rsidRPr="00953CD4">
        <w:rPr>
          <w:b/>
          <w:bCs/>
          <w:lang w:val="en-GB"/>
        </w:rPr>
        <w:t>Bolteus</w:t>
      </w:r>
      <w:proofErr w:type="spellEnd"/>
      <w:r w:rsidRPr="00953CD4">
        <w:rPr>
          <w:b/>
          <w:bCs/>
          <w:lang w:val="en-GB"/>
        </w:rPr>
        <w:t xml:space="preserve">, A. J. and </w:t>
      </w:r>
      <w:proofErr w:type="spellStart"/>
      <w:r w:rsidRPr="00953CD4">
        <w:rPr>
          <w:b/>
          <w:bCs/>
          <w:lang w:val="en-GB"/>
        </w:rPr>
        <w:t>Bordey</w:t>
      </w:r>
      <w:proofErr w:type="spellEnd"/>
      <w:r w:rsidRPr="00953CD4">
        <w:rPr>
          <w:b/>
          <w:bCs/>
          <w:lang w:val="en-GB"/>
        </w:rPr>
        <w:t>, A.</w:t>
      </w:r>
      <w:r w:rsidRPr="00953CD4">
        <w:rPr>
          <w:lang w:val="en-GB"/>
        </w:rPr>
        <w:t xml:space="preserve"> (2004).</w:t>
      </w:r>
      <w:proofErr w:type="gramEnd"/>
      <w:r w:rsidRPr="00953CD4">
        <w:rPr>
          <w:lang w:val="en-GB"/>
        </w:rPr>
        <w:t xml:space="preserve"> GABA Release and Uptake Regulate Neuronal Precursor Migration in the Postnatal </w:t>
      </w:r>
      <w:proofErr w:type="spellStart"/>
      <w:r w:rsidRPr="00953CD4">
        <w:rPr>
          <w:lang w:val="en-GB"/>
        </w:rPr>
        <w:t>Subventricular</w:t>
      </w:r>
      <w:proofErr w:type="spellEnd"/>
      <w:r w:rsidRPr="00953CD4">
        <w:rPr>
          <w:lang w:val="en-GB"/>
        </w:rPr>
        <w:t xml:space="preserve"> Zone. </w:t>
      </w:r>
      <w:r w:rsidRPr="00953CD4">
        <w:rPr>
          <w:i/>
          <w:iCs/>
          <w:lang w:val="en-GB"/>
        </w:rPr>
        <w:t xml:space="preserve">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24</w:t>
      </w:r>
      <w:r w:rsidRPr="00953CD4">
        <w:rPr>
          <w:lang w:val="en-GB"/>
        </w:rPr>
        <w:t>, 7623–7631.</w:t>
      </w:r>
    </w:p>
    <w:p w:rsidR="003704F2" w:rsidRPr="00953CD4" w:rsidRDefault="003704F2" w:rsidP="001D3E43">
      <w:pPr>
        <w:pStyle w:val="Literaturverzeichnis1"/>
        <w:rPr>
          <w:lang w:val="en-GB"/>
        </w:rPr>
      </w:pPr>
      <w:proofErr w:type="spellStart"/>
      <w:proofErr w:type="gramStart"/>
      <w:r w:rsidRPr="00953CD4">
        <w:rPr>
          <w:b/>
          <w:bCs/>
          <w:lang w:val="en-GB"/>
        </w:rPr>
        <w:t>Bortone</w:t>
      </w:r>
      <w:proofErr w:type="spellEnd"/>
      <w:r w:rsidRPr="00953CD4">
        <w:rPr>
          <w:b/>
          <w:bCs/>
          <w:lang w:val="en-GB"/>
        </w:rPr>
        <w:t xml:space="preserve">, D. and </w:t>
      </w:r>
      <w:proofErr w:type="spellStart"/>
      <w:r w:rsidRPr="00953CD4">
        <w:rPr>
          <w:b/>
          <w:bCs/>
          <w:lang w:val="en-GB"/>
        </w:rPr>
        <w:t>Polleux</w:t>
      </w:r>
      <w:proofErr w:type="spellEnd"/>
      <w:r w:rsidRPr="00953CD4">
        <w:rPr>
          <w:b/>
          <w:bCs/>
          <w:lang w:val="en-GB"/>
        </w:rPr>
        <w:t>, F.</w:t>
      </w:r>
      <w:r w:rsidRPr="00953CD4">
        <w:rPr>
          <w:lang w:val="en-GB"/>
        </w:rPr>
        <w:t xml:space="preserve"> (2009).</w:t>
      </w:r>
      <w:proofErr w:type="gramEnd"/>
      <w:r w:rsidRPr="00953CD4">
        <w:rPr>
          <w:lang w:val="en-GB"/>
        </w:rPr>
        <w:t xml:space="preserve"> KCC2 expression promotes the termination of cortical interneuron migration in a voltage-sensitive calcium-dependent manner. </w:t>
      </w:r>
      <w:r w:rsidRPr="00953CD4">
        <w:rPr>
          <w:i/>
          <w:iCs/>
          <w:lang w:val="en-GB"/>
        </w:rPr>
        <w:t>Neuron</w:t>
      </w:r>
      <w:r w:rsidRPr="00953CD4">
        <w:rPr>
          <w:lang w:val="en-GB"/>
        </w:rPr>
        <w:t xml:space="preserve"> </w:t>
      </w:r>
      <w:r w:rsidRPr="00953CD4">
        <w:rPr>
          <w:b/>
          <w:bCs/>
          <w:lang w:val="en-GB"/>
        </w:rPr>
        <w:t>62</w:t>
      </w:r>
      <w:r w:rsidRPr="00953CD4">
        <w:rPr>
          <w:lang w:val="en-GB"/>
        </w:rPr>
        <w:t>, 53–71.</w:t>
      </w:r>
    </w:p>
    <w:p w:rsidR="003704F2" w:rsidRPr="00953CD4" w:rsidRDefault="003704F2" w:rsidP="001D3E43">
      <w:pPr>
        <w:pStyle w:val="Literaturverzeichnis1"/>
        <w:rPr>
          <w:lang w:val="en-GB"/>
        </w:rPr>
      </w:pPr>
      <w:proofErr w:type="spellStart"/>
      <w:proofErr w:type="gramStart"/>
      <w:r w:rsidRPr="00953CD4">
        <w:rPr>
          <w:b/>
          <w:bCs/>
          <w:lang w:val="en-GB"/>
        </w:rPr>
        <w:t>Boulland</w:t>
      </w:r>
      <w:proofErr w:type="spellEnd"/>
      <w:r w:rsidRPr="00953CD4">
        <w:rPr>
          <w:b/>
          <w:bCs/>
          <w:lang w:val="en-GB"/>
        </w:rPr>
        <w:t xml:space="preserve">, J.-L., </w:t>
      </w:r>
      <w:proofErr w:type="spellStart"/>
      <w:r w:rsidRPr="00953CD4">
        <w:rPr>
          <w:b/>
          <w:bCs/>
          <w:lang w:val="en-GB"/>
        </w:rPr>
        <w:t>Rafiki</w:t>
      </w:r>
      <w:proofErr w:type="spellEnd"/>
      <w:r w:rsidRPr="00953CD4">
        <w:rPr>
          <w:b/>
          <w:bCs/>
          <w:lang w:val="en-GB"/>
        </w:rPr>
        <w:t>, A., Levy, L. M., Storm-</w:t>
      </w:r>
      <w:proofErr w:type="spellStart"/>
      <w:r w:rsidRPr="00953CD4">
        <w:rPr>
          <w:b/>
          <w:bCs/>
          <w:lang w:val="en-GB"/>
        </w:rPr>
        <w:t>Mathisen</w:t>
      </w:r>
      <w:proofErr w:type="spellEnd"/>
      <w:r w:rsidRPr="00953CD4">
        <w:rPr>
          <w:b/>
          <w:bCs/>
          <w:lang w:val="en-GB"/>
        </w:rPr>
        <w:t>, J. and Chaudhry, F. A.</w:t>
      </w:r>
      <w:r w:rsidRPr="00953CD4">
        <w:rPr>
          <w:lang w:val="en-GB"/>
        </w:rPr>
        <w:t xml:space="preserve"> (2003).</w:t>
      </w:r>
      <w:proofErr w:type="gramEnd"/>
      <w:r w:rsidRPr="00953CD4">
        <w:rPr>
          <w:lang w:val="en-GB"/>
        </w:rPr>
        <w:t xml:space="preserve"> </w:t>
      </w:r>
      <w:proofErr w:type="gramStart"/>
      <w:r w:rsidRPr="00953CD4">
        <w:rPr>
          <w:lang w:val="en-GB"/>
        </w:rPr>
        <w:t xml:space="preserve">Highly differential expression of SN1, a bidirectional glutamine transporter, in </w:t>
      </w:r>
      <w:proofErr w:type="spellStart"/>
      <w:r w:rsidRPr="00953CD4">
        <w:rPr>
          <w:lang w:val="en-GB"/>
        </w:rPr>
        <w:t>astroglia</w:t>
      </w:r>
      <w:proofErr w:type="spellEnd"/>
      <w:r w:rsidRPr="00953CD4">
        <w:rPr>
          <w:lang w:val="en-GB"/>
        </w:rPr>
        <w:t xml:space="preserve"> and endothelium in the developing rat brain.</w:t>
      </w:r>
      <w:proofErr w:type="gramEnd"/>
      <w:r w:rsidRPr="00953CD4">
        <w:rPr>
          <w:lang w:val="en-GB"/>
        </w:rPr>
        <w:t xml:space="preserve"> </w:t>
      </w:r>
      <w:r w:rsidRPr="00953CD4">
        <w:rPr>
          <w:i/>
          <w:iCs/>
          <w:lang w:val="en-GB"/>
        </w:rPr>
        <w:t>Glia</w:t>
      </w:r>
      <w:r w:rsidRPr="00953CD4">
        <w:rPr>
          <w:lang w:val="en-GB"/>
        </w:rPr>
        <w:t xml:space="preserve"> </w:t>
      </w:r>
      <w:r w:rsidRPr="00953CD4">
        <w:rPr>
          <w:b/>
          <w:bCs/>
          <w:lang w:val="en-GB"/>
        </w:rPr>
        <w:t>41</w:t>
      </w:r>
      <w:r w:rsidRPr="00953CD4">
        <w:rPr>
          <w:lang w:val="en-GB"/>
        </w:rPr>
        <w:t>, 260–275.</w:t>
      </w:r>
    </w:p>
    <w:p w:rsidR="003704F2" w:rsidRPr="00953CD4" w:rsidRDefault="003704F2" w:rsidP="001D3E43">
      <w:pPr>
        <w:pStyle w:val="Literaturverzeichnis1"/>
        <w:rPr>
          <w:lang w:val="en-GB"/>
        </w:rPr>
      </w:pPr>
      <w:proofErr w:type="spellStart"/>
      <w:proofErr w:type="gramStart"/>
      <w:r w:rsidRPr="00953CD4">
        <w:rPr>
          <w:b/>
          <w:bCs/>
          <w:lang w:val="en-GB"/>
        </w:rPr>
        <w:t>Bouzigues</w:t>
      </w:r>
      <w:proofErr w:type="spellEnd"/>
      <w:r w:rsidRPr="00953CD4">
        <w:rPr>
          <w:b/>
          <w:bCs/>
          <w:lang w:val="en-GB"/>
        </w:rPr>
        <w:t xml:space="preserve">, C., Morel, M., </w:t>
      </w:r>
      <w:proofErr w:type="spellStart"/>
      <w:r w:rsidRPr="00953CD4">
        <w:rPr>
          <w:b/>
          <w:bCs/>
          <w:lang w:val="en-GB"/>
        </w:rPr>
        <w:t>Triller</w:t>
      </w:r>
      <w:proofErr w:type="spellEnd"/>
      <w:r w:rsidRPr="00953CD4">
        <w:rPr>
          <w:b/>
          <w:bCs/>
          <w:lang w:val="en-GB"/>
        </w:rPr>
        <w:t xml:space="preserve">, A. and </w:t>
      </w:r>
      <w:proofErr w:type="spellStart"/>
      <w:r w:rsidRPr="00953CD4">
        <w:rPr>
          <w:b/>
          <w:bCs/>
          <w:lang w:val="en-GB"/>
        </w:rPr>
        <w:t>Dahan</w:t>
      </w:r>
      <w:proofErr w:type="spellEnd"/>
      <w:r w:rsidRPr="00953CD4">
        <w:rPr>
          <w:b/>
          <w:bCs/>
          <w:lang w:val="en-GB"/>
        </w:rPr>
        <w:t>, M.</w:t>
      </w:r>
      <w:r w:rsidRPr="00953CD4">
        <w:rPr>
          <w:lang w:val="en-GB"/>
        </w:rPr>
        <w:t xml:space="preserve"> (2007).</w:t>
      </w:r>
      <w:proofErr w:type="gramEnd"/>
      <w:r w:rsidRPr="00953CD4">
        <w:rPr>
          <w:lang w:val="en-GB"/>
        </w:rPr>
        <w:t xml:space="preserve"> </w:t>
      </w:r>
      <w:proofErr w:type="gramStart"/>
      <w:r w:rsidRPr="00953CD4">
        <w:rPr>
          <w:lang w:val="en-GB"/>
        </w:rPr>
        <w:t xml:space="preserve">Asymmetric redistribution of GABA receptors during GABA gradient sensing by nerve growth cones </w:t>
      </w:r>
      <w:proofErr w:type="spellStart"/>
      <w:r w:rsidRPr="00953CD4">
        <w:rPr>
          <w:lang w:val="en-GB"/>
        </w:rPr>
        <w:t>analyzed</w:t>
      </w:r>
      <w:proofErr w:type="spellEnd"/>
      <w:r w:rsidRPr="00953CD4">
        <w:rPr>
          <w:lang w:val="en-GB"/>
        </w:rPr>
        <w:t xml:space="preserve"> by single quantum dot imaging.</w:t>
      </w:r>
      <w:proofErr w:type="gramEnd"/>
      <w:r w:rsidRPr="00953CD4">
        <w:rPr>
          <w:lang w:val="en-GB"/>
        </w:rPr>
        <w:t xml:space="preserve"> </w:t>
      </w:r>
      <w:r w:rsidRPr="00953CD4">
        <w:rPr>
          <w:i/>
          <w:iCs/>
          <w:lang w:val="en-GB"/>
        </w:rPr>
        <w:t>Proc. Natl. Acad. Sci. U. S. A.</w:t>
      </w:r>
      <w:r w:rsidRPr="00953CD4">
        <w:rPr>
          <w:lang w:val="en-GB"/>
        </w:rPr>
        <w:t xml:space="preserve"> </w:t>
      </w:r>
      <w:r w:rsidRPr="00953CD4">
        <w:rPr>
          <w:b/>
          <w:bCs/>
          <w:lang w:val="en-GB"/>
        </w:rPr>
        <w:t>104</w:t>
      </w:r>
      <w:r w:rsidRPr="00953CD4">
        <w:rPr>
          <w:lang w:val="en-GB"/>
        </w:rPr>
        <w:t>, 11251–11256.</w:t>
      </w:r>
    </w:p>
    <w:p w:rsidR="003704F2" w:rsidRPr="00953CD4" w:rsidRDefault="003704F2" w:rsidP="001D3E43">
      <w:pPr>
        <w:pStyle w:val="Literaturverzeichnis1"/>
        <w:rPr>
          <w:lang w:val="en-GB"/>
        </w:rPr>
      </w:pPr>
      <w:proofErr w:type="spellStart"/>
      <w:proofErr w:type="gramStart"/>
      <w:r w:rsidRPr="00953CD4">
        <w:rPr>
          <w:b/>
          <w:bCs/>
          <w:lang w:val="en-GB"/>
        </w:rPr>
        <w:t>Broeke</w:t>
      </w:r>
      <w:proofErr w:type="spellEnd"/>
      <w:r w:rsidRPr="00953CD4">
        <w:rPr>
          <w:b/>
          <w:bCs/>
          <w:lang w:val="en-GB"/>
        </w:rPr>
        <w:t xml:space="preserve">, J. H. P., </w:t>
      </w:r>
      <w:proofErr w:type="spellStart"/>
      <w:r w:rsidRPr="00953CD4">
        <w:rPr>
          <w:b/>
          <w:bCs/>
          <w:lang w:val="en-GB"/>
        </w:rPr>
        <w:t>Roelandse</w:t>
      </w:r>
      <w:proofErr w:type="spellEnd"/>
      <w:r w:rsidRPr="00953CD4">
        <w:rPr>
          <w:b/>
          <w:bCs/>
          <w:lang w:val="en-GB"/>
        </w:rPr>
        <w:t xml:space="preserve">, M., </w:t>
      </w:r>
      <w:proofErr w:type="spellStart"/>
      <w:r w:rsidRPr="00953CD4">
        <w:rPr>
          <w:b/>
          <w:bCs/>
          <w:lang w:val="en-GB"/>
        </w:rPr>
        <w:t>Luteijn</w:t>
      </w:r>
      <w:proofErr w:type="spellEnd"/>
      <w:r w:rsidRPr="00953CD4">
        <w:rPr>
          <w:b/>
          <w:bCs/>
          <w:lang w:val="en-GB"/>
        </w:rPr>
        <w:t xml:space="preserve">, M. J., </w:t>
      </w:r>
      <w:proofErr w:type="spellStart"/>
      <w:r w:rsidRPr="00953CD4">
        <w:rPr>
          <w:b/>
          <w:bCs/>
          <w:lang w:val="en-GB"/>
        </w:rPr>
        <w:t>Boiko</w:t>
      </w:r>
      <w:proofErr w:type="spellEnd"/>
      <w:r w:rsidRPr="00953CD4">
        <w:rPr>
          <w:b/>
          <w:bCs/>
          <w:lang w:val="en-GB"/>
        </w:rPr>
        <w:t xml:space="preserve">, T., </w:t>
      </w:r>
      <w:proofErr w:type="spellStart"/>
      <w:r w:rsidRPr="00953CD4">
        <w:rPr>
          <w:b/>
          <w:bCs/>
          <w:lang w:val="en-GB"/>
        </w:rPr>
        <w:t>Matus</w:t>
      </w:r>
      <w:proofErr w:type="spellEnd"/>
      <w:r w:rsidRPr="00953CD4">
        <w:rPr>
          <w:b/>
          <w:bCs/>
          <w:lang w:val="en-GB"/>
        </w:rPr>
        <w:t xml:space="preserve">, A., </w:t>
      </w:r>
      <w:proofErr w:type="spellStart"/>
      <w:r w:rsidRPr="00953CD4">
        <w:rPr>
          <w:b/>
          <w:bCs/>
          <w:lang w:val="en-GB"/>
        </w:rPr>
        <w:t>Toonen</w:t>
      </w:r>
      <w:proofErr w:type="spellEnd"/>
      <w:r w:rsidRPr="00953CD4">
        <w:rPr>
          <w:b/>
          <w:bCs/>
          <w:lang w:val="en-GB"/>
        </w:rPr>
        <w:t xml:space="preserve">, R. F. and </w:t>
      </w:r>
      <w:proofErr w:type="spellStart"/>
      <w:r w:rsidRPr="00953CD4">
        <w:rPr>
          <w:b/>
          <w:bCs/>
          <w:lang w:val="en-GB"/>
        </w:rPr>
        <w:t>Verhage</w:t>
      </w:r>
      <w:proofErr w:type="spellEnd"/>
      <w:r w:rsidRPr="00953CD4">
        <w:rPr>
          <w:b/>
          <w:bCs/>
          <w:lang w:val="en-GB"/>
        </w:rPr>
        <w:t>, M.</w:t>
      </w:r>
      <w:r w:rsidRPr="00953CD4">
        <w:rPr>
          <w:lang w:val="en-GB"/>
        </w:rPr>
        <w:t xml:space="preserve"> (2010).</w:t>
      </w:r>
      <w:proofErr w:type="gramEnd"/>
      <w:r w:rsidRPr="00953CD4">
        <w:rPr>
          <w:lang w:val="en-GB"/>
        </w:rPr>
        <w:t xml:space="preserve"> Munc18 and Munc13 regulate early neurite outgrowth. </w:t>
      </w:r>
      <w:r w:rsidRPr="00953CD4">
        <w:rPr>
          <w:i/>
          <w:iCs/>
          <w:lang w:val="en-GB"/>
        </w:rPr>
        <w:t>Biol. Cell</w:t>
      </w:r>
      <w:r w:rsidRPr="00953CD4">
        <w:rPr>
          <w:lang w:val="en-GB"/>
        </w:rPr>
        <w:t xml:space="preserve"> </w:t>
      </w:r>
      <w:r w:rsidRPr="00953CD4">
        <w:rPr>
          <w:b/>
          <w:bCs/>
          <w:lang w:val="en-GB"/>
        </w:rPr>
        <w:t>102</w:t>
      </w:r>
      <w:r w:rsidRPr="00953CD4">
        <w:rPr>
          <w:lang w:val="en-GB"/>
        </w:rPr>
        <w:t>, 479–488.</w:t>
      </w:r>
    </w:p>
    <w:p w:rsidR="003704F2" w:rsidRPr="00953CD4" w:rsidRDefault="003704F2" w:rsidP="001D3E43">
      <w:pPr>
        <w:pStyle w:val="Literaturverzeichnis1"/>
        <w:rPr>
          <w:lang w:val="en-GB"/>
        </w:rPr>
      </w:pPr>
      <w:proofErr w:type="gramStart"/>
      <w:r w:rsidRPr="00953CD4">
        <w:rPr>
          <w:b/>
          <w:bCs/>
          <w:lang w:val="en-GB"/>
        </w:rPr>
        <w:t xml:space="preserve">Cameron, D. B., Kasai, K., Jiang, Y., Hu, T., Saeki, Y. and </w:t>
      </w:r>
      <w:proofErr w:type="spellStart"/>
      <w:r w:rsidRPr="00953CD4">
        <w:rPr>
          <w:b/>
          <w:bCs/>
          <w:lang w:val="en-GB"/>
        </w:rPr>
        <w:t>Komuro</w:t>
      </w:r>
      <w:proofErr w:type="spellEnd"/>
      <w:r w:rsidRPr="00953CD4">
        <w:rPr>
          <w:b/>
          <w:bCs/>
          <w:lang w:val="en-GB"/>
        </w:rPr>
        <w:t>, H.</w:t>
      </w:r>
      <w:r w:rsidRPr="00953CD4">
        <w:rPr>
          <w:lang w:val="en-GB"/>
        </w:rPr>
        <w:t xml:space="preserve"> (2009).</w:t>
      </w:r>
      <w:proofErr w:type="gramEnd"/>
      <w:r w:rsidRPr="00953CD4">
        <w:rPr>
          <w:lang w:val="en-GB"/>
        </w:rPr>
        <w:t xml:space="preserve"> </w:t>
      </w:r>
      <w:proofErr w:type="gramStart"/>
      <w:r w:rsidRPr="00953CD4">
        <w:rPr>
          <w:lang w:val="en-GB"/>
        </w:rPr>
        <w:t>Four Distinct Phases of Basket/Stellate Cell Migration after Entering their Final Destination (the Molecular Layer) in the Developing Cerebellum.</w:t>
      </w:r>
      <w:proofErr w:type="gramEnd"/>
      <w:r w:rsidRPr="00953CD4">
        <w:rPr>
          <w:lang w:val="en-GB"/>
        </w:rPr>
        <w:t xml:space="preserve"> </w:t>
      </w:r>
      <w:r w:rsidRPr="00953CD4">
        <w:rPr>
          <w:i/>
          <w:iCs/>
          <w:lang w:val="en-GB"/>
        </w:rPr>
        <w:t>Dev. Biol.</w:t>
      </w:r>
      <w:r w:rsidRPr="00953CD4">
        <w:rPr>
          <w:lang w:val="en-GB"/>
        </w:rPr>
        <w:t xml:space="preserve"> </w:t>
      </w:r>
      <w:r w:rsidRPr="00953CD4">
        <w:rPr>
          <w:b/>
          <w:bCs/>
          <w:lang w:val="en-GB"/>
        </w:rPr>
        <w:t>332</w:t>
      </w:r>
      <w:r w:rsidRPr="00953CD4">
        <w:rPr>
          <w:lang w:val="en-GB"/>
        </w:rPr>
        <w:t>, 309–324.</w:t>
      </w:r>
    </w:p>
    <w:p w:rsidR="009A6156" w:rsidRPr="00953CD4" w:rsidRDefault="009A6156" w:rsidP="009A6156">
      <w:pPr>
        <w:pStyle w:val="Literaturverzeichnis1"/>
        <w:rPr>
          <w:b/>
          <w:bCs/>
          <w:lang w:val="en-GB"/>
        </w:rPr>
      </w:pPr>
      <w:proofErr w:type="gramStart"/>
      <w:r w:rsidRPr="00953CD4">
        <w:rPr>
          <w:b/>
          <w:bCs/>
          <w:lang w:val="en-GB"/>
        </w:rPr>
        <w:t xml:space="preserve">Carter, A. G. and </w:t>
      </w:r>
      <w:proofErr w:type="spellStart"/>
      <w:r w:rsidRPr="00953CD4">
        <w:rPr>
          <w:b/>
          <w:bCs/>
          <w:lang w:val="en-GB"/>
        </w:rPr>
        <w:t>Regehr</w:t>
      </w:r>
      <w:proofErr w:type="spellEnd"/>
      <w:r w:rsidRPr="00953CD4">
        <w:rPr>
          <w:b/>
          <w:bCs/>
          <w:lang w:val="en-GB"/>
        </w:rPr>
        <w:t xml:space="preserve">, W. G. </w:t>
      </w:r>
      <w:r w:rsidRPr="00953CD4">
        <w:rPr>
          <w:bCs/>
          <w:lang w:val="en-GB"/>
        </w:rPr>
        <w:t>(2002).</w:t>
      </w:r>
      <w:proofErr w:type="gramEnd"/>
      <w:r w:rsidRPr="00953CD4">
        <w:rPr>
          <w:bCs/>
          <w:lang w:val="en-GB"/>
        </w:rPr>
        <w:t xml:space="preserve"> Quantal events shape cerebellar interneuron firing. </w:t>
      </w:r>
      <w:r w:rsidRPr="00953CD4">
        <w:rPr>
          <w:bCs/>
          <w:i/>
          <w:iCs/>
          <w:lang w:val="en-GB"/>
        </w:rPr>
        <w:t xml:space="preserve">Nat. </w:t>
      </w:r>
      <w:proofErr w:type="spellStart"/>
      <w:r w:rsidRPr="00953CD4">
        <w:rPr>
          <w:bCs/>
          <w:i/>
          <w:iCs/>
          <w:lang w:val="en-GB"/>
        </w:rPr>
        <w:t>Neurosci</w:t>
      </w:r>
      <w:proofErr w:type="spellEnd"/>
      <w:r w:rsidRPr="00953CD4">
        <w:rPr>
          <w:bCs/>
          <w:i/>
          <w:iCs/>
          <w:lang w:val="en-GB"/>
        </w:rPr>
        <w:t>.</w:t>
      </w:r>
      <w:r w:rsidRPr="00953CD4">
        <w:rPr>
          <w:bCs/>
          <w:lang w:val="en-GB"/>
        </w:rPr>
        <w:t xml:space="preserve"> </w:t>
      </w:r>
      <w:r w:rsidRPr="00953CD4">
        <w:rPr>
          <w:b/>
          <w:bCs/>
          <w:lang w:val="en-GB"/>
        </w:rPr>
        <w:t>5</w:t>
      </w:r>
      <w:r w:rsidRPr="00953CD4">
        <w:rPr>
          <w:bCs/>
          <w:lang w:val="en-GB"/>
        </w:rPr>
        <w:t>, 1309-1318.</w:t>
      </w:r>
    </w:p>
    <w:p w:rsidR="003704F2" w:rsidRPr="00953CD4" w:rsidRDefault="003704F2" w:rsidP="001D3E43">
      <w:pPr>
        <w:pStyle w:val="Literaturverzeichnis1"/>
        <w:rPr>
          <w:lang w:val="en-GB"/>
        </w:rPr>
      </w:pPr>
      <w:proofErr w:type="spellStart"/>
      <w:r w:rsidRPr="00953CD4">
        <w:rPr>
          <w:b/>
          <w:bCs/>
          <w:lang w:val="en-GB"/>
        </w:rPr>
        <w:t>Costes</w:t>
      </w:r>
      <w:proofErr w:type="spellEnd"/>
      <w:r w:rsidRPr="00953CD4">
        <w:rPr>
          <w:b/>
          <w:bCs/>
          <w:lang w:val="en-GB"/>
        </w:rPr>
        <w:t xml:space="preserve">, S. V., </w:t>
      </w:r>
      <w:proofErr w:type="spellStart"/>
      <w:r w:rsidRPr="00953CD4">
        <w:rPr>
          <w:b/>
          <w:bCs/>
          <w:lang w:val="en-GB"/>
        </w:rPr>
        <w:t>Daelemans</w:t>
      </w:r>
      <w:proofErr w:type="spellEnd"/>
      <w:r w:rsidRPr="00953CD4">
        <w:rPr>
          <w:b/>
          <w:bCs/>
          <w:lang w:val="en-GB"/>
        </w:rPr>
        <w:t xml:space="preserve">, D., Cho, E. H., Dobbin, Z., </w:t>
      </w:r>
      <w:proofErr w:type="spellStart"/>
      <w:r w:rsidRPr="00953CD4">
        <w:rPr>
          <w:b/>
          <w:bCs/>
          <w:lang w:val="en-GB"/>
        </w:rPr>
        <w:t>Pavlakis</w:t>
      </w:r>
      <w:proofErr w:type="spellEnd"/>
      <w:r w:rsidRPr="00953CD4">
        <w:rPr>
          <w:b/>
          <w:bCs/>
          <w:lang w:val="en-GB"/>
        </w:rPr>
        <w:t>, G. and Lockett, S.</w:t>
      </w:r>
      <w:r w:rsidRPr="00953CD4">
        <w:rPr>
          <w:lang w:val="en-GB"/>
        </w:rPr>
        <w:t xml:space="preserve"> (2004). </w:t>
      </w:r>
      <w:proofErr w:type="gramStart"/>
      <w:r w:rsidRPr="00953CD4">
        <w:rPr>
          <w:lang w:val="en-GB"/>
        </w:rPr>
        <w:t xml:space="preserve">Automatic and Quantitative Measurement of Protein-Protein </w:t>
      </w:r>
      <w:proofErr w:type="spellStart"/>
      <w:r w:rsidRPr="00953CD4">
        <w:rPr>
          <w:lang w:val="en-GB"/>
        </w:rPr>
        <w:t>Colocalization</w:t>
      </w:r>
      <w:proofErr w:type="spellEnd"/>
      <w:r w:rsidRPr="00953CD4">
        <w:rPr>
          <w:lang w:val="en-GB"/>
        </w:rPr>
        <w:t xml:space="preserve"> in Live Cells.</w:t>
      </w:r>
      <w:proofErr w:type="gramEnd"/>
      <w:r w:rsidRPr="00953CD4">
        <w:rPr>
          <w:lang w:val="en-GB"/>
        </w:rPr>
        <w:t xml:space="preserve"> </w:t>
      </w:r>
      <w:proofErr w:type="spellStart"/>
      <w:proofErr w:type="gramStart"/>
      <w:r w:rsidRPr="00953CD4">
        <w:rPr>
          <w:i/>
          <w:iCs/>
          <w:lang w:val="en-GB"/>
        </w:rPr>
        <w:t>Biophys</w:t>
      </w:r>
      <w:proofErr w:type="spellEnd"/>
      <w:r w:rsidRPr="00953CD4">
        <w:rPr>
          <w:i/>
          <w:iCs/>
          <w:lang w:val="en-GB"/>
        </w:rPr>
        <w:t>.</w:t>
      </w:r>
      <w:proofErr w:type="gramEnd"/>
      <w:r w:rsidRPr="00953CD4">
        <w:rPr>
          <w:i/>
          <w:iCs/>
          <w:lang w:val="en-GB"/>
        </w:rPr>
        <w:t xml:space="preserve"> J.</w:t>
      </w:r>
      <w:r w:rsidRPr="00953CD4">
        <w:rPr>
          <w:lang w:val="en-GB"/>
        </w:rPr>
        <w:t xml:space="preserve"> </w:t>
      </w:r>
      <w:r w:rsidRPr="00953CD4">
        <w:rPr>
          <w:b/>
          <w:bCs/>
          <w:lang w:val="en-GB"/>
        </w:rPr>
        <w:t>86</w:t>
      </w:r>
      <w:r w:rsidRPr="00953CD4">
        <w:rPr>
          <w:lang w:val="en-GB"/>
        </w:rPr>
        <w:t>, 3993–4003.</w:t>
      </w:r>
    </w:p>
    <w:p w:rsidR="003704F2" w:rsidRPr="00953CD4" w:rsidRDefault="003704F2" w:rsidP="001D3E43">
      <w:pPr>
        <w:pStyle w:val="Literaturverzeichnis1"/>
        <w:rPr>
          <w:lang w:val="en-GB"/>
        </w:rPr>
      </w:pPr>
      <w:proofErr w:type="spellStart"/>
      <w:proofErr w:type="gramStart"/>
      <w:r w:rsidRPr="00953CD4">
        <w:rPr>
          <w:b/>
          <w:bCs/>
          <w:lang w:val="en-GB"/>
        </w:rPr>
        <w:t>Cuzon</w:t>
      </w:r>
      <w:proofErr w:type="spellEnd"/>
      <w:r w:rsidRPr="00953CD4">
        <w:rPr>
          <w:b/>
          <w:bCs/>
          <w:lang w:val="en-GB"/>
        </w:rPr>
        <w:t xml:space="preserve">, V. C., </w:t>
      </w:r>
      <w:proofErr w:type="spellStart"/>
      <w:r w:rsidRPr="00953CD4">
        <w:rPr>
          <w:b/>
          <w:bCs/>
          <w:lang w:val="en-GB"/>
        </w:rPr>
        <w:t>Yeh</w:t>
      </w:r>
      <w:proofErr w:type="spellEnd"/>
      <w:r w:rsidRPr="00953CD4">
        <w:rPr>
          <w:b/>
          <w:bCs/>
          <w:lang w:val="en-GB"/>
        </w:rPr>
        <w:t xml:space="preserve">, P. W., Cheng, Q. and </w:t>
      </w:r>
      <w:proofErr w:type="spellStart"/>
      <w:r w:rsidRPr="00953CD4">
        <w:rPr>
          <w:b/>
          <w:bCs/>
          <w:lang w:val="en-GB"/>
        </w:rPr>
        <w:t>Yeh</w:t>
      </w:r>
      <w:proofErr w:type="spellEnd"/>
      <w:r w:rsidRPr="00953CD4">
        <w:rPr>
          <w:b/>
          <w:bCs/>
          <w:lang w:val="en-GB"/>
        </w:rPr>
        <w:t>, H. H.</w:t>
      </w:r>
      <w:r w:rsidRPr="00953CD4">
        <w:rPr>
          <w:lang w:val="en-GB"/>
        </w:rPr>
        <w:t xml:space="preserve"> (2006).</w:t>
      </w:r>
      <w:proofErr w:type="gramEnd"/>
      <w:r w:rsidRPr="00953CD4">
        <w:rPr>
          <w:lang w:val="en-GB"/>
        </w:rPr>
        <w:t xml:space="preserve"> Ambient GABA Promotes Cortical Entry of Tangentially Migrating Cells Derived from the Medial Ganglionic Eminence. </w:t>
      </w:r>
      <w:proofErr w:type="spellStart"/>
      <w:proofErr w:type="gramStart"/>
      <w:r w:rsidRPr="00953CD4">
        <w:rPr>
          <w:i/>
          <w:iCs/>
          <w:lang w:val="en-GB"/>
        </w:rPr>
        <w:t>Cereb</w:t>
      </w:r>
      <w:proofErr w:type="spellEnd"/>
      <w:r w:rsidRPr="00953CD4">
        <w:rPr>
          <w:i/>
          <w:iCs/>
          <w:lang w:val="en-GB"/>
        </w:rPr>
        <w:t>.</w:t>
      </w:r>
      <w:proofErr w:type="gramEnd"/>
      <w:r w:rsidRPr="00953CD4">
        <w:rPr>
          <w:i/>
          <w:iCs/>
          <w:lang w:val="en-GB"/>
        </w:rPr>
        <w:t xml:space="preserve"> Cortex</w:t>
      </w:r>
      <w:r w:rsidRPr="00953CD4">
        <w:rPr>
          <w:lang w:val="en-GB"/>
        </w:rPr>
        <w:t xml:space="preserve"> </w:t>
      </w:r>
      <w:r w:rsidRPr="00953CD4">
        <w:rPr>
          <w:b/>
          <w:bCs/>
          <w:lang w:val="en-GB"/>
        </w:rPr>
        <w:t>16</w:t>
      </w:r>
      <w:r w:rsidRPr="00953CD4">
        <w:rPr>
          <w:lang w:val="en-GB"/>
        </w:rPr>
        <w:t>, 1377–1388.</w:t>
      </w:r>
    </w:p>
    <w:p w:rsidR="003704F2" w:rsidRPr="00953CD4" w:rsidRDefault="003704F2" w:rsidP="001D3E43">
      <w:pPr>
        <w:pStyle w:val="Literaturverzeichnis1"/>
        <w:rPr>
          <w:lang w:val="en-GB"/>
        </w:rPr>
      </w:pPr>
      <w:proofErr w:type="gramStart"/>
      <w:r w:rsidRPr="00953CD4">
        <w:rPr>
          <w:b/>
          <w:bCs/>
          <w:lang w:val="en-GB"/>
        </w:rPr>
        <w:t>de</w:t>
      </w:r>
      <w:proofErr w:type="gramEnd"/>
      <w:r w:rsidRPr="00953CD4">
        <w:rPr>
          <w:b/>
          <w:bCs/>
          <w:lang w:val="en-GB"/>
        </w:rPr>
        <w:t xml:space="preserve"> Lima, A. D., </w:t>
      </w:r>
      <w:proofErr w:type="spellStart"/>
      <w:r w:rsidRPr="00953CD4">
        <w:rPr>
          <w:b/>
          <w:bCs/>
          <w:lang w:val="en-GB"/>
        </w:rPr>
        <w:t>Gieseler</w:t>
      </w:r>
      <w:proofErr w:type="spellEnd"/>
      <w:r w:rsidRPr="00953CD4">
        <w:rPr>
          <w:b/>
          <w:bCs/>
          <w:lang w:val="en-GB"/>
        </w:rPr>
        <w:t>, A. and Voigt, T.</w:t>
      </w:r>
      <w:r w:rsidRPr="00953CD4">
        <w:rPr>
          <w:lang w:val="en-GB"/>
        </w:rPr>
        <w:t xml:space="preserve"> (2009). </w:t>
      </w:r>
      <w:proofErr w:type="gramStart"/>
      <w:r w:rsidRPr="00953CD4">
        <w:rPr>
          <w:lang w:val="en-GB"/>
        </w:rPr>
        <w:t>Relationship between GABAergic interneurons migration and early neocortical network activity.</w:t>
      </w:r>
      <w:proofErr w:type="gramEnd"/>
      <w:r w:rsidRPr="00953CD4">
        <w:rPr>
          <w:lang w:val="en-GB"/>
        </w:rPr>
        <w:t xml:space="preserve"> </w:t>
      </w:r>
      <w:r w:rsidRPr="00953CD4">
        <w:rPr>
          <w:i/>
          <w:iCs/>
          <w:lang w:val="en-GB"/>
        </w:rPr>
        <w:t xml:space="preserve">Dev. </w:t>
      </w:r>
      <w:proofErr w:type="spellStart"/>
      <w:r w:rsidRPr="00953CD4">
        <w:rPr>
          <w:i/>
          <w:iCs/>
          <w:lang w:val="en-GB"/>
        </w:rPr>
        <w:t>Neurobiol</w:t>
      </w:r>
      <w:proofErr w:type="spellEnd"/>
      <w:r w:rsidRPr="00953CD4">
        <w:rPr>
          <w:i/>
          <w:iCs/>
          <w:lang w:val="en-GB"/>
        </w:rPr>
        <w:t>.</w:t>
      </w:r>
      <w:r w:rsidRPr="00953CD4">
        <w:rPr>
          <w:lang w:val="en-GB"/>
        </w:rPr>
        <w:t xml:space="preserve"> </w:t>
      </w:r>
      <w:r w:rsidRPr="00953CD4">
        <w:rPr>
          <w:b/>
          <w:bCs/>
          <w:lang w:val="en-GB"/>
        </w:rPr>
        <w:t>69</w:t>
      </w:r>
      <w:r w:rsidRPr="00953CD4">
        <w:rPr>
          <w:lang w:val="en-GB"/>
        </w:rPr>
        <w:t>, 105–123.</w:t>
      </w:r>
    </w:p>
    <w:p w:rsidR="003704F2" w:rsidRPr="00953CD4" w:rsidRDefault="003704F2" w:rsidP="001D3E43">
      <w:pPr>
        <w:pStyle w:val="Literaturverzeichnis1"/>
        <w:rPr>
          <w:lang w:val="en-GB"/>
        </w:rPr>
      </w:pPr>
      <w:proofErr w:type="spellStart"/>
      <w:proofErr w:type="gramStart"/>
      <w:r w:rsidRPr="00953CD4">
        <w:rPr>
          <w:b/>
          <w:bCs/>
          <w:lang w:val="en-GB"/>
        </w:rPr>
        <w:t>Dieudonné</w:t>
      </w:r>
      <w:proofErr w:type="spellEnd"/>
      <w:r w:rsidRPr="00953CD4">
        <w:rPr>
          <w:b/>
          <w:bCs/>
          <w:lang w:val="en-GB"/>
        </w:rPr>
        <w:t>, S.</w:t>
      </w:r>
      <w:r w:rsidRPr="00953CD4">
        <w:rPr>
          <w:lang w:val="en-GB"/>
        </w:rPr>
        <w:t xml:space="preserve"> (1995).</w:t>
      </w:r>
      <w:proofErr w:type="gramEnd"/>
      <w:r w:rsidRPr="00953CD4">
        <w:rPr>
          <w:lang w:val="en-GB"/>
        </w:rPr>
        <w:t xml:space="preserve"> </w:t>
      </w:r>
      <w:proofErr w:type="spellStart"/>
      <w:proofErr w:type="gramStart"/>
      <w:r w:rsidRPr="00953CD4">
        <w:rPr>
          <w:lang w:val="en-GB"/>
        </w:rPr>
        <w:t>Glycinergic</w:t>
      </w:r>
      <w:proofErr w:type="spellEnd"/>
      <w:r w:rsidRPr="00953CD4">
        <w:rPr>
          <w:lang w:val="en-GB"/>
        </w:rPr>
        <w:t xml:space="preserve"> synaptic currents in Golgi cells of the rat cerebellum.</w:t>
      </w:r>
      <w:proofErr w:type="gramEnd"/>
      <w:r w:rsidRPr="00953CD4">
        <w:rPr>
          <w:lang w:val="en-GB"/>
        </w:rPr>
        <w:t xml:space="preserve"> </w:t>
      </w:r>
      <w:r w:rsidRPr="00953CD4">
        <w:rPr>
          <w:i/>
          <w:iCs/>
          <w:lang w:val="en-GB"/>
        </w:rPr>
        <w:t>Proc. Natl. Acad. Sci. U. S. A.</w:t>
      </w:r>
      <w:r w:rsidRPr="00953CD4">
        <w:rPr>
          <w:lang w:val="en-GB"/>
        </w:rPr>
        <w:t xml:space="preserve"> </w:t>
      </w:r>
      <w:r w:rsidRPr="00953CD4">
        <w:rPr>
          <w:b/>
          <w:bCs/>
          <w:lang w:val="en-GB"/>
        </w:rPr>
        <w:t>92</w:t>
      </w:r>
      <w:r w:rsidRPr="00953CD4">
        <w:rPr>
          <w:lang w:val="en-GB"/>
        </w:rPr>
        <w:t>, 1441–1445.</w:t>
      </w:r>
    </w:p>
    <w:p w:rsidR="003704F2" w:rsidRPr="00953CD4" w:rsidRDefault="003704F2" w:rsidP="001D3E43">
      <w:pPr>
        <w:pStyle w:val="Literaturverzeichnis1"/>
        <w:rPr>
          <w:lang w:val="en-GB"/>
        </w:rPr>
      </w:pPr>
      <w:proofErr w:type="spellStart"/>
      <w:proofErr w:type="gramStart"/>
      <w:r w:rsidRPr="00953CD4">
        <w:rPr>
          <w:b/>
          <w:bCs/>
          <w:lang w:val="en-GB"/>
        </w:rPr>
        <w:t>Dieudonné</w:t>
      </w:r>
      <w:proofErr w:type="spellEnd"/>
      <w:r w:rsidRPr="00953CD4">
        <w:rPr>
          <w:b/>
          <w:bCs/>
          <w:lang w:val="en-GB"/>
        </w:rPr>
        <w:t>, S.</w:t>
      </w:r>
      <w:r w:rsidRPr="00953CD4">
        <w:rPr>
          <w:lang w:val="en-GB"/>
        </w:rPr>
        <w:t xml:space="preserve"> (1998).</w:t>
      </w:r>
      <w:proofErr w:type="gramEnd"/>
      <w:r w:rsidRPr="00953CD4">
        <w:rPr>
          <w:lang w:val="en-GB"/>
        </w:rPr>
        <w:t xml:space="preserve"> </w:t>
      </w:r>
      <w:proofErr w:type="spellStart"/>
      <w:r w:rsidRPr="00953CD4">
        <w:rPr>
          <w:lang w:val="en-GB"/>
        </w:rPr>
        <w:t>Submillisecond</w:t>
      </w:r>
      <w:proofErr w:type="spellEnd"/>
      <w:r w:rsidRPr="00953CD4">
        <w:rPr>
          <w:lang w:val="en-GB"/>
        </w:rPr>
        <w:t xml:space="preserve"> kinetics and low efficacy of parallel fibre-Golgi cell synaptic currents in the rat cerebellum. </w:t>
      </w:r>
      <w:r w:rsidRPr="00953CD4">
        <w:rPr>
          <w:i/>
          <w:iCs/>
          <w:lang w:val="en-GB"/>
        </w:rPr>
        <w:t>J. Physiol.</w:t>
      </w:r>
      <w:r w:rsidRPr="00953CD4">
        <w:rPr>
          <w:lang w:val="en-GB"/>
        </w:rPr>
        <w:t xml:space="preserve"> </w:t>
      </w:r>
      <w:r w:rsidRPr="00953CD4">
        <w:rPr>
          <w:b/>
          <w:bCs/>
          <w:lang w:val="en-GB"/>
        </w:rPr>
        <w:t>510</w:t>
      </w:r>
      <w:r w:rsidRPr="00953CD4">
        <w:rPr>
          <w:lang w:val="en-GB"/>
        </w:rPr>
        <w:t>, 845–866.</w:t>
      </w:r>
    </w:p>
    <w:p w:rsidR="003704F2" w:rsidRPr="00953CD4" w:rsidRDefault="003704F2" w:rsidP="001D3E43">
      <w:pPr>
        <w:pStyle w:val="Literaturverzeichnis1"/>
        <w:rPr>
          <w:lang w:val="en-GB"/>
        </w:rPr>
      </w:pPr>
      <w:proofErr w:type="spellStart"/>
      <w:proofErr w:type="gramStart"/>
      <w:r w:rsidRPr="00953CD4">
        <w:rPr>
          <w:b/>
          <w:bCs/>
          <w:lang w:val="en-GB"/>
        </w:rPr>
        <w:t>Elisabetta</w:t>
      </w:r>
      <w:proofErr w:type="spellEnd"/>
      <w:r w:rsidRPr="00953CD4">
        <w:rPr>
          <w:b/>
          <w:bCs/>
          <w:lang w:val="en-GB"/>
        </w:rPr>
        <w:t xml:space="preserve"> </w:t>
      </w:r>
      <w:proofErr w:type="spellStart"/>
      <w:r w:rsidRPr="00953CD4">
        <w:rPr>
          <w:b/>
          <w:bCs/>
          <w:lang w:val="en-GB"/>
        </w:rPr>
        <w:t>Cesana</w:t>
      </w:r>
      <w:proofErr w:type="spellEnd"/>
      <w:r w:rsidRPr="00953CD4">
        <w:rPr>
          <w:b/>
          <w:bCs/>
          <w:lang w:val="en-GB"/>
        </w:rPr>
        <w:t xml:space="preserve">, L. F., </w:t>
      </w:r>
      <w:proofErr w:type="spellStart"/>
      <w:r w:rsidRPr="00953CD4">
        <w:rPr>
          <w:b/>
          <w:bCs/>
          <w:lang w:val="en-GB"/>
        </w:rPr>
        <w:t>Mapelli</w:t>
      </w:r>
      <w:proofErr w:type="spellEnd"/>
      <w:r w:rsidRPr="00953CD4">
        <w:rPr>
          <w:b/>
          <w:bCs/>
          <w:lang w:val="en-GB"/>
        </w:rPr>
        <w:t>, J. and D’Angelo, E.</w:t>
      </w:r>
      <w:r w:rsidRPr="00953CD4">
        <w:rPr>
          <w:lang w:val="en-GB"/>
        </w:rPr>
        <w:t xml:space="preserve"> (2006).</w:t>
      </w:r>
      <w:proofErr w:type="gramEnd"/>
      <w:r w:rsidRPr="00953CD4">
        <w:rPr>
          <w:lang w:val="en-GB"/>
        </w:rPr>
        <w:t xml:space="preserve"> </w:t>
      </w:r>
      <w:proofErr w:type="gramStart"/>
      <w:r w:rsidRPr="00953CD4">
        <w:rPr>
          <w:lang w:val="en-GB"/>
        </w:rPr>
        <w:t xml:space="preserve">Ionic mechanisms of </w:t>
      </w:r>
      <w:proofErr w:type="spellStart"/>
      <w:r w:rsidRPr="00953CD4">
        <w:rPr>
          <w:lang w:val="en-GB"/>
        </w:rPr>
        <w:t>autorhythmic</w:t>
      </w:r>
      <w:proofErr w:type="spellEnd"/>
      <w:r w:rsidRPr="00953CD4">
        <w:rPr>
          <w:lang w:val="en-GB"/>
        </w:rPr>
        <w:t xml:space="preserve"> firing in rat cerebellar Golgi cells.</w:t>
      </w:r>
      <w:proofErr w:type="gramEnd"/>
      <w:r w:rsidRPr="00953CD4">
        <w:rPr>
          <w:lang w:val="en-GB"/>
        </w:rPr>
        <w:t xml:space="preserve"> </w:t>
      </w:r>
      <w:r w:rsidRPr="00953CD4">
        <w:rPr>
          <w:i/>
          <w:iCs/>
          <w:lang w:val="en-GB"/>
        </w:rPr>
        <w:t>J. Physiol.</w:t>
      </w:r>
      <w:r w:rsidRPr="00953CD4">
        <w:rPr>
          <w:lang w:val="en-GB"/>
        </w:rPr>
        <w:t xml:space="preserve"> </w:t>
      </w:r>
      <w:r w:rsidRPr="00953CD4">
        <w:rPr>
          <w:b/>
          <w:bCs/>
          <w:lang w:val="en-GB"/>
        </w:rPr>
        <w:t>574</w:t>
      </w:r>
      <w:r w:rsidRPr="00953CD4">
        <w:rPr>
          <w:lang w:val="en-GB"/>
        </w:rPr>
        <w:t>, 711–729.</w:t>
      </w:r>
    </w:p>
    <w:p w:rsidR="003704F2" w:rsidRPr="00953CD4" w:rsidRDefault="003704F2" w:rsidP="001D3E43">
      <w:pPr>
        <w:pStyle w:val="Literaturverzeichnis1"/>
        <w:rPr>
          <w:lang w:val="en-GB"/>
        </w:rPr>
      </w:pPr>
      <w:proofErr w:type="gramStart"/>
      <w:r w:rsidRPr="00953CD4">
        <w:rPr>
          <w:b/>
          <w:bCs/>
          <w:lang w:val="en-GB"/>
        </w:rPr>
        <w:t xml:space="preserve">Ge, S., Goh, E. L. K., Sailor, K. A., </w:t>
      </w:r>
      <w:proofErr w:type="spellStart"/>
      <w:r w:rsidRPr="00953CD4">
        <w:rPr>
          <w:b/>
          <w:bCs/>
          <w:lang w:val="en-GB"/>
        </w:rPr>
        <w:t>Kitabatake</w:t>
      </w:r>
      <w:proofErr w:type="spellEnd"/>
      <w:r w:rsidRPr="00953CD4">
        <w:rPr>
          <w:b/>
          <w:bCs/>
          <w:lang w:val="en-GB"/>
        </w:rPr>
        <w:t>, Y., Ming, G. and Song, H.</w:t>
      </w:r>
      <w:r w:rsidRPr="00953CD4">
        <w:rPr>
          <w:lang w:val="en-GB"/>
        </w:rPr>
        <w:t xml:space="preserve"> (2006).</w:t>
      </w:r>
      <w:proofErr w:type="gramEnd"/>
      <w:r w:rsidRPr="00953CD4">
        <w:rPr>
          <w:lang w:val="en-GB"/>
        </w:rPr>
        <w:t xml:space="preserve"> GABA regulates synaptic integration of newly generated neurons in the adult brain. </w:t>
      </w:r>
      <w:r w:rsidRPr="00953CD4">
        <w:rPr>
          <w:i/>
          <w:iCs/>
          <w:lang w:val="en-GB"/>
        </w:rPr>
        <w:t>Nature</w:t>
      </w:r>
      <w:r w:rsidRPr="00953CD4">
        <w:rPr>
          <w:lang w:val="en-GB"/>
        </w:rPr>
        <w:t xml:space="preserve"> </w:t>
      </w:r>
      <w:r w:rsidRPr="00953CD4">
        <w:rPr>
          <w:b/>
          <w:bCs/>
          <w:lang w:val="en-GB"/>
        </w:rPr>
        <w:t>439</w:t>
      </w:r>
      <w:r w:rsidRPr="00953CD4">
        <w:rPr>
          <w:lang w:val="en-GB"/>
        </w:rPr>
        <w:t>, 589–593.</w:t>
      </w:r>
    </w:p>
    <w:p w:rsidR="003704F2" w:rsidRPr="005E6166" w:rsidRDefault="003704F2" w:rsidP="001D3E43">
      <w:pPr>
        <w:pStyle w:val="Literaturverzeichnis1"/>
      </w:pPr>
      <w:proofErr w:type="spellStart"/>
      <w:proofErr w:type="gramStart"/>
      <w:r w:rsidRPr="00953CD4">
        <w:rPr>
          <w:b/>
          <w:bCs/>
          <w:lang w:val="en-GB"/>
        </w:rPr>
        <w:t>Gianola</w:t>
      </w:r>
      <w:proofErr w:type="spellEnd"/>
      <w:r w:rsidRPr="00953CD4">
        <w:rPr>
          <w:b/>
          <w:bCs/>
          <w:lang w:val="en-GB"/>
        </w:rPr>
        <w:t xml:space="preserve">, S., </w:t>
      </w:r>
      <w:proofErr w:type="spellStart"/>
      <w:r w:rsidRPr="00953CD4">
        <w:rPr>
          <w:b/>
          <w:bCs/>
          <w:lang w:val="en-GB"/>
        </w:rPr>
        <w:t>Savio</w:t>
      </w:r>
      <w:proofErr w:type="spellEnd"/>
      <w:r w:rsidRPr="00953CD4">
        <w:rPr>
          <w:b/>
          <w:bCs/>
          <w:lang w:val="en-GB"/>
        </w:rPr>
        <w:t>, T., Schwab, M. E. and Rossi, F.</w:t>
      </w:r>
      <w:r w:rsidRPr="00953CD4">
        <w:rPr>
          <w:lang w:val="en-GB"/>
        </w:rPr>
        <w:t xml:space="preserve"> (2003).</w:t>
      </w:r>
      <w:proofErr w:type="gramEnd"/>
      <w:r w:rsidRPr="00953CD4">
        <w:rPr>
          <w:lang w:val="en-GB"/>
        </w:rPr>
        <w:t xml:space="preserve"> Cell-Autonomous Mechanisms and Myelin-Associated Factors Contribute to the Development of Purkinje Axon </w:t>
      </w:r>
      <w:proofErr w:type="spellStart"/>
      <w:r w:rsidRPr="00953CD4">
        <w:rPr>
          <w:lang w:val="en-GB"/>
        </w:rPr>
        <w:t>Intracortical</w:t>
      </w:r>
      <w:proofErr w:type="spellEnd"/>
      <w:r w:rsidRPr="00953CD4">
        <w:rPr>
          <w:lang w:val="en-GB"/>
        </w:rPr>
        <w:t xml:space="preserve"> Plexus in the Rat Cerebellum. </w:t>
      </w:r>
      <w:r w:rsidRPr="005E6166">
        <w:rPr>
          <w:i/>
          <w:iCs/>
        </w:rPr>
        <w:t xml:space="preserve">J. </w:t>
      </w:r>
      <w:proofErr w:type="spellStart"/>
      <w:r w:rsidRPr="005E6166">
        <w:rPr>
          <w:i/>
          <w:iCs/>
        </w:rPr>
        <w:t>Neurosci</w:t>
      </w:r>
      <w:proofErr w:type="spellEnd"/>
      <w:r w:rsidRPr="005E6166">
        <w:rPr>
          <w:i/>
          <w:iCs/>
        </w:rPr>
        <w:t>.</w:t>
      </w:r>
      <w:r w:rsidRPr="005E6166">
        <w:t xml:space="preserve"> </w:t>
      </w:r>
      <w:r w:rsidRPr="005E6166">
        <w:rPr>
          <w:b/>
          <w:bCs/>
        </w:rPr>
        <w:t>23</w:t>
      </w:r>
      <w:r w:rsidRPr="005E6166">
        <w:t>, 4613–4624.</w:t>
      </w:r>
    </w:p>
    <w:p w:rsidR="003704F2" w:rsidRPr="00953CD4" w:rsidRDefault="003704F2" w:rsidP="001D3E43">
      <w:pPr>
        <w:pStyle w:val="Literaturverzeichnis1"/>
        <w:rPr>
          <w:lang w:val="en-GB"/>
        </w:rPr>
      </w:pPr>
      <w:proofErr w:type="spellStart"/>
      <w:r w:rsidRPr="005E6166">
        <w:rPr>
          <w:b/>
          <w:bCs/>
        </w:rPr>
        <w:t>Glassmann</w:t>
      </w:r>
      <w:proofErr w:type="spellEnd"/>
      <w:r w:rsidRPr="005E6166">
        <w:rPr>
          <w:b/>
          <w:bCs/>
        </w:rPr>
        <w:t xml:space="preserve">, A., </w:t>
      </w:r>
      <w:proofErr w:type="spellStart"/>
      <w:r w:rsidRPr="005E6166">
        <w:rPr>
          <w:b/>
          <w:bCs/>
        </w:rPr>
        <w:t>Topka</w:t>
      </w:r>
      <w:proofErr w:type="spellEnd"/>
      <w:r w:rsidRPr="005E6166">
        <w:rPr>
          <w:b/>
          <w:bCs/>
        </w:rPr>
        <w:t xml:space="preserve">, S., Wang-Eckardt, L., Anders, S., Weisheit, G., </w:t>
      </w:r>
      <w:proofErr w:type="spellStart"/>
      <w:r w:rsidRPr="005E6166">
        <w:rPr>
          <w:b/>
          <w:bCs/>
        </w:rPr>
        <w:t>Endl</w:t>
      </w:r>
      <w:proofErr w:type="spellEnd"/>
      <w:r w:rsidRPr="005E6166">
        <w:rPr>
          <w:b/>
          <w:bCs/>
        </w:rPr>
        <w:t xml:space="preserve">, E., Zimmer, A. </w:t>
      </w:r>
      <w:proofErr w:type="spellStart"/>
      <w:r w:rsidRPr="005E6166">
        <w:rPr>
          <w:b/>
          <w:bCs/>
        </w:rPr>
        <w:t>and</w:t>
      </w:r>
      <w:proofErr w:type="spellEnd"/>
      <w:r w:rsidRPr="005E6166">
        <w:rPr>
          <w:b/>
          <w:bCs/>
        </w:rPr>
        <w:t xml:space="preserve"> Schilling, K.</w:t>
      </w:r>
      <w:r w:rsidRPr="005E6166">
        <w:t xml:space="preserve"> (2009). </w:t>
      </w:r>
      <w:proofErr w:type="gramStart"/>
      <w:r w:rsidRPr="00953CD4">
        <w:rPr>
          <w:lang w:val="en-GB"/>
        </w:rPr>
        <w:t>Basic molecular fingerprinting of immature cerebellar cortical inhibitory interneurons and their precursors.</w:t>
      </w:r>
      <w:proofErr w:type="gramEnd"/>
      <w:r w:rsidRPr="00953CD4">
        <w:rPr>
          <w:lang w:val="en-GB"/>
        </w:rPr>
        <w:t xml:space="preserve"> </w:t>
      </w:r>
      <w:r w:rsidRPr="00953CD4">
        <w:rPr>
          <w:i/>
          <w:iCs/>
          <w:lang w:val="en-GB"/>
        </w:rPr>
        <w:t>Neuroscience</w:t>
      </w:r>
      <w:r w:rsidRPr="00953CD4">
        <w:rPr>
          <w:lang w:val="en-GB"/>
        </w:rPr>
        <w:t xml:space="preserve"> </w:t>
      </w:r>
      <w:r w:rsidRPr="00953CD4">
        <w:rPr>
          <w:b/>
          <w:bCs/>
          <w:lang w:val="en-GB"/>
        </w:rPr>
        <w:t>159</w:t>
      </w:r>
      <w:r w:rsidRPr="00953CD4">
        <w:rPr>
          <w:lang w:val="en-GB"/>
        </w:rPr>
        <w:t>, 69–82.</w:t>
      </w:r>
    </w:p>
    <w:p w:rsidR="003704F2" w:rsidRPr="00953CD4" w:rsidRDefault="003704F2" w:rsidP="001D3E43">
      <w:pPr>
        <w:pStyle w:val="Literaturverzeichnis1"/>
        <w:rPr>
          <w:lang w:val="en-GB"/>
        </w:rPr>
      </w:pPr>
      <w:proofErr w:type="spellStart"/>
      <w:proofErr w:type="gramStart"/>
      <w:r w:rsidRPr="00953CD4">
        <w:rPr>
          <w:b/>
          <w:bCs/>
          <w:lang w:val="en-GB"/>
        </w:rPr>
        <w:t>Goldowitz</w:t>
      </w:r>
      <w:proofErr w:type="spellEnd"/>
      <w:r w:rsidRPr="00953CD4">
        <w:rPr>
          <w:b/>
          <w:bCs/>
          <w:lang w:val="en-GB"/>
        </w:rPr>
        <w:t xml:space="preserve">, D. and </w:t>
      </w:r>
      <w:proofErr w:type="spellStart"/>
      <w:r w:rsidRPr="00953CD4">
        <w:rPr>
          <w:b/>
          <w:bCs/>
          <w:lang w:val="en-GB"/>
        </w:rPr>
        <w:t>Hamre</w:t>
      </w:r>
      <w:proofErr w:type="spellEnd"/>
      <w:r w:rsidRPr="00953CD4">
        <w:rPr>
          <w:b/>
          <w:bCs/>
          <w:lang w:val="en-GB"/>
        </w:rPr>
        <w:t>, K.</w:t>
      </w:r>
      <w:r w:rsidRPr="00953CD4">
        <w:rPr>
          <w:lang w:val="en-GB"/>
        </w:rPr>
        <w:t xml:space="preserve"> (1998).</w:t>
      </w:r>
      <w:proofErr w:type="gramEnd"/>
      <w:r w:rsidRPr="00953CD4">
        <w:rPr>
          <w:lang w:val="en-GB"/>
        </w:rPr>
        <w:t xml:space="preserve"> </w:t>
      </w:r>
      <w:proofErr w:type="gramStart"/>
      <w:r w:rsidRPr="00953CD4">
        <w:rPr>
          <w:lang w:val="en-GB"/>
        </w:rPr>
        <w:t>The cells and molecules that make a cerebellum.</w:t>
      </w:r>
      <w:proofErr w:type="gramEnd"/>
      <w:r w:rsidRPr="00953CD4">
        <w:rPr>
          <w:lang w:val="en-GB"/>
        </w:rPr>
        <w:t xml:space="preserve"> </w:t>
      </w:r>
      <w:proofErr w:type="gramStart"/>
      <w:r w:rsidRPr="00953CD4">
        <w:rPr>
          <w:i/>
          <w:iCs/>
          <w:lang w:val="en-GB"/>
        </w:rPr>
        <w:t xml:space="preserve">Trends </w:t>
      </w:r>
      <w:proofErr w:type="spellStart"/>
      <w:r w:rsidRPr="00953CD4">
        <w:rPr>
          <w:i/>
          <w:iCs/>
          <w:lang w:val="en-GB"/>
        </w:rPr>
        <w:t>Neurosci</w:t>
      </w:r>
      <w:proofErr w:type="spellEnd"/>
      <w:r w:rsidRPr="00953CD4">
        <w:rPr>
          <w:i/>
          <w:iCs/>
          <w:lang w:val="en-GB"/>
        </w:rPr>
        <w:t>.</w:t>
      </w:r>
      <w:proofErr w:type="gramEnd"/>
      <w:r w:rsidRPr="00953CD4">
        <w:rPr>
          <w:lang w:val="en-GB"/>
        </w:rPr>
        <w:t xml:space="preserve"> </w:t>
      </w:r>
      <w:r w:rsidRPr="00953CD4">
        <w:rPr>
          <w:b/>
          <w:bCs/>
          <w:lang w:val="en-GB"/>
        </w:rPr>
        <w:t>21</w:t>
      </w:r>
      <w:r w:rsidRPr="00953CD4">
        <w:rPr>
          <w:lang w:val="en-GB"/>
        </w:rPr>
        <w:t>, 375–382.</w:t>
      </w:r>
    </w:p>
    <w:p w:rsidR="003704F2" w:rsidRPr="00953CD4" w:rsidRDefault="003704F2" w:rsidP="001D3E43">
      <w:pPr>
        <w:pStyle w:val="Literaturverzeichnis1"/>
        <w:rPr>
          <w:lang w:val="en-GB"/>
        </w:rPr>
      </w:pPr>
      <w:proofErr w:type="spellStart"/>
      <w:proofErr w:type="gramStart"/>
      <w:r w:rsidRPr="00953CD4">
        <w:rPr>
          <w:b/>
          <w:bCs/>
          <w:lang w:val="en-GB"/>
        </w:rPr>
        <w:t>Grishkat</w:t>
      </w:r>
      <w:proofErr w:type="spellEnd"/>
      <w:r w:rsidRPr="00953CD4">
        <w:rPr>
          <w:b/>
          <w:bCs/>
          <w:lang w:val="en-GB"/>
        </w:rPr>
        <w:t>, H. L. and Eisenman, L. M.</w:t>
      </w:r>
      <w:r w:rsidRPr="00953CD4">
        <w:rPr>
          <w:lang w:val="en-GB"/>
        </w:rPr>
        <w:t xml:space="preserve"> (1995).</w:t>
      </w:r>
      <w:proofErr w:type="gramEnd"/>
      <w:r w:rsidRPr="00953CD4">
        <w:rPr>
          <w:lang w:val="en-GB"/>
        </w:rPr>
        <w:t xml:space="preserve"> </w:t>
      </w:r>
      <w:proofErr w:type="gramStart"/>
      <w:r w:rsidRPr="00953CD4">
        <w:rPr>
          <w:lang w:val="en-GB"/>
        </w:rPr>
        <w:t>Development of the spinocerebellar projection in the prenatal mouse.</w:t>
      </w:r>
      <w:proofErr w:type="gramEnd"/>
      <w:r w:rsidRPr="00953CD4">
        <w:rPr>
          <w:lang w:val="en-GB"/>
        </w:rPr>
        <w:t xml:space="preserve"> </w:t>
      </w:r>
      <w:r w:rsidRPr="00953CD4">
        <w:rPr>
          <w:i/>
          <w:iCs/>
          <w:lang w:val="en-GB"/>
        </w:rPr>
        <w:t>J. Comp. Neurol.</w:t>
      </w:r>
      <w:r w:rsidRPr="00953CD4">
        <w:rPr>
          <w:lang w:val="en-GB"/>
        </w:rPr>
        <w:t xml:space="preserve"> </w:t>
      </w:r>
      <w:r w:rsidRPr="00953CD4">
        <w:rPr>
          <w:b/>
          <w:bCs/>
          <w:lang w:val="en-GB"/>
        </w:rPr>
        <w:t>363</w:t>
      </w:r>
      <w:r w:rsidRPr="00953CD4">
        <w:rPr>
          <w:lang w:val="en-GB"/>
        </w:rPr>
        <w:t>, 93–108.</w:t>
      </w:r>
    </w:p>
    <w:p w:rsidR="003704F2" w:rsidRPr="00953CD4" w:rsidRDefault="003704F2" w:rsidP="001D3E43">
      <w:pPr>
        <w:pStyle w:val="Literaturverzeichnis1"/>
        <w:rPr>
          <w:lang w:val="en-GB"/>
        </w:rPr>
      </w:pPr>
      <w:r w:rsidRPr="00953CD4">
        <w:rPr>
          <w:b/>
          <w:bCs/>
          <w:lang w:val="en-GB"/>
        </w:rPr>
        <w:t xml:space="preserve">Hecht, I., </w:t>
      </w:r>
      <w:proofErr w:type="spellStart"/>
      <w:r w:rsidRPr="00953CD4">
        <w:rPr>
          <w:b/>
          <w:bCs/>
          <w:lang w:val="en-GB"/>
        </w:rPr>
        <w:t>Skoge</w:t>
      </w:r>
      <w:proofErr w:type="spellEnd"/>
      <w:r w:rsidRPr="00953CD4">
        <w:rPr>
          <w:b/>
          <w:bCs/>
          <w:lang w:val="en-GB"/>
        </w:rPr>
        <w:t xml:space="preserve">, M. L., Charest, P. G., Ben-Jacob, E., </w:t>
      </w:r>
      <w:proofErr w:type="spellStart"/>
      <w:r w:rsidRPr="00953CD4">
        <w:rPr>
          <w:b/>
          <w:bCs/>
          <w:lang w:val="en-GB"/>
        </w:rPr>
        <w:t>Firtel</w:t>
      </w:r>
      <w:proofErr w:type="spellEnd"/>
      <w:r w:rsidRPr="00953CD4">
        <w:rPr>
          <w:b/>
          <w:bCs/>
          <w:lang w:val="en-GB"/>
        </w:rPr>
        <w:t>, R. A., Loomis, W. F., Levine, H. and Rappel, W.-J.</w:t>
      </w:r>
      <w:r w:rsidRPr="00953CD4">
        <w:rPr>
          <w:lang w:val="en-GB"/>
        </w:rPr>
        <w:t xml:space="preserve"> (2011). Activated Membrane Patches Guide Chemotactic Cell Motility. </w:t>
      </w:r>
      <w:proofErr w:type="spellStart"/>
      <w:r w:rsidRPr="00953CD4">
        <w:rPr>
          <w:i/>
          <w:iCs/>
          <w:lang w:val="en-GB"/>
        </w:rPr>
        <w:t>PLoS</w:t>
      </w:r>
      <w:proofErr w:type="spellEnd"/>
      <w:r w:rsidRPr="00953CD4">
        <w:rPr>
          <w:i/>
          <w:iCs/>
          <w:lang w:val="en-GB"/>
        </w:rPr>
        <w:t xml:space="preserve"> </w:t>
      </w:r>
      <w:proofErr w:type="spellStart"/>
      <w:r w:rsidRPr="00953CD4">
        <w:rPr>
          <w:i/>
          <w:iCs/>
          <w:lang w:val="en-GB"/>
        </w:rPr>
        <w:t>Comput</w:t>
      </w:r>
      <w:proofErr w:type="spellEnd"/>
      <w:r w:rsidRPr="00953CD4">
        <w:rPr>
          <w:i/>
          <w:iCs/>
          <w:lang w:val="en-GB"/>
        </w:rPr>
        <w:t xml:space="preserve">. </w:t>
      </w:r>
      <w:proofErr w:type="gramStart"/>
      <w:r w:rsidRPr="00953CD4">
        <w:rPr>
          <w:i/>
          <w:iCs/>
          <w:lang w:val="en-GB"/>
        </w:rPr>
        <w:t>Biol.</w:t>
      </w:r>
      <w:r w:rsidRPr="00953CD4">
        <w:rPr>
          <w:lang w:val="en-GB"/>
        </w:rPr>
        <w:t xml:space="preserve"> </w:t>
      </w:r>
      <w:r w:rsidRPr="00953CD4">
        <w:rPr>
          <w:b/>
          <w:bCs/>
          <w:lang w:val="en-GB"/>
        </w:rPr>
        <w:t>7</w:t>
      </w:r>
      <w:r w:rsidRPr="00953CD4">
        <w:rPr>
          <w:lang w:val="en-GB"/>
        </w:rPr>
        <w:t>.</w:t>
      </w:r>
      <w:proofErr w:type="gramEnd"/>
    </w:p>
    <w:p w:rsidR="003704F2" w:rsidRPr="00953CD4" w:rsidRDefault="003704F2" w:rsidP="001D3E43">
      <w:pPr>
        <w:pStyle w:val="Literaturverzeichnis1"/>
        <w:rPr>
          <w:lang w:val="en-GB"/>
        </w:rPr>
      </w:pPr>
      <w:proofErr w:type="spellStart"/>
      <w:r w:rsidRPr="00953CD4">
        <w:rPr>
          <w:b/>
          <w:bCs/>
          <w:lang w:val="en-GB"/>
        </w:rPr>
        <w:t>Ikin</w:t>
      </w:r>
      <w:proofErr w:type="spellEnd"/>
      <w:r w:rsidRPr="00953CD4">
        <w:rPr>
          <w:b/>
          <w:bCs/>
          <w:lang w:val="en-GB"/>
        </w:rPr>
        <w:t xml:space="preserve">, A. F., </w:t>
      </w:r>
      <w:proofErr w:type="spellStart"/>
      <w:r w:rsidRPr="00953CD4">
        <w:rPr>
          <w:b/>
          <w:bCs/>
          <w:lang w:val="en-GB"/>
        </w:rPr>
        <w:t>Annaert</w:t>
      </w:r>
      <w:proofErr w:type="spellEnd"/>
      <w:r w:rsidRPr="00953CD4">
        <w:rPr>
          <w:b/>
          <w:bCs/>
          <w:lang w:val="en-GB"/>
        </w:rPr>
        <w:t xml:space="preserve">, W. G., Takei, K., </w:t>
      </w:r>
      <w:proofErr w:type="spellStart"/>
      <w:r w:rsidRPr="00953CD4">
        <w:rPr>
          <w:b/>
          <w:bCs/>
          <w:lang w:val="en-GB"/>
        </w:rPr>
        <w:t>Camilli</w:t>
      </w:r>
      <w:proofErr w:type="spellEnd"/>
      <w:r w:rsidRPr="00953CD4">
        <w:rPr>
          <w:b/>
          <w:bCs/>
          <w:lang w:val="en-GB"/>
        </w:rPr>
        <w:t xml:space="preserve">, P. D., </w:t>
      </w:r>
      <w:proofErr w:type="spellStart"/>
      <w:r w:rsidRPr="00953CD4">
        <w:rPr>
          <w:b/>
          <w:bCs/>
          <w:lang w:val="en-GB"/>
        </w:rPr>
        <w:t>Jahn</w:t>
      </w:r>
      <w:proofErr w:type="spellEnd"/>
      <w:r w:rsidRPr="00953CD4">
        <w:rPr>
          <w:b/>
          <w:bCs/>
          <w:lang w:val="en-GB"/>
        </w:rPr>
        <w:t xml:space="preserve">, R., Greengard, P. and </w:t>
      </w:r>
      <w:proofErr w:type="spellStart"/>
      <w:r w:rsidRPr="00953CD4">
        <w:rPr>
          <w:b/>
          <w:bCs/>
          <w:lang w:val="en-GB"/>
        </w:rPr>
        <w:t>Buxbaum</w:t>
      </w:r>
      <w:proofErr w:type="spellEnd"/>
      <w:r w:rsidRPr="00953CD4">
        <w:rPr>
          <w:b/>
          <w:bCs/>
          <w:lang w:val="en-GB"/>
        </w:rPr>
        <w:t>, J. D.</w:t>
      </w:r>
      <w:r w:rsidRPr="00953CD4">
        <w:rPr>
          <w:lang w:val="en-GB"/>
        </w:rPr>
        <w:t xml:space="preserve"> (1996). Alzheimer Amyloid Protein Precursor Is Localized in Nerve Terminal Preparations to Rab5-containing Vesicular Organelles Distinct from Those Implicated in the Synaptic Vesicle Pathway. </w:t>
      </w:r>
      <w:r w:rsidRPr="00953CD4">
        <w:rPr>
          <w:i/>
          <w:iCs/>
          <w:lang w:val="en-GB"/>
        </w:rPr>
        <w:t>J. Biol. Chem.</w:t>
      </w:r>
      <w:r w:rsidRPr="00953CD4">
        <w:rPr>
          <w:lang w:val="en-GB"/>
        </w:rPr>
        <w:t xml:space="preserve"> </w:t>
      </w:r>
      <w:r w:rsidRPr="00953CD4">
        <w:rPr>
          <w:b/>
          <w:bCs/>
          <w:lang w:val="en-GB"/>
        </w:rPr>
        <w:t>271</w:t>
      </w:r>
      <w:r w:rsidRPr="00953CD4">
        <w:rPr>
          <w:lang w:val="en-GB"/>
        </w:rPr>
        <w:t>, 31783–31786.</w:t>
      </w:r>
    </w:p>
    <w:p w:rsidR="003704F2" w:rsidRPr="00953CD4" w:rsidRDefault="003704F2" w:rsidP="001D3E43">
      <w:pPr>
        <w:pStyle w:val="Literaturverzeichnis1"/>
        <w:rPr>
          <w:lang w:val="en-GB"/>
        </w:rPr>
      </w:pPr>
      <w:proofErr w:type="gramStart"/>
      <w:r w:rsidRPr="00953CD4">
        <w:rPr>
          <w:b/>
          <w:bCs/>
          <w:lang w:val="en-GB"/>
        </w:rPr>
        <w:t xml:space="preserve">Jones, M. C., Marron, J. S. and </w:t>
      </w:r>
      <w:proofErr w:type="spellStart"/>
      <w:r w:rsidRPr="00953CD4">
        <w:rPr>
          <w:b/>
          <w:bCs/>
          <w:lang w:val="en-GB"/>
        </w:rPr>
        <w:t>Sheather</w:t>
      </w:r>
      <w:proofErr w:type="spellEnd"/>
      <w:r w:rsidRPr="00953CD4">
        <w:rPr>
          <w:b/>
          <w:bCs/>
          <w:lang w:val="en-GB"/>
        </w:rPr>
        <w:t>, S. J.</w:t>
      </w:r>
      <w:r w:rsidRPr="00953CD4">
        <w:rPr>
          <w:lang w:val="en-GB"/>
        </w:rPr>
        <w:t xml:space="preserve"> (1996).</w:t>
      </w:r>
      <w:proofErr w:type="gramEnd"/>
      <w:r w:rsidRPr="00953CD4">
        <w:rPr>
          <w:lang w:val="en-GB"/>
        </w:rPr>
        <w:t xml:space="preserve"> </w:t>
      </w:r>
      <w:proofErr w:type="gramStart"/>
      <w:r w:rsidRPr="00953CD4">
        <w:rPr>
          <w:lang w:val="en-GB"/>
        </w:rPr>
        <w:t>A Brief Survey of Bandwidth Selection for Density Estimation.</w:t>
      </w:r>
      <w:proofErr w:type="gramEnd"/>
      <w:r w:rsidRPr="00953CD4">
        <w:rPr>
          <w:lang w:val="en-GB"/>
        </w:rPr>
        <w:t xml:space="preserve"> </w:t>
      </w:r>
      <w:r w:rsidRPr="00953CD4">
        <w:rPr>
          <w:i/>
          <w:iCs/>
          <w:lang w:val="en-GB"/>
        </w:rPr>
        <w:t>J. Am. Stat. Assoc.</w:t>
      </w:r>
      <w:r w:rsidRPr="00953CD4">
        <w:rPr>
          <w:lang w:val="en-GB"/>
        </w:rPr>
        <w:t xml:space="preserve"> </w:t>
      </w:r>
      <w:r w:rsidRPr="00953CD4">
        <w:rPr>
          <w:b/>
          <w:bCs/>
          <w:lang w:val="en-GB"/>
        </w:rPr>
        <w:t>91</w:t>
      </w:r>
      <w:r w:rsidRPr="00953CD4">
        <w:rPr>
          <w:lang w:val="en-GB"/>
        </w:rPr>
        <w:t>, 401–407.</w:t>
      </w:r>
    </w:p>
    <w:p w:rsidR="009A6156" w:rsidRPr="00953CD4" w:rsidRDefault="009A6156" w:rsidP="009A6156">
      <w:pPr>
        <w:pStyle w:val="Literaturverzeichnis1"/>
        <w:rPr>
          <w:bCs/>
          <w:lang w:val="en-GB"/>
        </w:rPr>
      </w:pPr>
      <w:proofErr w:type="spellStart"/>
      <w:proofErr w:type="gramStart"/>
      <w:r w:rsidRPr="00953CD4">
        <w:rPr>
          <w:b/>
          <w:bCs/>
          <w:lang w:val="en-GB"/>
        </w:rPr>
        <w:t>Jorntell</w:t>
      </w:r>
      <w:proofErr w:type="spellEnd"/>
      <w:r w:rsidRPr="00953CD4">
        <w:rPr>
          <w:b/>
          <w:bCs/>
          <w:lang w:val="en-GB"/>
        </w:rPr>
        <w:t xml:space="preserve">, H., </w:t>
      </w:r>
      <w:proofErr w:type="spellStart"/>
      <w:r w:rsidRPr="00953CD4">
        <w:rPr>
          <w:b/>
          <w:bCs/>
          <w:lang w:val="en-GB"/>
        </w:rPr>
        <w:t>Bengtsson</w:t>
      </w:r>
      <w:proofErr w:type="spellEnd"/>
      <w:r w:rsidRPr="00953CD4">
        <w:rPr>
          <w:b/>
          <w:bCs/>
          <w:lang w:val="en-GB"/>
        </w:rPr>
        <w:t xml:space="preserve">, F., </w:t>
      </w:r>
      <w:proofErr w:type="spellStart"/>
      <w:r w:rsidRPr="00953CD4">
        <w:rPr>
          <w:b/>
          <w:bCs/>
          <w:lang w:val="en-GB"/>
        </w:rPr>
        <w:t>Schonewille</w:t>
      </w:r>
      <w:proofErr w:type="spellEnd"/>
      <w:r w:rsidRPr="00953CD4">
        <w:rPr>
          <w:b/>
          <w:bCs/>
          <w:lang w:val="en-GB"/>
        </w:rPr>
        <w:t xml:space="preserve">, M., and De </w:t>
      </w:r>
      <w:proofErr w:type="spellStart"/>
      <w:r w:rsidRPr="00953CD4">
        <w:rPr>
          <w:b/>
          <w:bCs/>
          <w:lang w:val="en-GB"/>
        </w:rPr>
        <w:t>Zeeuw</w:t>
      </w:r>
      <w:proofErr w:type="spellEnd"/>
      <w:r w:rsidRPr="00953CD4">
        <w:rPr>
          <w:b/>
          <w:bCs/>
          <w:lang w:val="en-GB"/>
        </w:rPr>
        <w:t xml:space="preserve">, C. I. </w:t>
      </w:r>
      <w:r w:rsidRPr="00953CD4">
        <w:rPr>
          <w:bCs/>
          <w:lang w:val="en-GB"/>
        </w:rPr>
        <w:t>(2010).</w:t>
      </w:r>
      <w:proofErr w:type="gramEnd"/>
      <w:r w:rsidRPr="00953CD4">
        <w:rPr>
          <w:bCs/>
          <w:lang w:val="en-GB"/>
        </w:rPr>
        <w:t xml:space="preserve"> </w:t>
      </w:r>
      <w:proofErr w:type="gramStart"/>
      <w:r w:rsidRPr="00953CD4">
        <w:rPr>
          <w:bCs/>
          <w:lang w:val="en-GB"/>
        </w:rPr>
        <w:t>Cerebellar molecular layer interneurons - computational properties and roles in learning.</w:t>
      </w:r>
      <w:proofErr w:type="gramEnd"/>
      <w:r w:rsidRPr="00953CD4">
        <w:rPr>
          <w:bCs/>
          <w:lang w:val="en-GB"/>
        </w:rPr>
        <w:t xml:space="preserve"> </w:t>
      </w:r>
      <w:proofErr w:type="gramStart"/>
      <w:r w:rsidRPr="00953CD4">
        <w:rPr>
          <w:bCs/>
          <w:i/>
          <w:iCs/>
          <w:lang w:val="en-GB"/>
        </w:rPr>
        <w:t xml:space="preserve">Trends </w:t>
      </w:r>
      <w:proofErr w:type="spellStart"/>
      <w:r w:rsidRPr="00953CD4">
        <w:rPr>
          <w:bCs/>
          <w:i/>
          <w:iCs/>
          <w:lang w:val="en-GB"/>
        </w:rPr>
        <w:t>Neurosci</w:t>
      </w:r>
      <w:proofErr w:type="spellEnd"/>
      <w:r w:rsidRPr="00953CD4">
        <w:rPr>
          <w:bCs/>
          <w:i/>
          <w:iCs/>
          <w:lang w:val="en-GB"/>
        </w:rPr>
        <w:t>.</w:t>
      </w:r>
      <w:proofErr w:type="gramEnd"/>
      <w:r w:rsidRPr="00953CD4">
        <w:rPr>
          <w:bCs/>
          <w:lang w:val="en-GB"/>
        </w:rPr>
        <w:t xml:space="preserve"> </w:t>
      </w:r>
      <w:r w:rsidRPr="00953CD4">
        <w:rPr>
          <w:b/>
          <w:bCs/>
          <w:lang w:val="en-GB"/>
        </w:rPr>
        <w:t>33</w:t>
      </w:r>
      <w:r w:rsidRPr="00953CD4">
        <w:rPr>
          <w:bCs/>
          <w:lang w:val="en-GB"/>
        </w:rPr>
        <w:t>, 524-532.</w:t>
      </w:r>
    </w:p>
    <w:p w:rsidR="003704F2" w:rsidRPr="00953CD4" w:rsidRDefault="003704F2" w:rsidP="001D3E43">
      <w:pPr>
        <w:pStyle w:val="Literaturverzeichnis1"/>
        <w:rPr>
          <w:lang w:val="en-GB"/>
        </w:rPr>
      </w:pPr>
      <w:proofErr w:type="spellStart"/>
      <w:proofErr w:type="gramStart"/>
      <w:r w:rsidRPr="00953CD4">
        <w:rPr>
          <w:b/>
          <w:bCs/>
          <w:lang w:val="en-GB"/>
        </w:rPr>
        <w:t>Jossin</w:t>
      </w:r>
      <w:proofErr w:type="spellEnd"/>
      <w:r w:rsidRPr="00953CD4">
        <w:rPr>
          <w:b/>
          <w:bCs/>
          <w:lang w:val="en-GB"/>
        </w:rPr>
        <w:t>, Y. and Cooper, J. A.</w:t>
      </w:r>
      <w:r w:rsidRPr="00953CD4">
        <w:rPr>
          <w:lang w:val="en-GB"/>
        </w:rPr>
        <w:t xml:space="preserve"> (2011).</w:t>
      </w:r>
      <w:proofErr w:type="gramEnd"/>
      <w:r w:rsidRPr="00953CD4">
        <w:rPr>
          <w:lang w:val="en-GB"/>
        </w:rPr>
        <w:t xml:space="preserve"> </w:t>
      </w:r>
      <w:proofErr w:type="spellStart"/>
      <w:r w:rsidRPr="00953CD4">
        <w:rPr>
          <w:lang w:val="en-GB"/>
        </w:rPr>
        <w:t>Reelin</w:t>
      </w:r>
      <w:proofErr w:type="spellEnd"/>
      <w:r w:rsidRPr="00953CD4">
        <w:rPr>
          <w:lang w:val="en-GB"/>
        </w:rPr>
        <w:t xml:space="preserve">, Rap1 and N-cadherin orient the migration of multipolar neurons in the developing neocortex. </w:t>
      </w:r>
      <w:r w:rsidRPr="00953CD4">
        <w:rPr>
          <w:i/>
          <w:iCs/>
          <w:lang w:val="en-GB"/>
        </w:rPr>
        <w:t xml:space="preserve">Nat.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14</w:t>
      </w:r>
      <w:r w:rsidRPr="00953CD4">
        <w:rPr>
          <w:lang w:val="en-GB"/>
        </w:rPr>
        <w:t>, 697–703.</w:t>
      </w:r>
    </w:p>
    <w:p w:rsidR="003704F2" w:rsidRPr="00953CD4" w:rsidRDefault="003704F2" w:rsidP="001D3E43">
      <w:pPr>
        <w:pStyle w:val="Literaturverzeichnis1"/>
        <w:rPr>
          <w:lang w:val="en-GB"/>
        </w:rPr>
      </w:pPr>
      <w:proofErr w:type="spellStart"/>
      <w:proofErr w:type="gramStart"/>
      <w:r w:rsidRPr="00953CD4">
        <w:rPr>
          <w:b/>
          <w:bCs/>
          <w:lang w:val="en-GB"/>
        </w:rPr>
        <w:t>Kalinovsky</w:t>
      </w:r>
      <w:proofErr w:type="spellEnd"/>
      <w:r w:rsidRPr="00953CD4">
        <w:rPr>
          <w:b/>
          <w:bCs/>
          <w:lang w:val="en-GB"/>
        </w:rPr>
        <w:t xml:space="preserve">, A., </w:t>
      </w:r>
      <w:proofErr w:type="spellStart"/>
      <w:r w:rsidRPr="00953CD4">
        <w:rPr>
          <w:b/>
          <w:bCs/>
          <w:lang w:val="en-GB"/>
        </w:rPr>
        <w:t>Boukhtouche</w:t>
      </w:r>
      <w:proofErr w:type="spellEnd"/>
      <w:r w:rsidRPr="00953CD4">
        <w:rPr>
          <w:b/>
          <w:bCs/>
          <w:lang w:val="en-GB"/>
        </w:rPr>
        <w:t xml:space="preserve">, F., </w:t>
      </w:r>
      <w:proofErr w:type="spellStart"/>
      <w:r w:rsidRPr="00953CD4">
        <w:rPr>
          <w:b/>
          <w:bCs/>
          <w:lang w:val="en-GB"/>
        </w:rPr>
        <w:t>Blazeski</w:t>
      </w:r>
      <w:proofErr w:type="spellEnd"/>
      <w:r w:rsidRPr="00953CD4">
        <w:rPr>
          <w:b/>
          <w:bCs/>
          <w:lang w:val="en-GB"/>
        </w:rPr>
        <w:t xml:space="preserve">, R., </w:t>
      </w:r>
      <w:proofErr w:type="spellStart"/>
      <w:r w:rsidRPr="00953CD4">
        <w:rPr>
          <w:b/>
          <w:bCs/>
          <w:lang w:val="en-GB"/>
        </w:rPr>
        <w:t>Bornmann</w:t>
      </w:r>
      <w:proofErr w:type="spellEnd"/>
      <w:r w:rsidRPr="00953CD4">
        <w:rPr>
          <w:b/>
          <w:bCs/>
          <w:lang w:val="en-GB"/>
        </w:rPr>
        <w:t xml:space="preserve">, C., Suzuki, N., Mason, C. A. and </w:t>
      </w:r>
      <w:proofErr w:type="spellStart"/>
      <w:r w:rsidRPr="00953CD4">
        <w:rPr>
          <w:b/>
          <w:bCs/>
          <w:lang w:val="en-GB"/>
        </w:rPr>
        <w:t>Scheiffele</w:t>
      </w:r>
      <w:proofErr w:type="spellEnd"/>
      <w:r w:rsidRPr="00953CD4">
        <w:rPr>
          <w:b/>
          <w:bCs/>
          <w:lang w:val="en-GB"/>
        </w:rPr>
        <w:t>, P.</w:t>
      </w:r>
      <w:r w:rsidRPr="00953CD4">
        <w:rPr>
          <w:lang w:val="en-GB"/>
        </w:rPr>
        <w:t xml:space="preserve"> (2011).</w:t>
      </w:r>
      <w:proofErr w:type="gramEnd"/>
      <w:r w:rsidRPr="00953CD4">
        <w:rPr>
          <w:lang w:val="en-GB"/>
        </w:rPr>
        <w:t xml:space="preserve"> </w:t>
      </w:r>
      <w:proofErr w:type="gramStart"/>
      <w:r w:rsidRPr="00953CD4">
        <w:rPr>
          <w:lang w:val="en-GB"/>
        </w:rPr>
        <w:t>Development of Axon-Target Specificity of Ponto-Cerebellar Afferents.</w:t>
      </w:r>
      <w:proofErr w:type="gramEnd"/>
      <w:r w:rsidRPr="00953CD4">
        <w:rPr>
          <w:lang w:val="en-GB"/>
        </w:rPr>
        <w:t xml:space="preserve"> </w:t>
      </w:r>
      <w:proofErr w:type="spellStart"/>
      <w:proofErr w:type="gramStart"/>
      <w:r w:rsidRPr="00953CD4">
        <w:rPr>
          <w:i/>
          <w:iCs/>
          <w:lang w:val="en-GB"/>
        </w:rPr>
        <w:t>PLoS</w:t>
      </w:r>
      <w:proofErr w:type="spellEnd"/>
      <w:r w:rsidRPr="00953CD4">
        <w:rPr>
          <w:i/>
          <w:iCs/>
          <w:lang w:val="en-GB"/>
        </w:rPr>
        <w:t xml:space="preserve"> Biol.</w:t>
      </w:r>
      <w:r w:rsidRPr="00953CD4">
        <w:rPr>
          <w:lang w:val="en-GB"/>
        </w:rPr>
        <w:t xml:space="preserve"> </w:t>
      </w:r>
      <w:r w:rsidRPr="00953CD4">
        <w:rPr>
          <w:b/>
          <w:bCs/>
          <w:lang w:val="en-GB"/>
        </w:rPr>
        <w:t>9</w:t>
      </w:r>
      <w:r w:rsidRPr="00953CD4">
        <w:rPr>
          <w:lang w:val="en-GB"/>
        </w:rPr>
        <w:t>,</w:t>
      </w:r>
      <w:r w:rsidR="009A6156" w:rsidRPr="00953CD4">
        <w:rPr>
          <w:lang w:val="en-GB"/>
        </w:rPr>
        <w:t xml:space="preserve"> e 1001013</w:t>
      </w:r>
      <w:r w:rsidRPr="00953CD4">
        <w:rPr>
          <w:lang w:val="en-GB"/>
        </w:rPr>
        <w:t>.</w:t>
      </w:r>
      <w:proofErr w:type="gramEnd"/>
    </w:p>
    <w:p w:rsidR="009A6156" w:rsidRPr="00953CD4" w:rsidRDefault="009A6156" w:rsidP="009A6156">
      <w:pPr>
        <w:pStyle w:val="Literaturverzeichnis1"/>
        <w:rPr>
          <w:b/>
          <w:bCs/>
          <w:lang w:val="en-GB"/>
        </w:rPr>
      </w:pPr>
      <w:proofErr w:type="spellStart"/>
      <w:proofErr w:type="gramStart"/>
      <w:r w:rsidRPr="00953CD4">
        <w:rPr>
          <w:b/>
          <w:bCs/>
          <w:lang w:val="en-GB"/>
        </w:rPr>
        <w:t>Kepecs</w:t>
      </w:r>
      <w:proofErr w:type="spellEnd"/>
      <w:r w:rsidRPr="00953CD4">
        <w:rPr>
          <w:b/>
          <w:bCs/>
          <w:lang w:val="en-GB"/>
        </w:rPr>
        <w:t xml:space="preserve">, A. and </w:t>
      </w:r>
      <w:proofErr w:type="spellStart"/>
      <w:r w:rsidRPr="00953CD4">
        <w:rPr>
          <w:b/>
          <w:bCs/>
          <w:lang w:val="en-GB"/>
        </w:rPr>
        <w:t>Fishell</w:t>
      </w:r>
      <w:proofErr w:type="spellEnd"/>
      <w:r w:rsidRPr="00953CD4">
        <w:rPr>
          <w:b/>
          <w:bCs/>
          <w:lang w:val="en-GB"/>
        </w:rPr>
        <w:t xml:space="preserve">, G. </w:t>
      </w:r>
      <w:r w:rsidRPr="00953CD4">
        <w:rPr>
          <w:bCs/>
          <w:lang w:val="en-GB"/>
        </w:rPr>
        <w:t>(2014).</w:t>
      </w:r>
      <w:proofErr w:type="gramEnd"/>
      <w:r w:rsidRPr="00953CD4">
        <w:rPr>
          <w:bCs/>
          <w:lang w:val="en-GB"/>
        </w:rPr>
        <w:t xml:space="preserve"> Interneuron cell types are fit to function. </w:t>
      </w:r>
      <w:r w:rsidRPr="00953CD4">
        <w:rPr>
          <w:bCs/>
          <w:i/>
          <w:iCs/>
          <w:lang w:val="en-GB"/>
        </w:rPr>
        <w:t>Nature</w:t>
      </w:r>
      <w:r w:rsidRPr="00953CD4">
        <w:rPr>
          <w:bCs/>
          <w:lang w:val="en-GB"/>
        </w:rPr>
        <w:t xml:space="preserve"> </w:t>
      </w:r>
      <w:r w:rsidRPr="00953CD4">
        <w:rPr>
          <w:b/>
          <w:bCs/>
          <w:lang w:val="en-GB"/>
        </w:rPr>
        <w:t>505</w:t>
      </w:r>
      <w:r w:rsidRPr="00953CD4">
        <w:rPr>
          <w:bCs/>
          <w:lang w:val="en-GB"/>
        </w:rPr>
        <w:t>, 318-326.</w:t>
      </w:r>
    </w:p>
    <w:p w:rsidR="009A6156" w:rsidRPr="00953CD4" w:rsidRDefault="009A6156" w:rsidP="009A6156">
      <w:pPr>
        <w:pStyle w:val="Literaturverzeichnis1"/>
        <w:rPr>
          <w:b/>
          <w:bCs/>
          <w:lang w:val="en-GB"/>
        </w:rPr>
      </w:pPr>
      <w:proofErr w:type="gramStart"/>
      <w:r w:rsidRPr="00953CD4">
        <w:rPr>
          <w:b/>
          <w:bCs/>
          <w:lang w:val="en-GB"/>
        </w:rPr>
        <w:t xml:space="preserve">Kim, J., Lee, S., </w:t>
      </w:r>
      <w:proofErr w:type="spellStart"/>
      <w:r w:rsidRPr="00953CD4">
        <w:rPr>
          <w:b/>
          <w:bCs/>
          <w:lang w:val="en-GB"/>
        </w:rPr>
        <w:t>Tsuda</w:t>
      </w:r>
      <w:proofErr w:type="spellEnd"/>
      <w:r w:rsidRPr="00953CD4">
        <w:rPr>
          <w:b/>
          <w:bCs/>
          <w:lang w:val="en-GB"/>
        </w:rPr>
        <w:t xml:space="preserve">, S., Zhang, X., </w:t>
      </w:r>
      <w:proofErr w:type="spellStart"/>
      <w:r w:rsidRPr="00953CD4">
        <w:rPr>
          <w:b/>
          <w:bCs/>
          <w:lang w:val="en-GB"/>
        </w:rPr>
        <w:t>Asrican</w:t>
      </w:r>
      <w:proofErr w:type="spellEnd"/>
      <w:r w:rsidRPr="00953CD4">
        <w:rPr>
          <w:b/>
          <w:bCs/>
          <w:lang w:val="en-GB"/>
        </w:rPr>
        <w:t xml:space="preserve">, B., Gloss, B., Feng, G., and Augustine, G. J. </w:t>
      </w:r>
      <w:r w:rsidRPr="00953CD4">
        <w:rPr>
          <w:bCs/>
          <w:lang w:val="en-GB"/>
        </w:rPr>
        <w:t>(2014).</w:t>
      </w:r>
      <w:proofErr w:type="gramEnd"/>
      <w:r w:rsidRPr="00953CD4">
        <w:rPr>
          <w:bCs/>
          <w:lang w:val="en-GB"/>
        </w:rPr>
        <w:t xml:space="preserve"> </w:t>
      </w:r>
      <w:proofErr w:type="spellStart"/>
      <w:r w:rsidRPr="00953CD4">
        <w:rPr>
          <w:bCs/>
          <w:lang w:val="en-GB"/>
        </w:rPr>
        <w:t>Optogenetic</w:t>
      </w:r>
      <w:proofErr w:type="spellEnd"/>
      <w:r w:rsidRPr="00953CD4">
        <w:rPr>
          <w:bCs/>
          <w:lang w:val="en-GB"/>
        </w:rPr>
        <w:t xml:space="preserve"> mapping of cerebellar inhibitory circuitry reveals spatially biased coordination of interneurons via electrical synapses. </w:t>
      </w:r>
      <w:r w:rsidRPr="00953CD4">
        <w:rPr>
          <w:bCs/>
          <w:i/>
          <w:iCs/>
          <w:lang w:val="en-GB"/>
        </w:rPr>
        <w:t>Cell Rep</w:t>
      </w:r>
      <w:r w:rsidRPr="00953CD4">
        <w:rPr>
          <w:bCs/>
          <w:lang w:val="en-GB"/>
        </w:rPr>
        <w:t xml:space="preserve"> </w:t>
      </w:r>
      <w:r w:rsidRPr="00953CD4">
        <w:rPr>
          <w:b/>
          <w:bCs/>
          <w:lang w:val="en-GB"/>
        </w:rPr>
        <w:t>7</w:t>
      </w:r>
      <w:r w:rsidRPr="00953CD4">
        <w:rPr>
          <w:bCs/>
          <w:lang w:val="en-GB"/>
        </w:rPr>
        <w:t>, 1601-1613.</w:t>
      </w:r>
    </w:p>
    <w:p w:rsidR="003704F2" w:rsidRPr="00953CD4" w:rsidRDefault="003704F2" w:rsidP="001D3E43">
      <w:pPr>
        <w:pStyle w:val="Literaturverzeichnis1"/>
        <w:rPr>
          <w:lang w:val="en-GB"/>
        </w:rPr>
      </w:pPr>
      <w:proofErr w:type="gramStart"/>
      <w:r w:rsidRPr="00953CD4">
        <w:rPr>
          <w:b/>
          <w:bCs/>
          <w:lang w:val="en-GB"/>
        </w:rPr>
        <w:t>Kita, Y., Tanaka, K. and Murakami, F.</w:t>
      </w:r>
      <w:r w:rsidRPr="00953CD4">
        <w:rPr>
          <w:lang w:val="en-GB"/>
        </w:rPr>
        <w:t xml:space="preserve"> (2015).</w:t>
      </w:r>
      <w:proofErr w:type="gramEnd"/>
      <w:r w:rsidRPr="00953CD4">
        <w:rPr>
          <w:lang w:val="en-GB"/>
        </w:rPr>
        <w:t xml:space="preserve"> Specific </w:t>
      </w:r>
      <w:proofErr w:type="spellStart"/>
      <w:r w:rsidRPr="00953CD4">
        <w:rPr>
          <w:lang w:val="en-GB"/>
        </w:rPr>
        <w:t>labeling</w:t>
      </w:r>
      <w:proofErr w:type="spellEnd"/>
      <w:r w:rsidRPr="00953CD4">
        <w:rPr>
          <w:lang w:val="en-GB"/>
        </w:rPr>
        <w:t xml:space="preserve"> of climbing </w:t>
      </w:r>
      <w:proofErr w:type="spellStart"/>
      <w:r w:rsidRPr="00953CD4">
        <w:rPr>
          <w:lang w:val="en-GB"/>
        </w:rPr>
        <w:t>fibers</w:t>
      </w:r>
      <w:proofErr w:type="spellEnd"/>
      <w:r w:rsidRPr="00953CD4">
        <w:rPr>
          <w:lang w:val="en-GB"/>
        </w:rPr>
        <w:t xml:space="preserve"> shows early synaptic interactions with immature Purkinje cells in the prenatal cerebellum. </w:t>
      </w:r>
      <w:r w:rsidRPr="00953CD4">
        <w:rPr>
          <w:i/>
          <w:iCs/>
          <w:lang w:val="en-GB"/>
        </w:rPr>
        <w:t xml:space="preserve">Dev. </w:t>
      </w:r>
      <w:proofErr w:type="spellStart"/>
      <w:r w:rsidRPr="00953CD4">
        <w:rPr>
          <w:i/>
          <w:iCs/>
          <w:lang w:val="en-GB"/>
        </w:rPr>
        <w:t>Neurobiol</w:t>
      </w:r>
      <w:proofErr w:type="spellEnd"/>
      <w:r w:rsidRPr="00953CD4">
        <w:rPr>
          <w:i/>
          <w:iCs/>
          <w:lang w:val="en-GB"/>
        </w:rPr>
        <w:t>.</w:t>
      </w:r>
      <w:r w:rsidRPr="00953CD4">
        <w:rPr>
          <w:lang w:val="en-GB"/>
        </w:rPr>
        <w:t xml:space="preserve"> </w:t>
      </w:r>
      <w:r w:rsidRPr="00953CD4">
        <w:rPr>
          <w:b/>
          <w:bCs/>
          <w:lang w:val="en-GB"/>
        </w:rPr>
        <w:t>75</w:t>
      </w:r>
      <w:r w:rsidRPr="00953CD4">
        <w:rPr>
          <w:lang w:val="en-GB"/>
        </w:rPr>
        <w:t>, 927–934.</w:t>
      </w:r>
    </w:p>
    <w:p w:rsidR="003704F2" w:rsidRPr="00953CD4" w:rsidRDefault="003704F2" w:rsidP="001D3E43">
      <w:pPr>
        <w:pStyle w:val="Literaturverzeichnis1"/>
        <w:rPr>
          <w:lang w:val="en-GB"/>
        </w:rPr>
      </w:pPr>
      <w:proofErr w:type="spellStart"/>
      <w:proofErr w:type="gramStart"/>
      <w:r w:rsidRPr="00953CD4">
        <w:rPr>
          <w:b/>
          <w:bCs/>
          <w:lang w:val="en-GB"/>
        </w:rPr>
        <w:t>Komuro</w:t>
      </w:r>
      <w:proofErr w:type="spellEnd"/>
      <w:r w:rsidRPr="00953CD4">
        <w:rPr>
          <w:b/>
          <w:bCs/>
          <w:lang w:val="en-GB"/>
        </w:rPr>
        <w:t xml:space="preserve">, H. and </w:t>
      </w:r>
      <w:proofErr w:type="spellStart"/>
      <w:r w:rsidRPr="00953CD4">
        <w:rPr>
          <w:b/>
          <w:bCs/>
          <w:lang w:val="en-GB"/>
        </w:rPr>
        <w:t>Rakic</w:t>
      </w:r>
      <w:proofErr w:type="spellEnd"/>
      <w:r w:rsidRPr="00953CD4">
        <w:rPr>
          <w:b/>
          <w:bCs/>
          <w:lang w:val="en-GB"/>
        </w:rPr>
        <w:t>, P.</w:t>
      </w:r>
      <w:r w:rsidRPr="00953CD4">
        <w:rPr>
          <w:lang w:val="en-GB"/>
        </w:rPr>
        <w:t xml:space="preserve"> (1993).</w:t>
      </w:r>
      <w:proofErr w:type="gramEnd"/>
      <w:r w:rsidRPr="00953CD4">
        <w:rPr>
          <w:lang w:val="en-GB"/>
        </w:rPr>
        <w:t xml:space="preserve"> </w:t>
      </w:r>
      <w:proofErr w:type="gramStart"/>
      <w:r w:rsidRPr="00953CD4">
        <w:rPr>
          <w:lang w:val="en-GB"/>
        </w:rPr>
        <w:t>Modulation of neuronal migration by NMDA receptors.</w:t>
      </w:r>
      <w:proofErr w:type="gramEnd"/>
      <w:r w:rsidRPr="00953CD4">
        <w:rPr>
          <w:lang w:val="en-GB"/>
        </w:rPr>
        <w:t xml:space="preserve"> </w:t>
      </w:r>
      <w:r w:rsidRPr="00953CD4">
        <w:rPr>
          <w:i/>
          <w:iCs/>
          <w:lang w:val="en-GB"/>
        </w:rPr>
        <w:t>Science</w:t>
      </w:r>
      <w:r w:rsidRPr="00953CD4">
        <w:rPr>
          <w:lang w:val="en-GB"/>
        </w:rPr>
        <w:t xml:space="preserve"> </w:t>
      </w:r>
      <w:r w:rsidRPr="00953CD4">
        <w:rPr>
          <w:b/>
          <w:bCs/>
          <w:lang w:val="en-GB"/>
        </w:rPr>
        <w:t>260</w:t>
      </w:r>
      <w:r w:rsidRPr="00953CD4">
        <w:rPr>
          <w:lang w:val="en-GB"/>
        </w:rPr>
        <w:t>, 95–97.</w:t>
      </w:r>
    </w:p>
    <w:p w:rsidR="003704F2" w:rsidRPr="00953CD4" w:rsidRDefault="003704F2" w:rsidP="001D3E43">
      <w:pPr>
        <w:pStyle w:val="Literaturverzeichnis1"/>
        <w:rPr>
          <w:lang w:val="en-GB"/>
        </w:rPr>
      </w:pPr>
      <w:proofErr w:type="spellStart"/>
      <w:r w:rsidRPr="00953CD4">
        <w:rPr>
          <w:b/>
          <w:bCs/>
          <w:lang w:val="en-GB"/>
        </w:rPr>
        <w:t>Letinic</w:t>
      </w:r>
      <w:proofErr w:type="spellEnd"/>
      <w:r w:rsidRPr="00953CD4">
        <w:rPr>
          <w:b/>
          <w:bCs/>
          <w:lang w:val="en-GB"/>
        </w:rPr>
        <w:t xml:space="preserve">, K., </w:t>
      </w:r>
      <w:proofErr w:type="spellStart"/>
      <w:r w:rsidRPr="00953CD4">
        <w:rPr>
          <w:b/>
          <w:bCs/>
          <w:lang w:val="en-GB"/>
        </w:rPr>
        <w:t>Zoncu</w:t>
      </w:r>
      <w:proofErr w:type="spellEnd"/>
      <w:r w:rsidRPr="00953CD4">
        <w:rPr>
          <w:b/>
          <w:bCs/>
          <w:lang w:val="en-GB"/>
        </w:rPr>
        <w:t xml:space="preserve">, R. and </w:t>
      </w:r>
      <w:proofErr w:type="spellStart"/>
      <w:r w:rsidRPr="00953CD4">
        <w:rPr>
          <w:b/>
          <w:bCs/>
          <w:lang w:val="en-GB"/>
        </w:rPr>
        <w:t>Rakic</w:t>
      </w:r>
      <w:proofErr w:type="spellEnd"/>
      <w:r w:rsidRPr="00953CD4">
        <w:rPr>
          <w:b/>
          <w:bCs/>
          <w:lang w:val="en-GB"/>
        </w:rPr>
        <w:t>, P.</w:t>
      </w:r>
      <w:r w:rsidRPr="00953CD4">
        <w:rPr>
          <w:lang w:val="en-GB"/>
        </w:rPr>
        <w:t xml:space="preserve"> (2002). </w:t>
      </w:r>
      <w:proofErr w:type="gramStart"/>
      <w:r w:rsidRPr="00953CD4">
        <w:rPr>
          <w:lang w:val="en-GB"/>
        </w:rPr>
        <w:t>Origin of GABAergic neurons in the human neocortex.</w:t>
      </w:r>
      <w:proofErr w:type="gramEnd"/>
      <w:r w:rsidRPr="00953CD4">
        <w:rPr>
          <w:lang w:val="en-GB"/>
        </w:rPr>
        <w:t xml:space="preserve"> </w:t>
      </w:r>
      <w:r w:rsidRPr="00953CD4">
        <w:rPr>
          <w:i/>
          <w:iCs/>
          <w:lang w:val="en-GB"/>
        </w:rPr>
        <w:t>Nature</w:t>
      </w:r>
      <w:r w:rsidRPr="00953CD4">
        <w:rPr>
          <w:lang w:val="en-GB"/>
        </w:rPr>
        <w:t xml:space="preserve"> </w:t>
      </w:r>
      <w:r w:rsidRPr="00953CD4">
        <w:rPr>
          <w:b/>
          <w:bCs/>
          <w:lang w:val="en-GB"/>
        </w:rPr>
        <w:t>417</w:t>
      </w:r>
      <w:r w:rsidRPr="00953CD4">
        <w:rPr>
          <w:lang w:val="en-GB"/>
        </w:rPr>
        <w:t>, 645–649.</w:t>
      </w:r>
    </w:p>
    <w:p w:rsidR="003704F2" w:rsidRPr="00953CD4" w:rsidRDefault="003704F2" w:rsidP="001D3E43">
      <w:pPr>
        <w:pStyle w:val="Literaturverzeichnis1"/>
        <w:rPr>
          <w:lang w:val="en-GB"/>
        </w:rPr>
      </w:pPr>
      <w:proofErr w:type="spellStart"/>
      <w:proofErr w:type="gramStart"/>
      <w:r w:rsidRPr="00953CD4">
        <w:rPr>
          <w:b/>
          <w:bCs/>
          <w:lang w:val="en-GB"/>
        </w:rPr>
        <w:t>Leto</w:t>
      </w:r>
      <w:proofErr w:type="spellEnd"/>
      <w:r w:rsidRPr="00953CD4">
        <w:rPr>
          <w:b/>
          <w:bCs/>
          <w:lang w:val="en-GB"/>
        </w:rPr>
        <w:t xml:space="preserve">, K., </w:t>
      </w:r>
      <w:proofErr w:type="spellStart"/>
      <w:r w:rsidRPr="00953CD4">
        <w:rPr>
          <w:b/>
          <w:bCs/>
          <w:lang w:val="en-GB"/>
        </w:rPr>
        <w:t>Bartolini</w:t>
      </w:r>
      <w:proofErr w:type="spellEnd"/>
      <w:r w:rsidRPr="00953CD4">
        <w:rPr>
          <w:b/>
          <w:bCs/>
          <w:lang w:val="en-GB"/>
        </w:rPr>
        <w:t xml:space="preserve">, A., </w:t>
      </w:r>
      <w:proofErr w:type="spellStart"/>
      <w:r w:rsidRPr="00953CD4">
        <w:rPr>
          <w:b/>
          <w:bCs/>
          <w:lang w:val="en-GB"/>
        </w:rPr>
        <w:t>Yanagawa</w:t>
      </w:r>
      <w:proofErr w:type="spellEnd"/>
      <w:r w:rsidRPr="00953CD4">
        <w:rPr>
          <w:b/>
          <w:bCs/>
          <w:lang w:val="en-GB"/>
        </w:rPr>
        <w:t xml:space="preserve">, Y., Obata, K., </w:t>
      </w:r>
      <w:proofErr w:type="spellStart"/>
      <w:r w:rsidRPr="00953CD4">
        <w:rPr>
          <w:b/>
          <w:bCs/>
          <w:lang w:val="en-GB"/>
        </w:rPr>
        <w:t>Magrassi</w:t>
      </w:r>
      <w:proofErr w:type="spellEnd"/>
      <w:r w:rsidRPr="00953CD4">
        <w:rPr>
          <w:b/>
          <w:bCs/>
          <w:lang w:val="en-GB"/>
        </w:rPr>
        <w:t>, L., Schilling, K. and Rossi, F.</w:t>
      </w:r>
      <w:r w:rsidRPr="00953CD4">
        <w:rPr>
          <w:lang w:val="en-GB"/>
        </w:rPr>
        <w:t xml:space="preserve"> (2009).</w:t>
      </w:r>
      <w:proofErr w:type="gramEnd"/>
      <w:r w:rsidRPr="00953CD4">
        <w:rPr>
          <w:lang w:val="en-GB"/>
        </w:rPr>
        <w:t xml:space="preserve"> </w:t>
      </w:r>
      <w:proofErr w:type="gramStart"/>
      <w:r w:rsidRPr="00953CD4">
        <w:rPr>
          <w:lang w:val="en-GB"/>
        </w:rPr>
        <w:t>Laminar Fate and Phenotype Specification of Cerebellar GABAergic Interneurons.</w:t>
      </w:r>
      <w:proofErr w:type="gramEnd"/>
      <w:r w:rsidRPr="00953CD4">
        <w:rPr>
          <w:lang w:val="en-GB"/>
        </w:rPr>
        <w:t xml:space="preserve"> </w:t>
      </w:r>
      <w:r w:rsidRPr="00953CD4">
        <w:rPr>
          <w:i/>
          <w:iCs/>
          <w:lang w:val="en-GB"/>
        </w:rPr>
        <w:t xml:space="preserve">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29</w:t>
      </w:r>
      <w:r w:rsidRPr="00953CD4">
        <w:rPr>
          <w:lang w:val="en-GB"/>
        </w:rPr>
        <w:t>, 7079–7091.</w:t>
      </w:r>
    </w:p>
    <w:p w:rsidR="003704F2" w:rsidRPr="00953CD4" w:rsidRDefault="003704F2" w:rsidP="001D3E43">
      <w:pPr>
        <w:pStyle w:val="Literaturverzeichnis1"/>
        <w:rPr>
          <w:lang w:val="en-GB"/>
        </w:rPr>
      </w:pPr>
      <w:proofErr w:type="spellStart"/>
      <w:r w:rsidRPr="00953CD4">
        <w:rPr>
          <w:b/>
          <w:bCs/>
          <w:lang w:val="en-GB"/>
        </w:rPr>
        <w:t>Leto</w:t>
      </w:r>
      <w:proofErr w:type="spellEnd"/>
      <w:r w:rsidRPr="00953CD4">
        <w:rPr>
          <w:b/>
          <w:bCs/>
          <w:lang w:val="en-GB"/>
        </w:rPr>
        <w:t xml:space="preserve">, K., </w:t>
      </w:r>
      <w:proofErr w:type="spellStart"/>
      <w:r w:rsidRPr="00953CD4">
        <w:rPr>
          <w:b/>
          <w:bCs/>
          <w:lang w:val="en-GB"/>
        </w:rPr>
        <w:t>Bartolini</w:t>
      </w:r>
      <w:proofErr w:type="spellEnd"/>
      <w:r w:rsidRPr="00953CD4">
        <w:rPr>
          <w:b/>
          <w:bCs/>
          <w:lang w:val="en-GB"/>
        </w:rPr>
        <w:t xml:space="preserve">, A., Gregorio, A. D., </w:t>
      </w:r>
      <w:proofErr w:type="spellStart"/>
      <w:r w:rsidRPr="00953CD4">
        <w:rPr>
          <w:b/>
          <w:bCs/>
          <w:lang w:val="en-GB"/>
        </w:rPr>
        <w:t>Imperiale</w:t>
      </w:r>
      <w:proofErr w:type="spellEnd"/>
      <w:r w:rsidRPr="00953CD4">
        <w:rPr>
          <w:b/>
          <w:bCs/>
          <w:lang w:val="en-GB"/>
        </w:rPr>
        <w:t xml:space="preserve">, D., Luca, A. D., </w:t>
      </w:r>
      <w:proofErr w:type="spellStart"/>
      <w:r w:rsidRPr="00953CD4">
        <w:rPr>
          <w:b/>
          <w:bCs/>
          <w:lang w:val="en-GB"/>
        </w:rPr>
        <w:t>Parmigiani</w:t>
      </w:r>
      <w:proofErr w:type="spellEnd"/>
      <w:r w:rsidRPr="00953CD4">
        <w:rPr>
          <w:b/>
          <w:bCs/>
          <w:lang w:val="en-GB"/>
        </w:rPr>
        <w:t xml:space="preserve">, E., </w:t>
      </w:r>
      <w:proofErr w:type="spellStart"/>
      <w:r w:rsidRPr="00953CD4">
        <w:rPr>
          <w:b/>
          <w:bCs/>
          <w:lang w:val="en-GB"/>
        </w:rPr>
        <w:t>Filipkowski</w:t>
      </w:r>
      <w:proofErr w:type="spellEnd"/>
      <w:r w:rsidRPr="00953CD4">
        <w:rPr>
          <w:b/>
          <w:bCs/>
          <w:lang w:val="en-GB"/>
        </w:rPr>
        <w:t xml:space="preserve">, R. K., </w:t>
      </w:r>
      <w:proofErr w:type="spellStart"/>
      <w:r w:rsidRPr="00953CD4">
        <w:rPr>
          <w:b/>
          <w:bCs/>
          <w:lang w:val="en-GB"/>
        </w:rPr>
        <w:t>Kaczmarek</w:t>
      </w:r>
      <w:proofErr w:type="spellEnd"/>
      <w:r w:rsidRPr="00953CD4">
        <w:rPr>
          <w:b/>
          <w:bCs/>
          <w:lang w:val="en-GB"/>
        </w:rPr>
        <w:t>, L. and Rossi, F.</w:t>
      </w:r>
      <w:r w:rsidRPr="00953CD4">
        <w:rPr>
          <w:lang w:val="en-GB"/>
        </w:rPr>
        <w:t xml:space="preserve"> (2011). Modulation of cell-cycle dynamics is required to regulate the number of cerebellar GABAergic interneurons and their rhythm of maturation. </w:t>
      </w:r>
      <w:proofErr w:type="gramStart"/>
      <w:r w:rsidRPr="00953CD4">
        <w:rPr>
          <w:i/>
          <w:iCs/>
          <w:lang w:val="en-GB"/>
        </w:rPr>
        <w:t>Development</w:t>
      </w:r>
      <w:r w:rsidRPr="00953CD4">
        <w:rPr>
          <w:lang w:val="en-GB"/>
        </w:rPr>
        <w:t xml:space="preserve"> </w:t>
      </w:r>
      <w:r w:rsidRPr="00953CD4">
        <w:rPr>
          <w:b/>
          <w:bCs/>
          <w:lang w:val="en-GB"/>
        </w:rPr>
        <w:t>138</w:t>
      </w:r>
      <w:r w:rsidRPr="00953CD4">
        <w:rPr>
          <w:lang w:val="en-GB"/>
        </w:rPr>
        <w:t>, 3463–3472.</w:t>
      </w:r>
      <w:proofErr w:type="gramEnd"/>
    </w:p>
    <w:p w:rsidR="003704F2" w:rsidRPr="00953CD4" w:rsidRDefault="003704F2" w:rsidP="001D3E43">
      <w:pPr>
        <w:pStyle w:val="Literaturverzeichnis1"/>
        <w:rPr>
          <w:lang w:val="en-GB"/>
        </w:rPr>
      </w:pPr>
      <w:proofErr w:type="spellStart"/>
      <w:r w:rsidRPr="00953CD4">
        <w:rPr>
          <w:b/>
          <w:bCs/>
          <w:lang w:val="en-GB"/>
        </w:rPr>
        <w:t>Leto</w:t>
      </w:r>
      <w:proofErr w:type="spellEnd"/>
      <w:r w:rsidRPr="00953CD4">
        <w:rPr>
          <w:b/>
          <w:bCs/>
          <w:lang w:val="en-GB"/>
        </w:rPr>
        <w:t xml:space="preserve">, K., </w:t>
      </w:r>
      <w:proofErr w:type="spellStart"/>
      <w:r w:rsidRPr="00953CD4">
        <w:rPr>
          <w:b/>
          <w:bCs/>
          <w:lang w:val="en-GB"/>
        </w:rPr>
        <w:t>Arancillo</w:t>
      </w:r>
      <w:proofErr w:type="spellEnd"/>
      <w:r w:rsidRPr="00953CD4">
        <w:rPr>
          <w:b/>
          <w:bCs/>
          <w:lang w:val="en-GB"/>
        </w:rPr>
        <w:t xml:space="preserve">, M., Becker, E. B. E., Buffo, A., Chiang, C., Ding, B., </w:t>
      </w:r>
      <w:proofErr w:type="spellStart"/>
      <w:r w:rsidRPr="00953CD4">
        <w:rPr>
          <w:b/>
          <w:bCs/>
          <w:lang w:val="en-GB"/>
        </w:rPr>
        <w:t>Dobyns</w:t>
      </w:r>
      <w:proofErr w:type="spellEnd"/>
      <w:r w:rsidRPr="00953CD4">
        <w:rPr>
          <w:b/>
          <w:bCs/>
          <w:lang w:val="en-GB"/>
        </w:rPr>
        <w:t xml:space="preserve">, W. B., </w:t>
      </w:r>
      <w:proofErr w:type="spellStart"/>
      <w:r w:rsidRPr="00953CD4">
        <w:rPr>
          <w:b/>
          <w:bCs/>
          <w:lang w:val="en-GB"/>
        </w:rPr>
        <w:t>Dusart</w:t>
      </w:r>
      <w:proofErr w:type="spellEnd"/>
      <w:r w:rsidRPr="00953CD4">
        <w:rPr>
          <w:b/>
          <w:bCs/>
          <w:lang w:val="en-GB"/>
        </w:rPr>
        <w:t xml:space="preserve">, I., </w:t>
      </w:r>
      <w:proofErr w:type="spellStart"/>
      <w:r w:rsidRPr="00953CD4">
        <w:rPr>
          <w:b/>
          <w:bCs/>
          <w:lang w:val="en-GB"/>
        </w:rPr>
        <w:t>Haldipur</w:t>
      </w:r>
      <w:proofErr w:type="spellEnd"/>
      <w:r w:rsidRPr="00953CD4">
        <w:rPr>
          <w:b/>
          <w:bCs/>
          <w:lang w:val="en-GB"/>
        </w:rPr>
        <w:t>, P., Hatten, M. E., et al.</w:t>
      </w:r>
      <w:r w:rsidRPr="00953CD4">
        <w:rPr>
          <w:lang w:val="en-GB"/>
        </w:rPr>
        <w:t xml:space="preserve"> (2016). Consensus Paper: Cerebellar Development. </w:t>
      </w:r>
      <w:proofErr w:type="gramStart"/>
      <w:r w:rsidRPr="00953CD4">
        <w:rPr>
          <w:i/>
          <w:iCs/>
          <w:lang w:val="en-GB"/>
        </w:rPr>
        <w:t xml:space="preserve">Cerebellum </w:t>
      </w:r>
      <w:proofErr w:type="spellStart"/>
      <w:r w:rsidRPr="00953CD4">
        <w:rPr>
          <w:i/>
          <w:iCs/>
          <w:lang w:val="en-GB"/>
        </w:rPr>
        <w:t>Lond</w:t>
      </w:r>
      <w:proofErr w:type="spellEnd"/>
      <w:r w:rsidRPr="00953CD4">
        <w:rPr>
          <w:i/>
          <w:iCs/>
          <w:lang w:val="en-GB"/>
        </w:rPr>
        <w:t>.</w:t>
      </w:r>
      <w:proofErr w:type="gramEnd"/>
      <w:r w:rsidRPr="00953CD4">
        <w:rPr>
          <w:i/>
          <w:iCs/>
          <w:lang w:val="en-GB"/>
        </w:rPr>
        <w:t xml:space="preserve"> Engl.</w:t>
      </w:r>
      <w:r w:rsidRPr="00953CD4">
        <w:rPr>
          <w:lang w:val="en-GB"/>
        </w:rPr>
        <w:t xml:space="preserve"> </w:t>
      </w:r>
      <w:r w:rsidRPr="00953CD4">
        <w:rPr>
          <w:b/>
          <w:bCs/>
          <w:lang w:val="en-GB"/>
        </w:rPr>
        <w:t>15</w:t>
      </w:r>
      <w:r w:rsidRPr="00953CD4">
        <w:rPr>
          <w:lang w:val="en-GB"/>
        </w:rPr>
        <w:t>, 789–828.</w:t>
      </w:r>
    </w:p>
    <w:p w:rsidR="003704F2" w:rsidRPr="00953CD4" w:rsidRDefault="003704F2" w:rsidP="001D3E43">
      <w:pPr>
        <w:pStyle w:val="Literaturverzeichnis1"/>
        <w:rPr>
          <w:lang w:val="en-GB"/>
        </w:rPr>
      </w:pPr>
      <w:proofErr w:type="gramStart"/>
      <w:r w:rsidRPr="00953CD4">
        <w:rPr>
          <w:b/>
          <w:bCs/>
          <w:lang w:val="en-GB"/>
        </w:rPr>
        <w:t>Liu, S. J. and Cull-Candy, S. G.</w:t>
      </w:r>
      <w:r w:rsidRPr="00953CD4">
        <w:rPr>
          <w:lang w:val="en-GB"/>
        </w:rPr>
        <w:t xml:space="preserve"> (2002).</w:t>
      </w:r>
      <w:proofErr w:type="gramEnd"/>
      <w:r w:rsidRPr="00953CD4">
        <w:rPr>
          <w:lang w:val="en-GB"/>
        </w:rPr>
        <w:t xml:space="preserve"> </w:t>
      </w:r>
      <w:proofErr w:type="gramStart"/>
      <w:r w:rsidRPr="00953CD4">
        <w:rPr>
          <w:lang w:val="en-GB"/>
        </w:rPr>
        <w:t>Activity-Dependent Change in AMPA Receptor Properties in Cerebellar Stellate Cells.</w:t>
      </w:r>
      <w:proofErr w:type="gramEnd"/>
      <w:r w:rsidRPr="00953CD4">
        <w:rPr>
          <w:lang w:val="en-GB"/>
        </w:rPr>
        <w:t xml:space="preserve"> </w:t>
      </w:r>
      <w:r w:rsidRPr="00953CD4">
        <w:rPr>
          <w:i/>
          <w:iCs/>
          <w:lang w:val="en-GB"/>
        </w:rPr>
        <w:t xml:space="preserve">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22</w:t>
      </w:r>
      <w:r w:rsidRPr="00953CD4">
        <w:rPr>
          <w:lang w:val="en-GB"/>
        </w:rPr>
        <w:t>, 3881–3889.</w:t>
      </w:r>
    </w:p>
    <w:p w:rsidR="003704F2" w:rsidRPr="00953CD4" w:rsidRDefault="003704F2" w:rsidP="001D3E43">
      <w:pPr>
        <w:pStyle w:val="Literaturverzeichnis1"/>
        <w:rPr>
          <w:lang w:val="en-GB"/>
        </w:rPr>
      </w:pPr>
      <w:proofErr w:type="gramStart"/>
      <w:r w:rsidRPr="00953CD4">
        <w:rPr>
          <w:b/>
          <w:bCs/>
          <w:lang w:val="en-GB"/>
        </w:rPr>
        <w:t xml:space="preserve">Liu, X., Wang, Q., </w:t>
      </w:r>
      <w:proofErr w:type="spellStart"/>
      <w:r w:rsidRPr="00953CD4">
        <w:rPr>
          <w:b/>
          <w:bCs/>
          <w:lang w:val="en-GB"/>
        </w:rPr>
        <w:t>Haydar</w:t>
      </w:r>
      <w:proofErr w:type="spellEnd"/>
      <w:r w:rsidRPr="00953CD4">
        <w:rPr>
          <w:b/>
          <w:bCs/>
          <w:lang w:val="en-GB"/>
        </w:rPr>
        <w:t xml:space="preserve">, T. F. and </w:t>
      </w:r>
      <w:proofErr w:type="spellStart"/>
      <w:r w:rsidRPr="00953CD4">
        <w:rPr>
          <w:b/>
          <w:bCs/>
          <w:lang w:val="en-GB"/>
        </w:rPr>
        <w:t>Bordey</w:t>
      </w:r>
      <w:proofErr w:type="spellEnd"/>
      <w:r w:rsidRPr="00953CD4">
        <w:rPr>
          <w:b/>
          <w:bCs/>
          <w:lang w:val="en-GB"/>
        </w:rPr>
        <w:t>, A.</w:t>
      </w:r>
      <w:r w:rsidRPr="00953CD4">
        <w:rPr>
          <w:lang w:val="en-GB"/>
        </w:rPr>
        <w:t xml:space="preserve"> (2005).</w:t>
      </w:r>
      <w:proofErr w:type="gramEnd"/>
      <w:r w:rsidRPr="00953CD4">
        <w:rPr>
          <w:lang w:val="en-GB"/>
        </w:rPr>
        <w:t xml:space="preserve"> </w:t>
      </w:r>
      <w:proofErr w:type="spellStart"/>
      <w:r w:rsidRPr="00953CD4">
        <w:rPr>
          <w:lang w:val="en-GB"/>
        </w:rPr>
        <w:t>Nonsynaptic</w:t>
      </w:r>
      <w:proofErr w:type="spellEnd"/>
      <w:r w:rsidRPr="00953CD4">
        <w:rPr>
          <w:lang w:val="en-GB"/>
        </w:rPr>
        <w:t xml:space="preserve"> GABA </w:t>
      </w:r>
      <w:proofErr w:type="spellStart"/>
      <w:r w:rsidRPr="00953CD4">
        <w:rPr>
          <w:lang w:val="en-GB"/>
        </w:rPr>
        <w:t>signaling</w:t>
      </w:r>
      <w:proofErr w:type="spellEnd"/>
      <w:r w:rsidRPr="00953CD4">
        <w:rPr>
          <w:lang w:val="en-GB"/>
        </w:rPr>
        <w:t xml:space="preserve"> in postnatal </w:t>
      </w:r>
      <w:proofErr w:type="spellStart"/>
      <w:r w:rsidRPr="00953CD4">
        <w:rPr>
          <w:lang w:val="en-GB"/>
        </w:rPr>
        <w:t>subventricular</w:t>
      </w:r>
      <w:proofErr w:type="spellEnd"/>
      <w:r w:rsidRPr="00953CD4">
        <w:rPr>
          <w:lang w:val="en-GB"/>
        </w:rPr>
        <w:t xml:space="preserve"> zone controls GFAP-expressing progenitor proliferation. </w:t>
      </w:r>
      <w:r w:rsidRPr="00953CD4">
        <w:rPr>
          <w:i/>
          <w:iCs/>
          <w:lang w:val="en-GB"/>
        </w:rPr>
        <w:t xml:space="preserve">Nat.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8</w:t>
      </w:r>
      <w:r w:rsidRPr="00953CD4">
        <w:rPr>
          <w:lang w:val="en-GB"/>
        </w:rPr>
        <w:t>, 1179–1187.</w:t>
      </w:r>
    </w:p>
    <w:p w:rsidR="003704F2" w:rsidRPr="00953CD4" w:rsidRDefault="003704F2" w:rsidP="001D3E43">
      <w:pPr>
        <w:pStyle w:val="Literaturverzeichnis1"/>
        <w:rPr>
          <w:lang w:val="en-GB"/>
        </w:rPr>
      </w:pPr>
      <w:proofErr w:type="gramStart"/>
      <w:r w:rsidRPr="00953CD4">
        <w:rPr>
          <w:b/>
          <w:bCs/>
          <w:lang w:val="en-GB"/>
        </w:rPr>
        <w:t xml:space="preserve">Liu, H.-T., Akita, T., Shimizu, T., </w:t>
      </w:r>
      <w:proofErr w:type="spellStart"/>
      <w:r w:rsidRPr="00953CD4">
        <w:rPr>
          <w:b/>
          <w:bCs/>
          <w:lang w:val="en-GB"/>
        </w:rPr>
        <w:t>Sabirov</w:t>
      </w:r>
      <w:proofErr w:type="spellEnd"/>
      <w:r w:rsidRPr="00953CD4">
        <w:rPr>
          <w:b/>
          <w:bCs/>
          <w:lang w:val="en-GB"/>
        </w:rPr>
        <w:t>, R. Z. and Okada, Y.</w:t>
      </w:r>
      <w:r w:rsidRPr="00953CD4">
        <w:rPr>
          <w:lang w:val="en-GB"/>
        </w:rPr>
        <w:t xml:space="preserve"> (2009).</w:t>
      </w:r>
      <w:proofErr w:type="gramEnd"/>
      <w:r w:rsidRPr="00953CD4">
        <w:rPr>
          <w:lang w:val="en-GB"/>
        </w:rPr>
        <w:t xml:space="preserve"> Bradykinin-induced astrocyte–neuron signalling: glutamate release is mediated by ROS-activated volume-sensitive outwardly rectifying anion channels. </w:t>
      </w:r>
      <w:r w:rsidRPr="00953CD4">
        <w:rPr>
          <w:i/>
          <w:iCs/>
          <w:lang w:val="en-GB"/>
        </w:rPr>
        <w:t>J. Physiol.</w:t>
      </w:r>
      <w:r w:rsidRPr="00953CD4">
        <w:rPr>
          <w:lang w:val="en-GB"/>
        </w:rPr>
        <w:t xml:space="preserve"> </w:t>
      </w:r>
      <w:r w:rsidRPr="00953CD4">
        <w:rPr>
          <w:b/>
          <w:bCs/>
          <w:lang w:val="en-GB"/>
        </w:rPr>
        <w:t>587</w:t>
      </w:r>
      <w:r w:rsidRPr="00953CD4">
        <w:rPr>
          <w:lang w:val="en-GB"/>
        </w:rPr>
        <w:t>, 2197–2209.</w:t>
      </w:r>
    </w:p>
    <w:p w:rsidR="003704F2" w:rsidRPr="00953CD4" w:rsidRDefault="003704F2" w:rsidP="001D3E43">
      <w:pPr>
        <w:pStyle w:val="Literaturverzeichnis1"/>
        <w:rPr>
          <w:lang w:val="en-GB"/>
        </w:rPr>
      </w:pPr>
      <w:proofErr w:type="spellStart"/>
      <w:proofErr w:type="gramStart"/>
      <w:r w:rsidRPr="00953CD4">
        <w:rPr>
          <w:b/>
          <w:bCs/>
          <w:lang w:val="en-GB"/>
        </w:rPr>
        <w:t>LoTurco</w:t>
      </w:r>
      <w:proofErr w:type="spellEnd"/>
      <w:r w:rsidRPr="00953CD4">
        <w:rPr>
          <w:b/>
          <w:bCs/>
          <w:lang w:val="en-GB"/>
        </w:rPr>
        <w:t xml:space="preserve">, J. J., Owens, D. F., Heath, M. J. S., Davis, M. B. E. and </w:t>
      </w:r>
      <w:proofErr w:type="spellStart"/>
      <w:r w:rsidRPr="00953CD4">
        <w:rPr>
          <w:b/>
          <w:bCs/>
          <w:lang w:val="en-GB"/>
        </w:rPr>
        <w:t>Kriegstein</w:t>
      </w:r>
      <w:proofErr w:type="spellEnd"/>
      <w:r w:rsidRPr="00953CD4">
        <w:rPr>
          <w:b/>
          <w:bCs/>
          <w:lang w:val="en-GB"/>
        </w:rPr>
        <w:t>, A. R.</w:t>
      </w:r>
      <w:r w:rsidRPr="00953CD4">
        <w:rPr>
          <w:lang w:val="en-GB"/>
        </w:rPr>
        <w:t xml:space="preserve"> (1995).</w:t>
      </w:r>
      <w:proofErr w:type="gramEnd"/>
      <w:r w:rsidRPr="00953CD4">
        <w:rPr>
          <w:lang w:val="en-GB"/>
        </w:rPr>
        <w:t xml:space="preserve"> GABA and glutamate depolarize cortical progenitor cells and inhibit DNA synthesis. </w:t>
      </w:r>
      <w:r w:rsidRPr="00953CD4">
        <w:rPr>
          <w:i/>
          <w:iCs/>
          <w:lang w:val="en-GB"/>
        </w:rPr>
        <w:t>Neuron</w:t>
      </w:r>
      <w:r w:rsidRPr="00953CD4">
        <w:rPr>
          <w:lang w:val="en-GB"/>
        </w:rPr>
        <w:t xml:space="preserve"> </w:t>
      </w:r>
      <w:r w:rsidRPr="00953CD4">
        <w:rPr>
          <w:b/>
          <w:bCs/>
          <w:lang w:val="en-GB"/>
        </w:rPr>
        <w:t>15</w:t>
      </w:r>
      <w:r w:rsidRPr="00953CD4">
        <w:rPr>
          <w:lang w:val="en-GB"/>
        </w:rPr>
        <w:t>, 1287–1298.</w:t>
      </w:r>
    </w:p>
    <w:p w:rsidR="003704F2" w:rsidRPr="00953CD4" w:rsidRDefault="003704F2" w:rsidP="001D3E43">
      <w:pPr>
        <w:pStyle w:val="Literaturverzeichnis1"/>
        <w:rPr>
          <w:lang w:val="en-GB"/>
        </w:rPr>
      </w:pPr>
      <w:proofErr w:type="spellStart"/>
      <w:proofErr w:type="gramStart"/>
      <w:r w:rsidRPr="00953CD4">
        <w:rPr>
          <w:b/>
          <w:bCs/>
          <w:lang w:val="en-GB"/>
        </w:rPr>
        <w:t>Luhmann</w:t>
      </w:r>
      <w:proofErr w:type="spellEnd"/>
      <w:r w:rsidRPr="00953CD4">
        <w:rPr>
          <w:b/>
          <w:bCs/>
          <w:lang w:val="en-GB"/>
        </w:rPr>
        <w:t xml:space="preserve">, H. J., Fukuda, A. and </w:t>
      </w:r>
      <w:proofErr w:type="spellStart"/>
      <w:r w:rsidRPr="00953CD4">
        <w:rPr>
          <w:b/>
          <w:bCs/>
          <w:lang w:val="en-GB"/>
        </w:rPr>
        <w:t>Kilb</w:t>
      </w:r>
      <w:proofErr w:type="spellEnd"/>
      <w:r w:rsidRPr="00953CD4">
        <w:rPr>
          <w:b/>
          <w:bCs/>
          <w:lang w:val="en-GB"/>
        </w:rPr>
        <w:t>, W.</w:t>
      </w:r>
      <w:r w:rsidRPr="00953CD4">
        <w:rPr>
          <w:lang w:val="en-GB"/>
        </w:rPr>
        <w:t xml:space="preserve"> (2015).</w:t>
      </w:r>
      <w:proofErr w:type="gramEnd"/>
      <w:r w:rsidRPr="00953CD4">
        <w:rPr>
          <w:lang w:val="en-GB"/>
        </w:rPr>
        <w:t xml:space="preserve"> </w:t>
      </w:r>
      <w:proofErr w:type="gramStart"/>
      <w:r w:rsidRPr="00953CD4">
        <w:rPr>
          <w:lang w:val="en-GB"/>
        </w:rPr>
        <w:t>Control of cortical neuronal migration by glutamate and GABA.</w:t>
      </w:r>
      <w:proofErr w:type="gramEnd"/>
      <w:r w:rsidRPr="00953CD4">
        <w:rPr>
          <w:lang w:val="en-GB"/>
        </w:rPr>
        <w:t xml:space="preserve"> </w:t>
      </w:r>
      <w:r w:rsidRPr="00953CD4">
        <w:rPr>
          <w:i/>
          <w:iCs/>
          <w:lang w:val="en-GB"/>
        </w:rPr>
        <w:t xml:space="preserve">Front. </w:t>
      </w:r>
      <w:proofErr w:type="gramStart"/>
      <w:r w:rsidRPr="00953CD4">
        <w:rPr>
          <w:i/>
          <w:iCs/>
          <w:lang w:val="en-GB"/>
        </w:rPr>
        <w:t>Cell.</w:t>
      </w:r>
      <w:proofErr w:type="gramEnd"/>
      <w:r w:rsidRPr="00953CD4">
        <w:rPr>
          <w:i/>
          <w:iCs/>
          <w:lang w:val="en-GB"/>
        </w:rPr>
        <w:t xml:space="preserve"> </w:t>
      </w:r>
      <w:proofErr w:type="spellStart"/>
      <w:proofErr w:type="gramStart"/>
      <w:r w:rsidRPr="00953CD4">
        <w:rPr>
          <w:i/>
          <w:iCs/>
          <w:lang w:val="en-GB"/>
        </w:rPr>
        <w:t>Neurosci</w:t>
      </w:r>
      <w:proofErr w:type="spellEnd"/>
      <w:r w:rsidRPr="00953CD4">
        <w:rPr>
          <w:i/>
          <w:iCs/>
          <w:lang w:val="en-GB"/>
        </w:rPr>
        <w:t>.</w:t>
      </w:r>
      <w:proofErr w:type="gramEnd"/>
      <w:r w:rsidRPr="00953CD4">
        <w:rPr>
          <w:lang w:val="en-GB"/>
        </w:rPr>
        <w:t xml:space="preserve"> </w:t>
      </w:r>
      <w:r w:rsidRPr="00953CD4">
        <w:rPr>
          <w:b/>
          <w:bCs/>
          <w:lang w:val="en-GB"/>
        </w:rPr>
        <w:t>9</w:t>
      </w:r>
      <w:proofErr w:type="gramStart"/>
      <w:r w:rsidRPr="00953CD4">
        <w:rPr>
          <w:lang w:val="en-GB"/>
        </w:rPr>
        <w:t>,.</w:t>
      </w:r>
      <w:proofErr w:type="gramEnd"/>
    </w:p>
    <w:p w:rsidR="003704F2" w:rsidRPr="00953CD4" w:rsidRDefault="003704F2" w:rsidP="001D3E43">
      <w:pPr>
        <w:pStyle w:val="Literaturverzeichnis1"/>
        <w:rPr>
          <w:lang w:val="en-GB"/>
        </w:rPr>
      </w:pPr>
      <w:proofErr w:type="spellStart"/>
      <w:proofErr w:type="gramStart"/>
      <w:r w:rsidRPr="00953CD4">
        <w:rPr>
          <w:b/>
          <w:bCs/>
          <w:lang w:val="en-GB"/>
        </w:rPr>
        <w:t>Machold</w:t>
      </w:r>
      <w:proofErr w:type="spellEnd"/>
      <w:r w:rsidRPr="00953CD4">
        <w:rPr>
          <w:b/>
          <w:bCs/>
          <w:lang w:val="en-GB"/>
        </w:rPr>
        <w:t xml:space="preserve">, R. and </w:t>
      </w:r>
      <w:proofErr w:type="spellStart"/>
      <w:r w:rsidRPr="00953CD4">
        <w:rPr>
          <w:b/>
          <w:bCs/>
          <w:lang w:val="en-GB"/>
        </w:rPr>
        <w:t>Fishell</w:t>
      </w:r>
      <w:proofErr w:type="spellEnd"/>
      <w:r w:rsidRPr="00953CD4">
        <w:rPr>
          <w:b/>
          <w:bCs/>
          <w:lang w:val="en-GB"/>
        </w:rPr>
        <w:t>, G.</w:t>
      </w:r>
      <w:r w:rsidRPr="00953CD4">
        <w:rPr>
          <w:lang w:val="en-GB"/>
        </w:rPr>
        <w:t xml:space="preserve"> (2005).</w:t>
      </w:r>
      <w:proofErr w:type="gramEnd"/>
      <w:r w:rsidRPr="00953CD4">
        <w:rPr>
          <w:lang w:val="en-GB"/>
        </w:rPr>
        <w:t xml:space="preserve"> Math1 Is Expressed in Temporally Discrete Pools of Cerebellar Rhombic-Lip Neural Progenitors. </w:t>
      </w:r>
      <w:r w:rsidRPr="00953CD4">
        <w:rPr>
          <w:i/>
          <w:iCs/>
          <w:lang w:val="en-GB"/>
        </w:rPr>
        <w:t>Neuron</w:t>
      </w:r>
      <w:r w:rsidRPr="00953CD4">
        <w:rPr>
          <w:lang w:val="en-GB"/>
        </w:rPr>
        <w:t xml:space="preserve"> </w:t>
      </w:r>
      <w:r w:rsidRPr="00953CD4">
        <w:rPr>
          <w:b/>
          <w:bCs/>
          <w:lang w:val="en-GB"/>
        </w:rPr>
        <w:t>48</w:t>
      </w:r>
      <w:r w:rsidRPr="00953CD4">
        <w:rPr>
          <w:lang w:val="en-GB"/>
        </w:rPr>
        <w:t>, 17–24.</w:t>
      </w:r>
    </w:p>
    <w:p w:rsidR="003704F2" w:rsidRPr="00953CD4" w:rsidRDefault="003704F2" w:rsidP="001D3E43">
      <w:pPr>
        <w:pStyle w:val="Literaturverzeichnis1"/>
        <w:rPr>
          <w:lang w:val="en-GB"/>
        </w:rPr>
      </w:pPr>
      <w:proofErr w:type="spellStart"/>
      <w:proofErr w:type="gramStart"/>
      <w:r w:rsidRPr="00953CD4">
        <w:rPr>
          <w:b/>
          <w:bCs/>
          <w:lang w:val="en-GB"/>
        </w:rPr>
        <w:t>Manent</w:t>
      </w:r>
      <w:proofErr w:type="spellEnd"/>
      <w:r w:rsidRPr="00953CD4">
        <w:rPr>
          <w:b/>
          <w:bCs/>
          <w:lang w:val="en-GB"/>
        </w:rPr>
        <w:t>, J.-B.</w:t>
      </w:r>
      <w:proofErr w:type="gramEnd"/>
      <w:r w:rsidRPr="00953CD4">
        <w:rPr>
          <w:b/>
          <w:bCs/>
          <w:lang w:val="en-GB"/>
        </w:rPr>
        <w:t xml:space="preserve"> </w:t>
      </w:r>
      <w:proofErr w:type="gramStart"/>
      <w:r w:rsidRPr="00953CD4">
        <w:rPr>
          <w:b/>
          <w:bCs/>
          <w:lang w:val="en-GB"/>
        </w:rPr>
        <w:t>and</w:t>
      </w:r>
      <w:proofErr w:type="gramEnd"/>
      <w:r w:rsidRPr="00953CD4">
        <w:rPr>
          <w:b/>
          <w:bCs/>
          <w:lang w:val="en-GB"/>
        </w:rPr>
        <w:t xml:space="preserve"> </w:t>
      </w:r>
      <w:proofErr w:type="spellStart"/>
      <w:r w:rsidRPr="00953CD4">
        <w:rPr>
          <w:b/>
          <w:bCs/>
          <w:lang w:val="en-GB"/>
        </w:rPr>
        <w:t>Represa</w:t>
      </w:r>
      <w:proofErr w:type="spellEnd"/>
      <w:r w:rsidRPr="00953CD4">
        <w:rPr>
          <w:b/>
          <w:bCs/>
          <w:lang w:val="en-GB"/>
        </w:rPr>
        <w:t>, A.</w:t>
      </w:r>
      <w:r w:rsidRPr="00953CD4">
        <w:rPr>
          <w:lang w:val="en-GB"/>
        </w:rPr>
        <w:t xml:space="preserve"> (2007). Neurotransmitters and Brain Maturation: Early Paracrine Actions of GABA and Glutamate Modulate Neuronal Migration. </w:t>
      </w:r>
      <w:r w:rsidRPr="00953CD4">
        <w:rPr>
          <w:i/>
          <w:iCs/>
          <w:lang w:val="en-GB"/>
        </w:rPr>
        <w:t>The Neuroscientist</w:t>
      </w:r>
      <w:r w:rsidRPr="00953CD4">
        <w:rPr>
          <w:lang w:val="en-GB"/>
        </w:rPr>
        <w:t xml:space="preserve"> </w:t>
      </w:r>
      <w:r w:rsidRPr="00953CD4">
        <w:rPr>
          <w:b/>
          <w:bCs/>
          <w:lang w:val="en-GB"/>
        </w:rPr>
        <w:t>13</w:t>
      </w:r>
      <w:r w:rsidRPr="00953CD4">
        <w:rPr>
          <w:lang w:val="en-GB"/>
        </w:rPr>
        <w:t>, 268–279.</w:t>
      </w:r>
    </w:p>
    <w:p w:rsidR="003704F2" w:rsidRPr="00953CD4" w:rsidRDefault="003704F2" w:rsidP="001D3E43">
      <w:pPr>
        <w:pStyle w:val="Literaturverzeichnis1"/>
        <w:rPr>
          <w:lang w:val="en-GB"/>
        </w:rPr>
      </w:pPr>
      <w:proofErr w:type="spellStart"/>
      <w:r w:rsidRPr="00953CD4">
        <w:rPr>
          <w:b/>
          <w:bCs/>
          <w:lang w:val="en-GB"/>
        </w:rPr>
        <w:t>Manent</w:t>
      </w:r>
      <w:proofErr w:type="spellEnd"/>
      <w:r w:rsidRPr="00953CD4">
        <w:rPr>
          <w:b/>
          <w:bCs/>
          <w:lang w:val="en-GB"/>
        </w:rPr>
        <w:t xml:space="preserve">, J.-B., </w:t>
      </w:r>
      <w:proofErr w:type="spellStart"/>
      <w:r w:rsidRPr="00953CD4">
        <w:rPr>
          <w:b/>
          <w:bCs/>
          <w:lang w:val="en-GB"/>
        </w:rPr>
        <w:t>Demarque</w:t>
      </w:r>
      <w:proofErr w:type="spellEnd"/>
      <w:r w:rsidRPr="00953CD4">
        <w:rPr>
          <w:b/>
          <w:bCs/>
          <w:lang w:val="en-GB"/>
        </w:rPr>
        <w:t xml:space="preserve">, M., </w:t>
      </w:r>
      <w:proofErr w:type="spellStart"/>
      <w:r w:rsidRPr="00953CD4">
        <w:rPr>
          <w:b/>
          <w:bCs/>
          <w:lang w:val="en-GB"/>
        </w:rPr>
        <w:t>Jorquera</w:t>
      </w:r>
      <w:proofErr w:type="spellEnd"/>
      <w:r w:rsidRPr="00953CD4">
        <w:rPr>
          <w:b/>
          <w:bCs/>
          <w:lang w:val="en-GB"/>
        </w:rPr>
        <w:t xml:space="preserve">, I., Pellegrino, C., Ben-Ari, Y., </w:t>
      </w:r>
      <w:proofErr w:type="spellStart"/>
      <w:r w:rsidRPr="00953CD4">
        <w:rPr>
          <w:b/>
          <w:bCs/>
          <w:lang w:val="en-GB"/>
        </w:rPr>
        <w:t>Aniksztejn</w:t>
      </w:r>
      <w:proofErr w:type="spellEnd"/>
      <w:r w:rsidRPr="00953CD4">
        <w:rPr>
          <w:b/>
          <w:bCs/>
          <w:lang w:val="en-GB"/>
        </w:rPr>
        <w:t xml:space="preserve">, L. and </w:t>
      </w:r>
      <w:proofErr w:type="spellStart"/>
      <w:r w:rsidRPr="00953CD4">
        <w:rPr>
          <w:b/>
          <w:bCs/>
          <w:lang w:val="en-GB"/>
        </w:rPr>
        <w:t>Represa</w:t>
      </w:r>
      <w:proofErr w:type="spellEnd"/>
      <w:r w:rsidRPr="00953CD4">
        <w:rPr>
          <w:b/>
          <w:bCs/>
          <w:lang w:val="en-GB"/>
        </w:rPr>
        <w:t>, A.</w:t>
      </w:r>
      <w:r w:rsidRPr="00953CD4">
        <w:rPr>
          <w:lang w:val="en-GB"/>
        </w:rPr>
        <w:t xml:space="preserve"> (2005). A </w:t>
      </w:r>
      <w:proofErr w:type="spellStart"/>
      <w:r w:rsidRPr="00953CD4">
        <w:rPr>
          <w:lang w:val="en-GB"/>
        </w:rPr>
        <w:t>Noncanonical</w:t>
      </w:r>
      <w:proofErr w:type="spellEnd"/>
      <w:r w:rsidRPr="00953CD4">
        <w:rPr>
          <w:lang w:val="en-GB"/>
        </w:rPr>
        <w:t xml:space="preserve"> Release of GABA and Glutamate Modulates Neuronal Migration. </w:t>
      </w:r>
      <w:r w:rsidRPr="00953CD4">
        <w:rPr>
          <w:i/>
          <w:iCs/>
          <w:lang w:val="en-GB"/>
        </w:rPr>
        <w:t xml:space="preserve">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25</w:t>
      </w:r>
      <w:r w:rsidRPr="00953CD4">
        <w:rPr>
          <w:lang w:val="en-GB"/>
        </w:rPr>
        <w:t>, 4755–4765.</w:t>
      </w:r>
    </w:p>
    <w:p w:rsidR="003704F2" w:rsidRPr="00953CD4" w:rsidRDefault="003704F2" w:rsidP="001D3E43">
      <w:pPr>
        <w:pStyle w:val="Literaturverzeichnis1"/>
        <w:rPr>
          <w:lang w:val="en-GB"/>
        </w:rPr>
      </w:pPr>
      <w:proofErr w:type="spellStart"/>
      <w:proofErr w:type="gramStart"/>
      <w:r w:rsidRPr="00953CD4">
        <w:rPr>
          <w:b/>
          <w:bCs/>
          <w:lang w:val="en-GB"/>
        </w:rPr>
        <w:t>Maricich</w:t>
      </w:r>
      <w:proofErr w:type="spellEnd"/>
      <w:r w:rsidRPr="00953CD4">
        <w:rPr>
          <w:b/>
          <w:bCs/>
          <w:lang w:val="en-GB"/>
        </w:rPr>
        <w:t xml:space="preserve">, S. M. and </w:t>
      </w:r>
      <w:proofErr w:type="spellStart"/>
      <w:r w:rsidRPr="00953CD4">
        <w:rPr>
          <w:b/>
          <w:bCs/>
          <w:lang w:val="en-GB"/>
        </w:rPr>
        <w:t>Herrup</w:t>
      </w:r>
      <w:proofErr w:type="spellEnd"/>
      <w:r w:rsidRPr="00953CD4">
        <w:rPr>
          <w:b/>
          <w:bCs/>
          <w:lang w:val="en-GB"/>
        </w:rPr>
        <w:t>, K.</w:t>
      </w:r>
      <w:r w:rsidRPr="00953CD4">
        <w:rPr>
          <w:lang w:val="en-GB"/>
        </w:rPr>
        <w:t xml:space="preserve"> (1999).</w:t>
      </w:r>
      <w:proofErr w:type="gramEnd"/>
      <w:r w:rsidRPr="00953CD4">
        <w:rPr>
          <w:lang w:val="en-GB"/>
        </w:rPr>
        <w:t xml:space="preserve"> Pax-2 expression defines a subset of GABAergic interneurons and their precursors in the developing murine cerebellum. </w:t>
      </w:r>
      <w:r w:rsidRPr="00953CD4">
        <w:rPr>
          <w:i/>
          <w:iCs/>
          <w:lang w:val="en-GB"/>
        </w:rPr>
        <w:t xml:space="preserve">J. </w:t>
      </w:r>
      <w:proofErr w:type="spellStart"/>
      <w:r w:rsidRPr="00953CD4">
        <w:rPr>
          <w:i/>
          <w:iCs/>
          <w:lang w:val="en-GB"/>
        </w:rPr>
        <w:t>Neurobiol</w:t>
      </w:r>
      <w:proofErr w:type="spellEnd"/>
      <w:r w:rsidRPr="00953CD4">
        <w:rPr>
          <w:i/>
          <w:iCs/>
          <w:lang w:val="en-GB"/>
        </w:rPr>
        <w:t>.</w:t>
      </w:r>
      <w:r w:rsidRPr="00953CD4">
        <w:rPr>
          <w:lang w:val="en-GB"/>
        </w:rPr>
        <w:t xml:space="preserve"> </w:t>
      </w:r>
      <w:r w:rsidRPr="00953CD4">
        <w:rPr>
          <w:b/>
          <w:bCs/>
          <w:lang w:val="en-GB"/>
        </w:rPr>
        <w:t>41</w:t>
      </w:r>
      <w:r w:rsidRPr="00953CD4">
        <w:rPr>
          <w:lang w:val="en-GB"/>
        </w:rPr>
        <w:t>, 281–294.</w:t>
      </w:r>
    </w:p>
    <w:p w:rsidR="003704F2" w:rsidRPr="00953CD4" w:rsidRDefault="003704F2" w:rsidP="001D3E43">
      <w:pPr>
        <w:pStyle w:val="Literaturverzeichnis1"/>
        <w:rPr>
          <w:lang w:val="en-GB"/>
        </w:rPr>
      </w:pPr>
      <w:proofErr w:type="spellStart"/>
      <w:proofErr w:type="gramStart"/>
      <w:r w:rsidRPr="00953CD4">
        <w:rPr>
          <w:b/>
          <w:bCs/>
          <w:lang w:val="en-GB"/>
        </w:rPr>
        <w:t>Marín</w:t>
      </w:r>
      <w:proofErr w:type="spellEnd"/>
      <w:r w:rsidRPr="00953CD4">
        <w:rPr>
          <w:b/>
          <w:bCs/>
          <w:lang w:val="en-GB"/>
        </w:rPr>
        <w:t xml:space="preserve">, O., </w:t>
      </w:r>
      <w:proofErr w:type="spellStart"/>
      <w:r w:rsidRPr="00953CD4">
        <w:rPr>
          <w:b/>
          <w:bCs/>
          <w:lang w:val="en-GB"/>
        </w:rPr>
        <w:t>Valiente</w:t>
      </w:r>
      <w:proofErr w:type="spellEnd"/>
      <w:r w:rsidRPr="00953CD4">
        <w:rPr>
          <w:b/>
          <w:bCs/>
          <w:lang w:val="en-GB"/>
        </w:rPr>
        <w:t>, M., Ge, X. and Tsai, L.-H.</w:t>
      </w:r>
      <w:proofErr w:type="gramEnd"/>
      <w:r w:rsidRPr="00953CD4">
        <w:rPr>
          <w:lang w:val="en-GB"/>
        </w:rPr>
        <w:t xml:space="preserve"> (2010). Guiding Neuronal Cell Migrations. </w:t>
      </w:r>
      <w:proofErr w:type="gramStart"/>
      <w:r w:rsidRPr="00953CD4">
        <w:rPr>
          <w:i/>
          <w:iCs/>
          <w:lang w:val="en-GB"/>
        </w:rPr>
        <w:t xml:space="preserve">Cold Spring </w:t>
      </w:r>
      <w:proofErr w:type="spellStart"/>
      <w:r w:rsidRPr="00953CD4">
        <w:rPr>
          <w:i/>
          <w:iCs/>
          <w:lang w:val="en-GB"/>
        </w:rPr>
        <w:t>Harb</w:t>
      </w:r>
      <w:proofErr w:type="spellEnd"/>
      <w:r w:rsidRPr="00953CD4">
        <w:rPr>
          <w:i/>
          <w:iCs/>
          <w:lang w:val="en-GB"/>
        </w:rPr>
        <w:t>.</w:t>
      </w:r>
      <w:proofErr w:type="gramEnd"/>
      <w:r w:rsidRPr="00953CD4">
        <w:rPr>
          <w:i/>
          <w:iCs/>
          <w:lang w:val="en-GB"/>
        </w:rPr>
        <w:t xml:space="preserve"> </w:t>
      </w:r>
      <w:proofErr w:type="spellStart"/>
      <w:proofErr w:type="gramStart"/>
      <w:r w:rsidRPr="00953CD4">
        <w:rPr>
          <w:i/>
          <w:iCs/>
          <w:lang w:val="en-GB"/>
        </w:rPr>
        <w:t>Perspect</w:t>
      </w:r>
      <w:proofErr w:type="spellEnd"/>
      <w:r w:rsidRPr="00953CD4">
        <w:rPr>
          <w:i/>
          <w:iCs/>
          <w:lang w:val="en-GB"/>
        </w:rPr>
        <w:t>.</w:t>
      </w:r>
      <w:proofErr w:type="gramEnd"/>
      <w:r w:rsidRPr="00953CD4">
        <w:rPr>
          <w:i/>
          <w:iCs/>
          <w:lang w:val="en-GB"/>
        </w:rPr>
        <w:t xml:space="preserve"> </w:t>
      </w:r>
      <w:proofErr w:type="gramStart"/>
      <w:r w:rsidRPr="00953CD4">
        <w:rPr>
          <w:i/>
          <w:iCs/>
          <w:lang w:val="en-GB"/>
        </w:rPr>
        <w:t>Biol.</w:t>
      </w:r>
      <w:r w:rsidRPr="00953CD4">
        <w:rPr>
          <w:lang w:val="en-GB"/>
        </w:rPr>
        <w:t xml:space="preserve"> </w:t>
      </w:r>
      <w:r w:rsidRPr="00953CD4">
        <w:rPr>
          <w:b/>
          <w:bCs/>
          <w:lang w:val="en-GB"/>
        </w:rPr>
        <w:t>2</w:t>
      </w:r>
      <w:r w:rsidRPr="00953CD4">
        <w:rPr>
          <w:lang w:val="en-GB"/>
        </w:rPr>
        <w:t>, a001834.</w:t>
      </w:r>
      <w:proofErr w:type="gramEnd"/>
    </w:p>
    <w:p w:rsidR="009A6156" w:rsidRPr="00953CD4" w:rsidRDefault="009A6156" w:rsidP="009A6156">
      <w:pPr>
        <w:pStyle w:val="Literaturverzeichnis1"/>
        <w:rPr>
          <w:b/>
          <w:bCs/>
          <w:lang w:val="en-GB"/>
        </w:rPr>
      </w:pPr>
      <w:proofErr w:type="spellStart"/>
      <w:proofErr w:type="gramStart"/>
      <w:r w:rsidRPr="00953CD4">
        <w:rPr>
          <w:b/>
          <w:bCs/>
          <w:lang w:val="en-GB"/>
        </w:rPr>
        <w:t>Markram</w:t>
      </w:r>
      <w:proofErr w:type="spellEnd"/>
      <w:r w:rsidRPr="00953CD4">
        <w:rPr>
          <w:b/>
          <w:bCs/>
          <w:lang w:val="en-GB"/>
        </w:rPr>
        <w:t xml:space="preserve">, H., Toledo-Rodriguez, M., Wang, Y., Gupta, A., Silberberg, G., and Wu, C. </w:t>
      </w:r>
      <w:r w:rsidRPr="00953CD4">
        <w:rPr>
          <w:bCs/>
          <w:lang w:val="en-GB"/>
        </w:rPr>
        <w:t>(2004).</w:t>
      </w:r>
      <w:proofErr w:type="gramEnd"/>
      <w:r w:rsidRPr="00953CD4">
        <w:rPr>
          <w:bCs/>
          <w:lang w:val="en-GB"/>
        </w:rPr>
        <w:t xml:space="preserve"> </w:t>
      </w:r>
      <w:proofErr w:type="gramStart"/>
      <w:r w:rsidRPr="00953CD4">
        <w:rPr>
          <w:bCs/>
          <w:lang w:val="en-GB"/>
        </w:rPr>
        <w:t>Interneurons of the neocortical inhibitory system.</w:t>
      </w:r>
      <w:proofErr w:type="gramEnd"/>
      <w:r w:rsidRPr="00953CD4">
        <w:rPr>
          <w:bCs/>
          <w:lang w:val="en-GB"/>
        </w:rPr>
        <w:t xml:space="preserve"> </w:t>
      </w:r>
      <w:proofErr w:type="gramStart"/>
      <w:r w:rsidRPr="00953CD4">
        <w:rPr>
          <w:bCs/>
          <w:i/>
          <w:iCs/>
          <w:lang w:val="en-GB"/>
        </w:rPr>
        <w:t xml:space="preserve">Nat Rev </w:t>
      </w:r>
      <w:proofErr w:type="spellStart"/>
      <w:r w:rsidRPr="00953CD4">
        <w:rPr>
          <w:bCs/>
          <w:i/>
          <w:iCs/>
          <w:lang w:val="en-GB"/>
        </w:rPr>
        <w:t>Neurosci</w:t>
      </w:r>
      <w:proofErr w:type="spellEnd"/>
      <w:r w:rsidRPr="00953CD4">
        <w:rPr>
          <w:bCs/>
          <w:i/>
          <w:iCs/>
          <w:lang w:val="en-GB"/>
        </w:rPr>
        <w:t>.</w:t>
      </w:r>
      <w:proofErr w:type="gramEnd"/>
      <w:r w:rsidRPr="00953CD4">
        <w:rPr>
          <w:bCs/>
          <w:lang w:val="en-GB"/>
        </w:rPr>
        <w:t xml:space="preserve"> </w:t>
      </w:r>
      <w:r w:rsidRPr="00953CD4">
        <w:rPr>
          <w:b/>
          <w:bCs/>
          <w:lang w:val="en-GB"/>
        </w:rPr>
        <w:t>5</w:t>
      </w:r>
      <w:r w:rsidRPr="00953CD4">
        <w:rPr>
          <w:bCs/>
          <w:lang w:val="en-GB"/>
        </w:rPr>
        <w:t>, 793-807.</w:t>
      </w:r>
    </w:p>
    <w:p w:rsidR="003704F2" w:rsidRPr="00953CD4" w:rsidRDefault="003704F2" w:rsidP="001D3E43">
      <w:pPr>
        <w:pStyle w:val="Literaturverzeichnis1"/>
        <w:rPr>
          <w:lang w:val="en-GB"/>
        </w:rPr>
      </w:pPr>
      <w:proofErr w:type="gramStart"/>
      <w:r w:rsidRPr="00953CD4">
        <w:rPr>
          <w:b/>
          <w:bCs/>
          <w:lang w:val="en-GB"/>
        </w:rPr>
        <w:t>Mason, C. A. and Gregory, E.</w:t>
      </w:r>
      <w:r w:rsidRPr="00953CD4">
        <w:rPr>
          <w:lang w:val="en-GB"/>
        </w:rPr>
        <w:t xml:space="preserve"> (1984).</w:t>
      </w:r>
      <w:proofErr w:type="gramEnd"/>
      <w:r w:rsidRPr="00953CD4">
        <w:rPr>
          <w:lang w:val="en-GB"/>
        </w:rPr>
        <w:t xml:space="preserve"> Postnatal maturation of cerebellar mossy and climbing </w:t>
      </w:r>
      <w:proofErr w:type="spellStart"/>
      <w:r w:rsidRPr="00953CD4">
        <w:rPr>
          <w:lang w:val="en-GB"/>
        </w:rPr>
        <w:t>fibers</w:t>
      </w:r>
      <w:proofErr w:type="spellEnd"/>
      <w:r w:rsidRPr="00953CD4">
        <w:rPr>
          <w:lang w:val="en-GB"/>
        </w:rPr>
        <w:t xml:space="preserve">: transient expression of dual features on single axons. </w:t>
      </w:r>
      <w:r w:rsidRPr="00953CD4">
        <w:rPr>
          <w:i/>
          <w:iCs/>
          <w:lang w:val="en-GB"/>
        </w:rPr>
        <w:t xml:space="preserve">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4</w:t>
      </w:r>
      <w:r w:rsidRPr="00953CD4">
        <w:rPr>
          <w:lang w:val="en-GB"/>
        </w:rPr>
        <w:t>, 1715–1735.</w:t>
      </w:r>
    </w:p>
    <w:p w:rsidR="003704F2" w:rsidRPr="00953CD4" w:rsidRDefault="003704F2" w:rsidP="001D3E43">
      <w:pPr>
        <w:pStyle w:val="Literaturverzeichnis1"/>
        <w:rPr>
          <w:lang w:val="en-GB"/>
        </w:rPr>
      </w:pPr>
      <w:proofErr w:type="gramStart"/>
      <w:r w:rsidRPr="00953CD4">
        <w:rPr>
          <w:b/>
          <w:bCs/>
          <w:lang w:val="en-GB"/>
        </w:rPr>
        <w:t xml:space="preserve">Matsui, K. and </w:t>
      </w:r>
      <w:proofErr w:type="spellStart"/>
      <w:r w:rsidRPr="00953CD4">
        <w:rPr>
          <w:b/>
          <w:bCs/>
          <w:lang w:val="en-GB"/>
        </w:rPr>
        <w:t>Jahr</w:t>
      </w:r>
      <w:proofErr w:type="spellEnd"/>
      <w:r w:rsidRPr="00953CD4">
        <w:rPr>
          <w:b/>
          <w:bCs/>
          <w:lang w:val="en-GB"/>
        </w:rPr>
        <w:t>, C. E.</w:t>
      </w:r>
      <w:r w:rsidRPr="00953CD4">
        <w:rPr>
          <w:lang w:val="en-GB"/>
        </w:rPr>
        <w:t xml:space="preserve"> (2004).</w:t>
      </w:r>
      <w:proofErr w:type="gramEnd"/>
      <w:r w:rsidRPr="00953CD4">
        <w:rPr>
          <w:lang w:val="en-GB"/>
        </w:rPr>
        <w:t xml:space="preserve"> </w:t>
      </w:r>
      <w:proofErr w:type="gramStart"/>
      <w:r w:rsidRPr="00953CD4">
        <w:rPr>
          <w:lang w:val="en-GB"/>
        </w:rPr>
        <w:t>Differential Control of Synaptic and Ectopic Vesicular Release of Glutamate.</w:t>
      </w:r>
      <w:proofErr w:type="gramEnd"/>
      <w:r w:rsidRPr="00953CD4">
        <w:rPr>
          <w:lang w:val="en-GB"/>
        </w:rPr>
        <w:t xml:space="preserve"> </w:t>
      </w:r>
      <w:r w:rsidRPr="00953CD4">
        <w:rPr>
          <w:i/>
          <w:iCs/>
          <w:lang w:val="en-GB"/>
        </w:rPr>
        <w:t xml:space="preserve">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24</w:t>
      </w:r>
      <w:r w:rsidRPr="00953CD4">
        <w:rPr>
          <w:lang w:val="en-GB"/>
        </w:rPr>
        <w:t>, 8932–8939.</w:t>
      </w:r>
    </w:p>
    <w:p w:rsidR="003704F2" w:rsidRPr="00953CD4" w:rsidRDefault="003704F2" w:rsidP="001D3E43">
      <w:pPr>
        <w:pStyle w:val="Literaturverzeichnis1"/>
        <w:rPr>
          <w:lang w:val="en-GB"/>
        </w:rPr>
      </w:pPr>
      <w:proofErr w:type="spellStart"/>
      <w:proofErr w:type="gramStart"/>
      <w:r w:rsidRPr="00953CD4">
        <w:rPr>
          <w:b/>
          <w:bCs/>
          <w:lang w:val="en-GB"/>
        </w:rPr>
        <w:t>Monyer</w:t>
      </w:r>
      <w:proofErr w:type="spellEnd"/>
      <w:r w:rsidRPr="00953CD4">
        <w:rPr>
          <w:b/>
          <w:bCs/>
          <w:lang w:val="en-GB"/>
        </w:rPr>
        <w:t xml:space="preserve">, H., </w:t>
      </w:r>
      <w:proofErr w:type="spellStart"/>
      <w:r w:rsidRPr="00953CD4">
        <w:rPr>
          <w:b/>
          <w:bCs/>
          <w:lang w:val="en-GB"/>
        </w:rPr>
        <w:t>Seeburg</w:t>
      </w:r>
      <w:proofErr w:type="spellEnd"/>
      <w:r w:rsidRPr="00953CD4">
        <w:rPr>
          <w:b/>
          <w:bCs/>
          <w:lang w:val="en-GB"/>
        </w:rPr>
        <w:t>, P. H. and Wisden, W.</w:t>
      </w:r>
      <w:r w:rsidRPr="00953CD4">
        <w:rPr>
          <w:lang w:val="en-GB"/>
        </w:rPr>
        <w:t xml:space="preserve"> (1991).</w:t>
      </w:r>
      <w:proofErr w:type="gramEnd"/>
      <w:r w:rsidRPr="00953CD4">
        <w:rPr>
          <w:lang w:val="en-GB"/>
        </w:rPr>
        <w:t xml:space="preserve"> Glutamate-operated channels: Developmentally early and mature forms arise by alternative splicing. </w:t>
      </w:r>
      <w:r w:rsidRPr="00953CD4">
        <w:rPr>
          <w:i/>
          <w:iCs/>
          <w:lang w:val="en-GB"/>
        </w:rPr>
        <w:t>Neuron</w:t>
      </w:r>
      <w:r w:rsidRPr="00953CD4">
        <w:rPr>
          <w:lang w:val="en-GB"/>
        </w:rPr>
        <w:t xml:space="preserve"> </w:t>
      </w:r>
      <w:r w:rsidRPr="00953CD4">
        <w:rPr>
          <w:b/>
          <w:bCs/>
          <w:lang w:val="en-GB"/>
        </w:rPr>
        <w:t>6</w:t>
      </w:r>
      <w:r w:rsidRPr="00953CD4">
        <w:rPr>
          <w:lang w:val="en-GB"/>
        </w:rPr>
        <w:t>, 799–810.</w:t>
      </w:r>
    </w:p>
    <w:p w:rsidR="003704F2" w:rsidRPr="00953CD4" w:rsidRDefault="003704F2" w:rsidP="001D3E43">
      <w:pPr>
        <w:pStyle w:val="Literaturverzeichnis1"/>
        <w:rPr>
          <w:lang w:val="en-GB"/>
        </w:rPr>
      </w:pPr>
      <w:r w:rsidRPr="00953CD4">
        <w:rPr>
          <w:b/>
          <w:bCs/>
          <w:lang w:val="en-GB"/>
        </w:rPr>
        <w:t xml:space="preserve">Naoki, H., </w:t>
      </w:r>
      <w:proofErr w:type="spellStart"/>
      <w:r w:rsidRPr="00953CD4">
        <w:rPr>
          <w:b/>
          <w:bCs/>
          <w:lang w:val="en-GB"/>
        </w:rPr>
        <w:t>Nishiyama</w:t>
      </w:r>
      <w:proofErr w:type="spellEnd"/>
      <w:r w:rsidRPr="00953CD4">
        <w:rPr>
          <w:b/>
          <w:bCs/>
          <w:lang w:val="en-GB"/>
        </w:rPr>
        <w:t xml:space="preserve">, M., </w:t>
      </w:r>
      <w:proofErr w:type="spellStart"/>
      <w:r w:rsidRPr="00953CD4">
        <w:rPr>
          <w:b/>
          <w:bCs/>
          <w:lang w:val="en-GB"/>
        </w:rPr>
        <w:t>Togashi</w:t>
      </w:r>
      <w:proofErr w:type="spellEnd"/>
      <w:r w:rsidRPr="00953CD4">
        <w:rPr>
          <w:b/>
          <w:bCs/>
          <w:lang w:val="en-GB"/>
        </w:rPr>
        <w:t>, K., Igarashi, Y., Hong, K. and Ishii, S.</w:t>
      </w:r>
      <w:r w:rsidRPr="00953CD4">
        <w:rPr>
          <w:lang w:val="en-GB"/>
        </w:rPr>
        <w:t xml:space="preserve"> (2016). </w:t>
      </w:r>
      <w:proofErr w:type="gramStart"/>
      <w:r w:rsidRPr="00953CD4">
        <w:rPr>
          <w:lang w:val="en-GB"/>
        </w:rPr>
        <w:t>Multi-phasic bi-directional chemotactic responses of the growth cone.</w:t>
      </w:r>
      <w:proofErr w:type="gramEnd"/>
      <w:r w:rsidRPr="00953CD4">
        <w:rPr>
          <w:lang w:val="en-GB"/>
        </w:rPr>
        <w:t xml:space="preserve"> </w:t>
      </w:r>
      <w:r w:rsidRPr="00953CD4">
        <w:rPr>
          <w:i/>
          <w:iCs/>
          <w:lang w:val="en-GB"/>
        </w:rPr>
        <w:t>Sci. Rep.</w:t>
      </w:r>
      <w:r w:rsidRPr="00953CD4">
        <w:rPr>
          <w:lang w:val="en-GB"/>
        </w:rPr>
        <w:t xml:space="preserve"> </w:t>
      </w:r>
      <w:r w:rsidRPr="00953CD4">
        <w:rPr>
          <w:b/>
          <w:bCs/>
          <w:lang w:val="en-GB"/>
        </w:rPr>
        <w:t>6</w:t>
      </w:r>
      <w:proofErr w:type="gramStart"/>
      <w:r w:rsidRPr="00953CD4">
        <w:rPr>
          <w:lang w:val="en-GB"/>
        </w:rPr>
        <w:t>,.</w:t>
      </w:r>
      <w:proofErr w:type="gramEnd"/>
    </w:p>
    <w:p w:rsidR="003704F2" w:rsidRPr="00953CD4" w:rsidRDefault="003704F2" w:rsidP="001D3E43">
      <w:pPr>
        <w:pStyle w:val="Literaturverzeichnis1"/>
        <w:rPr>
          <w:lang w:val="en-GB"/>
        </w:rPr>
      </w:pPr>
      <w:proofErr w:type="spellStart"/>
      <w:proofErr w:type="gramStart"/>
      <w:r w:rsidRPr="00953CD4">
        <w:rPr>
          <w:b/>
          <w:bCs/>
          <w:lang w:val="en-GB"/>
        </w:rPr>
        <w:t>Nunes</w:t>
      </w:r>
      <w:proofErr w:type="spellEnd"/>
      <w:r w:rsidRPr="00953CD4">
        <w:rPr>
          <w:b/>
          <w:bCs/>
          <w:lang w:val="en-GB"/>
        </w:rPr>
        <w:t>, M. L. A. and Sotelo, C.</w:t>
      </w:r>
      <w:r w:rsidRPr="00953CD4">
        <w:rPr>
          <w:lang w:val="en-GB"/>
        </w:rPr>
        <w:t xml:space="preserve"> (1985).</w:t>
      </w:r>
      <w:proofErr w:type="gramEnd"/>
      <w:r w:rsidRPr="00953CD4">
        <w:rPr>
          <w:lang w:val="en-GB"/>
        </w:rPr>
        <w:t xml:space="preserve"> </w:t>
      </w:r>
      <w:proofErr w:type="gramStart"/>
      <w:r w:rsidRPr="00953CD4">
        <w:rPr>
          <w:lang w:val="en-GB"/>
        </w:rPr>
        <w:t>Development of the spinocerebellar system in the postnatal rat.</w:t>
      </w:r>
      <w:proofErr w:type="gramEnd"/>
      <w:r w:rsidRPr="00953CD4">
        <w:rPr>
          <w:lang w:val="en-GB"/>
        </w:rPr>
        <w:t xml:space="preserve"> </w:t>
      </w:r>
      <w:r w:rsidRPr="00953CD4">
        <w:rPr>
          <w:i/>
          <w:iCs/>
          <w:lang w:val="en-GB"/>
        </w:rPr>
        <w:t>J. Comp. Neurol.</w:t>
      </w:r>
      <w:r w:rsidRPr="00953CD4">
        <w:rPr>
          <w:lang w:val="en-GB"/>
        </w:rPr>
        <w:t xml:space="preserve"> </w:t>
      </w:r>
      <w:r w:rsidRPr="00953CD4">
        <w:rPr>
          <w:b/>
          <w:bCs/>
          <w:lang w:val="en-GB"/>
        </w:rPr>
        <w:t>237</w:t>
      </w:r>
      <w:r w:rsidRPr="00953CD4">
        <w:rPr>
          <w:lang w:val="en-GB"/>
        </w:rPr>
        <w:t>, 291–306.</w:t>
      </w:r>
    </w:p>
    <w:p w:rsidR="003704F2" w:rsidRPr="00953CD4" w:rsidRDefault="003704F2" w:rsidP="001D3E43">
      <w:pPr>
        <w:pStyle w:val="Literaturverzeichnis1"/>
        <w:rPr>
          <w:lang w:val="en-GB"/>
        </w:rPr>
      </w:pPr>
      <w:proofErr w:type="spellStart"/>
      <w:r w:rsidRPr="00953CD4">
        <w:rPr>
          <w:b/>
          <w:bCs/>
          <w:lang w:val="en-GB"/>
        </w:rPr>
        <w:t>Partin</w:t>
      </w:r>
      <w:proofErr w:type="spellEnd"/>
      <w:r w:rsidRPr="00953CD4">
        <w:rPr>
          <w:b/>
          <w:bCs/>
          <w:lang w:val="en-GB"/>
        </w:rPr>
        <w:t xml:space="preserve">, K. M., </w:t>
      </w:r>
      <w:proofErr w:type="spellStart"/>
      <w:r w:rsidRPr="00953CD4">
        <w:rPr>
          <w:b/>
          <w:bCs/>
          <w:lang w:val="en-GB"/>
        </w:rPr>
        <w:t>Patneau</w:t>
      </w:r>
      <w:proofErr w:type="spellEnd"/>
      <w:r w:rsidRPr="00953CD4">
        <w:rPr>
          <w:b/>
          <w:bCs/>
          <w:lang w:val="en-GB"/>
        </w:rPr>
        <w:t xml:space="preserve">, D. K., </w:t>
      </w:r>
      <w:proofErr w:type="gramStart"/>
      <w:r w:rsidRPr="00953CD4">
        <w:rPr>
          <w:b/>
          <w:bCs/>
          <w:lang w:val="en-GB"/>
        </w:rPr>
        <w:t>Winters</w:t>
      </w:r>
      <w:proofErr w:type="gramEnd"/>
      <w:r w:rsidRPr="00953CD4">
        <w:rPr>
          <w:b/>
          <w:bCs/>
          <w:lang w:val="en-GB"/>
        </w:rPr>
        <w:t xml:space="preserve">, C. A., Mayer, M. L. and </w:t>
      </w:r>
      <w:proofErr w:type="spellStart"/>
      <w:r w:rsidRPr="00953CD4">
        <w:rPr>
          <w:b/>
          <w:bCs/>
          <w:lang w:val="en-GB"/>
        </w:rPr>
        <w:t>Buonanno</w:t>
      </w:r>
      <w:proofErr w:type="spellEnd"/>
      <w:r w:rsidRPr="00953CD4">
        <w:rPr>
          <w:b/>
          <w:bCs/>
          <w:lang w:val="en-GB"/>
        </w:rPr>
        <w:t>, A.</w:t>
      </w:r>
      <w:r w:rsidRPr="00953CD4">
        <w:rPr>
          <w:lang w:val="en-GB"/>
        </w:rPr>
        <w:t xml:space="preserve"> (1993). </w:t>
      </w:r>
      <w:proofErr w:type="gramStart"/>
      <w:r w:rsidRPr="00953CD4">
        <w:rPr>
          <w:lang w:val="en-GB"/>
        </w:rPr>
        <w:t xml:space="preserve">Selective modulation of desensitization at AMPA versus kainate receptors by </w:t>
      </w:r>
      <w:proofErr w:type="spellStart"/>
      <w:r w:rsidRPr="00953CD4">
        <w:rPr>
          <w:lang w:val="en-GB"/>
        </w:rPr>
        <w:t>cyclothiazide</w:t>
      </w:r>
      <w:proofErr w:type="spellEnd"/>
      <w:r w:rsidRPr="00953CD4">
        <w:rPr>
          <w:lang w:val="en-GB"/>
        </w:rPr>
        <w:t xml:space="preserve"> and </w:t>
      </w:r>
      <w:proofErr w:type="spellStart"/>
      <w:r w:rsidRPr="00953CD4">
        <w:rPr>
          <w:lang w:val="en-GB"/>
        </w:rPr>
        <w:t>concanavalin</w:t>
      </w:r>
      <w:proofErr w:type="spellEnd"/>
      <w:r w:rsidRPr="00953CD4">
        <w:rPr>
          <w:lang w:val="en-GB"/>
        </w:rPr>
        <w:t xml:space="preserve"> A. </w:t>
      </w:r>
      <w:r w:rsidRPr="00953CD4">
        <w:rPr>
          <w:i/>
          <w:iCs/>
          <w:lang w:val="en-GB"/>
        </w:rPr>
        <w:t>Neuron</w:t>
      </w:r>
      <w:r w:rsidRPr="00953CD4">
        <w:rPr>
          <w:lang w:val="en-GB"/>
        </w:rPr>
        <w:t xml:space="preserve"> </w:t>
      </w:r>
      <w:r w:rsidRPr="00953CD4">
        <w:rPr>
          <w:b/>
          <w:bCs/>
          <w:lang w:val="en-GB"/>
        </w:rPr>
        <w:t>11</w:t>
      </w:r>
      <w:r w:rsidRPr="00953CD4">
        <w:rPr>
          <w:lang w:val="en-GB"/>
        </w:rPr>
        <w:t>, 1069–1082.</w:t>
      </w:r>
      <w:proofErr w:type="gramEnd"/>
    </w:p>
    <w:p w:rsidR="003704F2" w:rsidRPr="00953CD4" w:rsidRDefault="003704F2" w:rsidP="001D3E43">
      <w:pPr>
        <w:pStyle w:val="Literaturverzeichnis1"/>
        <w:rPr>
          <w:lang w:val="en-GB"/>
        </w:rPr>
      </w:pPr>
      <w:proofErr w:type="spellStart"/>
      <w:r w:rsidRPr="00953CD4">
        <w:rPr>
          <w:b/>
          <w:bCs/>
          <w:lang w:val="en-GB"/>
        </w:rPr>
        <w:t>Peñagarikano</w:t>
      </w:r>
      <w:proofErr w:type="spellEnd"/>
      <w:r w:rsidRPr="00953CD4">
        <w:rPr>
          <w:b/>
          <w:bCs/>
          <w:lang w:val="en-GB"/>
        </w:rPr>
        <w:t xml:space="preserve">, O., Abrahams, B. S., Herman, E. I., </w:t>
      </w:r>
      <w:proofErr w:type="spellStart"/>
      <w:r w:rsidRPr="00953CD4">
        <w:rPr>
          <w:b/>
          <w:bCs/>
          <w:lang w:val="en-GB"/>
        </w:rPr>
        <w:t>Winden</w:t>
      </w:r>
      <w:proofErr w:type="spellEnd"/>
      <w:r w:rsidRPr="00953CD4">
        <w:rPr>
          <w:b/>
          <w:bCs/>
          <w:lang w:val="en-GB"/>
        </w:rPr>
        <w:t xml:space="preserve">, K. D., </w:t>
      </w:r>
      <w:proofErr w:type="spellStart"/>
      <w:r w:rsidRPr="00953CD4">
        <w:rPr>
          <w:b/>
          <w:bCs/>
          <w:lang w:val="en-GB"/>
        </w:rPr>
        <w:t>Gdalyahu</w:t>
      </w:r>
      <w:proofErr w:type="spellEnd"/>
      <w:r w:rsidRPr="00953CD4">
        <w:rPr>
          <w:b/>
          <w:bCs/>
          <w:lang w:val="en-GB"/>
        </w:rPr>
        <w:t xml:space="preserve">, A., Dong, H., </w:t>
      </w:r>
      <w:proofErr w:type="spellStart"/>
      <w:r w:rsidRPr="00953CD4">
        <w:rPr>
          <w:b/>
          <w:bCs/>
          <w:lang w:val="en-GB"/>
        </w:rPr>
        <w:t>Sonnenblick</w:t>
      </w:r>
      <w:proofErr w:type="spellEnd"/>
      <w:r w:rsidRPr="00953CD4">
        <w:rPr>
          <w:b/>
          <w:bCs/>
          <w:lang w:val="en-GB"/>
        </w:rPr>
        <w:t xml:space="preserve">, L. I., Gruver, R., </w:t>
      </w:r>
      <w:proofErr w:type="spellStart"/>
      <w:r w:rsidRPr="00953CD4">
        <w:rPr>
          <w:b/>
          <w:bCs/>
          <w:lang w:val="en-GB"/>
        </w:rPr>
        <w:t>Almajano</w:t>
      </w:r>
      <w:proofErr w:type="spellEnd"/>
      <w:r w:rsidRPr="00953CD4">
        <w:rPr>
          <w:b/>
          <w:bCs/>
          <w:lang w:val="en-GB"/>
        </w:rPr>
        <w:t xml:space="preserve">, J., </w:t>
      </w:r>
      <w:proofErr w:type="spellStart"/>
      <w:r w:rsidRPr="00953CD4">
        <w:rPr>
          <w:b/>
          <w:bCs/>
          <w:lang w:val="en-GB"/>
        </w:rPr>
        <w:t>Bragin</w:t>
      </w:r>
      <w:proofErr w:type="spellEnd"/>
      <w:r w:rsidRPr="00953CD4">
        <w:rPr>
          <w:b/>
          <w:bCs/>
          <w:lang w:val="en-GB"/>
        </w:rPr>
        <w:t>, A., et al.</w:t>
      </w:r>
      <w:r w:rsidRPr="00953CD4">
        <w:rPr>
          <w:lang w:val="en-GB"/>
        </w:rPr>
        <w:t xml:space="preserve"> (2011). </w:t>
      </w:r>
      <w:proofErr w:type="gramStart"/>
      <w:r w:rsidRPr="00953CD4">
        <w:rPr>
          <w:lang w:val="en-GB"/>
        </w:rPr>
        <w:t>Absence of CNTNAP2 Leads to Epilepsy, Neuronal Migration Abnormalities, and Core Autism-Related Deficits.</w:t>
      </w:r>
      <w:proofErr w:type="gramEnd"/>
      <w:r w:rsidRPr="00953CD4">
        <w:rPr>
          <w:lang w:val="en-GB"/>
        </w:rPr>
        <w:t xml:space="preserve"> </w:t>
      </w:r>
      <w:r w:rsidRPr="00953CD4">
        <w:rPr>
          <w:i/>
          <w:iCs/>
          <w:lang w:val="en-GB"/>
        </w:rPr>
        <w:t>Cell</w:t>
      </w:r>
      <w:r w:rsidRPr="00953CD4">
        <w:rPr>
          <w:lang w:val="en-GB"/>
        </w:rPr>
        <w:t xml:space="preserve"> </w:t>
      </w:r>
      <w:r w:rsidRPr="00953CD4">
        <w:rPr>
          <w:b/>
          <w:bCs/>
          <w:lang w:val="en-GB"/>
        </w:rPr>
        <w:t>147</w:t>
      </w:r>
      <w:r w:rsidRPr="00953CD4">
        <w:rPr>
          <w:lang w:val="en-GB"/>
        </w:rPr>
        <w:t>, 235–246.</w:t>
      </w:r>
    </w:p>
    <w:p w:rsidR="003704F2" w:rsidRPr="00953CD4" w:rsidRDefault="003704F2" w:rsidP="001D3E43">
      <w:pPr>
        <w:pStyle w:val="Literaturverzeichnis1"/>
        <w:rPr>
          <w:lang w:val="en-GB"/>
        </w:rPr>
      </w:pPr>
      <w:proofErr w:type="spellStart"/>
      <w:proofErr w:type="gramStart"/>
      <w:r w:rsidRPr="00953CD4">
        <w:rPr>
          <w:b/>
          <w:bCs/>
          <w:lang w:val="en-GB"/>
        </w:rPr>
        <w:t>Pfeffer</w:t>
      </w:r>
      <w:proofErr w:type="spellEnd"/>
      <w:r w:rsidRPr="00953CD4">
        <w:rPr>
          <w:b/>
          <w:bCs/>
          <w:lang w:val="en-GB"/>
        </w:rPr>
        <w:t xml:space="preserve">, P. L., Payer, B., </w:t>
      </w:r>
      <w:proofErr w:type="spellStart"/>
      <w:r w:rsidRPr="00953CD4">
        <w:rPr>
          <w:b/>
          <w:bCs/>
          <w:lang w:val="en-GB"/>
        </w:rPr>
        <w:t>Reim</w:t>
      </w:r>
      <w:proofErr w:type="spellEnd"/>
      <w:r w:rsidRPr="00953CD4">
        <w:rPr>
          <w:b/>
          <w:bCs/>
          <w:lang w:val="en-GB"/>
        </w:rPr>
        <w:t xml:space="preserve">, G., </w:t>
      </w:r>
      <w:proofErr w:type="spellStart"/>
      <w:r w:rsidRPr="00953CD4">
        <w:rPr>
          <w:b/>
          <w:bCs/>
          <w:lang w:val="en-GB"/>
        </w:rPr>
        <w:t>Magliano</w:t>
      </w:r>
      <w:proofErr w:type="spellEnd"/>
      <w:r w:rsidRPr="00953CD4">
        <w:rPr>
          <w:b/>
          <w:bCs/>
          <w:lang w:val="en-GB"/>
        </w:rPr>
        <w:t xml:space="preserve">, M. P. di and </w:t>
      </w:r>
      <w:proofErr w:type="spellStart"/>
      <w:r w:rsidRPr="00953CD4">
        <w:rPr>
          <w:b/>
          <w:bCs/>
          <w:lang w:val="en-GB"/>
        </w:rPr>
        <w:t>Busslinger</w:t>
      </w:r>
      <w:proofErr w:type="spellEnd"/>
      <w:r w:rsidRPr="00953CD4">
        <w:rPr>
          <w:b/>
          <w:bCs/>
          <w:lang w:val="en-GB"/>
        </w:rPr>
        <w:t>, M.</w:t>
      </w:r>
      <w:r w:rsidRPr="00953CD4">
        <w:rPr>
          <w:lang w:val="en-GB"/>
        </w:rPr>
        <w:t xml:space="preserve"> (2002).</w:t>
      </w:r>
      <w:proofErr w:type="gramEnd"/>
      <w:r w:rsidRPr="00953CD4">
        <w:rPr>
          <w:lang w:val="en-GB"/>
        </w:rPr>
        <w:t xml:space="preserve"> The activation and maintenance of Pax2 expression at the mid-hindbrain boundary is controlled by separate enhancers. </w:t>
      </w:r>
      <w:r w:rsidRPr="00953CD4">
        <w:rPr>
          <w:i/>
          <w:iCs/>
          <w:lang w:val="en-GB"/>
        </w:rPr>
        <w:t>Development</w:t>
      </w:r>
      <w:r w:rsidRPr="00953CD4">
        <w:rPr>
          <w:lang w:val="en-GB"/>
        </w:rPr>
        <w:t xml:space="preserve"> </w:t>
      </w:r>
      <w:r w:rsidRPr="00953CD4">
        <w:rPr>
          <w:b/>
          <w:bCs/>
          <w:lang w:val="en-GB"/>
        </w:rPr>
        <w:t>129</w:t>
      </w:r>
      <w:r w:rsidRPr="00953CD4">
        <w:rPr>
          <w:lang w:val="en-GB"/>
        </w:rPr>
        <w:t>, 307–318.</w:t>
      </w:r>
    </w:p>
    <w:p w:rsidR="003704F2" w:rsidRPr="00953CD4" w:rsidRDefault="003704F2" w:rsidP="001D3E43">
      <w:pPr>
        <w:pStyle w:val="Literaturverzeichnis1"/>
        <w:rPr>
          <w:lang w:val="en-GB"/>
        </w:rPr>
      </w:pPr>
      <w:proofErr w:type="gramStart"/>
      <w:r w:rsidRPr="00953CD4">
        <w:rPr>
          <w:b/>
          <w:bCs/>
          <w:lang w:val="en-GB"/>
        </w:rPr>
        <w:t>Puro, D. G. and Woodward, D. J.</w:t>
      </w:r>
      <w:r w:rsidRPr="00953CD4">
        <w:rPr>
          <w:lang w:val="en-GB"/>
        </w:rPr>
        <w:t xml:space="preserve"> (1977).</w:t>
      </w:r>
      <w:proofErr w:type="gramEnd"/>
      <w:r w:rsidRPr="00953CD4">
        <w:rPr>
          <w:lang w:val="en-GB"/>
        </w:rPr>
        <w:t xml:space="preserve"> Maturation of evoked mossy </w:t>
      </w:r>
      <w:proofErr w:type="spellStart"/>
      <w:r w:rsidRPr="00953CD4">
        <w:rPr>
          <w:lang w:val="en-GB"/>
        </w:rPr>
        <w:t>fiber</w:t>
      </w:r>
      <w:proofErr w:type="spellEnd"/>
      <w:r w:rsidRPr="00953CD4">
        <w:rPr>
          <w:lang w:val="en-GB"/>
        </w:rPr>
        <w:t xml:space="preserve"> input to rat cerebellar Purkinje cells (II.). </w:t>
      </w:r>
      <w:r w:rsidRPr="00953CD4">
        <w:rPr>
          <w:i/>
          <w:iCs/>
          <w:lang w:val="en-GB"/>
        </w:rPr>
        <w:t>Exp. Brain Res.</w:t>
      </w:r>
      <w:r w:rsidRPr="00953CD4">
        <w:rPr>
          <w:lang w:val="en-GB"/>
        </w:rPr>
        <w:t xml:space="preserve"> </w:t>
      </w:r>
      <w:r w:rsidRPr="00953CD4">
        <w:rPr>
          <w:b/>
          <w:bCs/>
          <w:lang w:val="en-GB"/>
        </w:rPr>
        <w:t>28</w:t>
      </w:r>
      <w:r w:rsidRPr="00953CD4">
        <w:rPr>
          <w:lang w:val="en-GB"/>
        </w:rPr>
        <w:t>, 427–441.</w:t>
      </w:r>
    </w:p>
    <w:p w:rsidR="003704F2" w:rsidRPr="00953CD4" w:rsidRDefault="003704F2" w:rsidP="001D3E43">
      <w:pPr>
        <w:pStyle w:val="Literaturverzeichnis1"/>
        <w:rPr>
          <w:lang w:val="en-GB"/>
        </w:rPr>
      </w:pPr>
      <w:proofErr w:type="gramStart"/>
      <w:r w:rsidRPr="00953CD4">
        <w:rPr>
          <w:b/>
          <w:bCs/>
          <w:lang w:val="en-GB"/>
        </w:rPr>
        <w:t>R Development Core Team</w:t>
      </w:r>
      <w:r w:rsidR="009A6156" w:rsidRPr="00953CD4">
        <w:rPr>
          <w:lang w:val="en-GB"/>
        </w:rPr>
        <w:t xml:space="preserve"> (2017</w:t>
      </w:r>
      <w:r w:rsidRPr="00953CD4">
        <w:rPr>
          <w:lang w:val="en-GB"/>
        </w:rPr>
        <w:t>).</w:t>
      </w:r>
      <w:proofErr w:type="gramEnd"/>
      <w:r w:rsidRPr="00953CD4">
        <w:rPr>
          <w:lang w:val="en-GB"/>
        </w:rPr>
        <w:t xml:space="preserve"> </w:t>
      </w:r>
      <w:r w:rsidRPr="00953CD4">
        <w:rPr>
          <w:i/>
          <w:iCs/>
          <w:lang w:val="en-GB"/>
        </w:rPr>
        <w:t>R: a language and environment for statistical computing</w:t>
      </w:r>
      <w:r w:rsidRPr="00953CD4">
        <w:rPr>
          <w:lang w:val="en-GB"/>
        </w:rPr>
        <w:t>. Vienna, Austria: R Foundation for Statistical Computing.</w:t>
      </w:r>
    </w:p>
    <w:p w:rsidR="003704F2" w:rsidRPr="00953CD4" w:rsidRDefault="003704F2" w:rsidP="001D3E43">
      <w:pPr>
        <w:pStyle w:val="Literaturverzeichnis1"/>
        <w:rPr>
          <w:lang w:val="en-GB"/>
        </w:rPr>
      </w:pPr>
      <w:proofErr w:type="spellStart"/>
      <w:proofErr w:type="gramStart"/>
      <w:r w:rsidRPr="00953CD4">
        <w:rPr>
          <w:b/>
          <w:bCs/>
          <w:lang w:val="en-GB"/>
        </w:rPr>
        <w:t>Raiteri</w:t>
      </w:r>
      <w:proofErr w:type="spellEnd"/>
      <w:r w:rsidRPr="00953CD4">
        <w:rPr>
          <w:b/>
          <w:bCs/>
          <w:lang w:val="en-GB"/>
        </w:rPr>
        <w:t xml:space="preserve">, L. and </w:t>
      </w:r>
      <w:proofErr w:type="spellStart"/>
      <w:r w:rsidRPr="00953CD4">
        <w:rPr>
          <w:b/>
          <w:bCs/>
          <w:lang w:val="en-GB"/>
        </w:rPr>
        <w:t>Raiteri</w:t>
      </w:r>
      <w:proofErr w:type="spellEnd"/>
      <w:r w:rsidRPr="00953CD4">
        <w:rPr>
          <w:b/>
          <w:bCs/>
          <w:lang w:val="en-GB"/>
        </w:rPr>
        <w:t>, M.</w:t>
      </w:r>
      <w:r w:rsidRPr="00953CD4">
        <w:rPr>
          <w:lang w:val="en-GB"/>
        </w:rPr>
        <w:t xml:space="preserve"> (2015).</w:t>
      </w:r>
      <w:proofErr w:type="gramEnd"/>
      <w:r w:rsidRPr="00953CD4">
        <w:rPr>
          <w:lang w:val="en-GB"/>
        </w:rPr>
        <w:t xml:space="preserve"> </w:t>
      </w:r>
      <w:proofErr w:type="gramStart"/>
      <w:r w:rsidRPr="00953CD4">
        <w:rPr>
          <w:lang w:val="en-GB"/>
        </w:rPr>
        <w:t>Multiple functions of neuronal plasma membrane neurotransmitter transporters.</w:t>
      </w:r>
      <w:proofErr w:type="gramEnd"/>
      <w:r w:rsidRPr="00953CD4">
        <w:rPr>
          <w:lang w:val="en-GB"/>
        </w:rPr>
        <w:t xml:space="preserve"> </w:t>
      </w:r>
      <w:proofErr w:type="spellStart"/>
      <w:proofErr w:type="gramStart"/>
      <w:r w:rsidRPr="00953CD4">
        <w:rPr>
          <w:i/>
          <w:iCs/>
          <w:lang w:val="en-GB"/>
        </w:rPr>
        <w:t>Prog</w:t>
      </w:r>
      <w:proofErr w:type="spellEnd"/>
      <w:r w:rsidRPr="00953CD4">
        <w:rPr>
          <w:i/>
          <w:iCs/>
          <w:lang w:val="en-GB"/>
        </w:rPr>
        <w:t>.</w:t>
      </w:r>
      <w:proofErr w:type="gramEnd"/>
      <w:r w:rsidRPr="00953CD4">
        <w:rPr>
          <w:i/>
          <w:iCs/>
          <w:lang w:val="en-GB"/>
        </w:rPr>
        <w:t xml:space="preserve"> </w:t>
      </w:r>
      <w:proofErr w:type="spellStart"/>
      <w:proofErr w:type="gramStart"/>
      <w:r w:rsidRPr="00953CD4">
        <w:rPr>
          <w:i/>
          <w:iCs/>
          <w:lang w:val="en-GB"/>
        </w:rPr>
        <w:t>Neurobiol</w:t>
      </w:r>
      <w:proofErr w:type="spellEnd"/>
      <w:r w:rsidRPr="00953CD4">
        <w:rPr>
          <w:i/>
          <w:iCs/>
          <w:lang w:val="en-GB"/>
        </w:rPr>
        <w:t>.</w:t>
      </w:r>
      <w:proofErr w:type="gramEnd"/>
      <w:r w:rsidRPr="00953CD4">
        <w:rPr>
          <w:lang w:val="en-GB"/>
        </w:rPr>
        <w:t xml:space="preserve"> </w:t>
      </w:r>
      <w:r w:rsidRPr="00953CD4">
        <w:rPr>
          <w:b/>
          <w:bCs/>
          <w:lang w:val="en-GB"/>
        </w:rPr>
        <w:t>134</w:t>
      </w:r>
      <w:r w:rsidRPr="00953CD4">
        <w:rPr>
          <w:lang w:val="en-GB"/>
        </w:rPr>
        <w:t>, 1–16.</w:t>
      </w:r>
    </w:p>
    <w:p w:rsidR="003704F2" w:rsidRPr="00953CD4" w:rsidRDefault="003704F2" w:rsidP="001D3E43">
      <w:pPr>
        <w:pStyle w:val="Literaturverzeichnis1"/>
        <w:rPr>
          <w:lang w:val="en-GB"/>
        </w:rPr>
      </w:pPr>
      <w:proofErr w:type="spellStart"/>
      <w:proofErr w:type="gramStart"/>
      <w:r w:rsidRPr="00953CD4">
        <w:rPr>
          <w:b/>
          <w:bCs/>
          <w:lang w:val="en-GB"/>
        </w:rPr>
        <w:t>Rakic</w:t>
      </w:r>
      <w:proofErr w:type="spellEnd"/>
      <w:r w:rsidRPr="00953CD4">
        <w:rPr>
          <w:b/>
          <w:bCs/>
          <w:lang w:val="en-GB"/>
        </w:rPr>
        <w:t>, P.</w:t>
      </w:r>
      <w:r w:rsidRPr="00953CD4">
        <w:rPr>
          <w:lang w:val="en-GB"/>
        </w:rPr>
        <w:t xml:space="preserve"> (1972).</w:t>
      </w:r>
      <w:proofErr w:type="gramEnd"/>
      <w:r w:rsidRPr="00953CD4">
        <w:rPr>
          <w:lang w:val="en-GB"/>
        </w:rPr>
        <w:t xml:space="preserve"> </w:t>
      </w:r>
      <w:proofErr w:type="gramStart"/>
      <w:r w:rsidRPr="00953CD4">
        <w:rPr>
          <w:lang w:val="en-GB"/>
        </w:rPr>
        <w:t>Extrinsic cytological determinants of basket and stellate cell dendritic pattern in the cerebellar molecular layer.</w:t>
      </w:r>
      <w:proofErr w:type="gramEnd"/>
      <w:r w:rsidRPr="00953CD4">
        <w:rPr>
          <w:lang w:val="en-GB"/>
        </w:rPr>
        <w:t xml:space="preserve"> </w:t>
      </w:r>
      <w:r w:rsidRPr="00953CD4">
        <w:rPr>
          <w:i/>
          <w:iCs/>
          <w:lang w:val="en-GB"/>
        </w:rPr>
        <w:t>J. Comp. Neurol.</w:t>
      </w:r>
      <w:r w:rsidRPr="00953CD4">
        <w:rPr>
          <w:lang w:val="en-GB"/>
        </w:rPr>
        <w:t xml:space="preserve"> </w:t>
      </w:r>
      <w:r w:rsidRPr="00953CD4">
        <w:rPr>
          <w:b/>
          <w:bCs/>
          <w:lang w:val="en-GB"/>
        </w:rPr>
        <w:t>146</w:t>
      </w:r>
      <w:r w:rsidRPr="00953CD4">
        <w:rPr>
          <w:lang w:val="en-GB"/>
        </w:rPr>
        <w:t>, 335–354.</w:t>
      </w:r>
    </w:p>
    <w:p w:rsidR="003704F2" w:rsidRPr="00953CD4" w:rsidRDefault="003704F2" w:rsidP="001D3E43">
      <w:pPr>
        <w:pStyle w:val="Literaturverzeichnis1"/>
        <w:rPr>
          <w:lang w:val="en-GB"/>
        </w:rPr>
      </w:pPr>
      <w:proofErr w:type="gramStart"/>
      <w:r w:rsidRPr="00953CD4">
        <w:rPr>
          <w:b/>
          <w:bCs/>
          <w:lang w:val="en-GB"/>
        </w:rPr>
        <w:t>Rice, D. S. and Curran, T.</w:t>
      </w:r>
      <w:r w:rsidRPr="00953CD4">
        <w:rPr>
          <w:lang w:val="en-GB"/>
        </w:rPr>
        <w:t xml:space="preserve"> (2001).</w:t>
      </w:r>
      <w:proofErr w:type="gramEnd"/>
      <w:r w:rsidRPr="00953CD4">
        <w:rPr>
          <w:lang w:val="en-GB"/>
        </w:rPr>
        <w:t xml:space="preserve"> </w:t>
      </w:r>
      <w:proofErr w:type="gramStart"/>
      <w:r w:rsidRPr="00953CD4">
        <w:rPr>
          <w:lang w:val="en-GB"/>
        </w:rPr>
        <w:t xml:space="preserve">Role of the </w:t>
      </w:r>
      <w:proofErr w:type="spellStart"/>
      <w:r w:rsidRPr="00953CD4">
        <w:rPr>
          <w:lang w:val="en-GB"/>
        </w:rPr>
        <w:t>Reelin</w:t>
      </w:r>
      <w:proofErr w:type="spellEnd"/>
      <w:r w:rsidRPr="00953CD4">
        <w:rPr>
          <w:lang w:val="en-GB"/>
        </w:rPr>
        <w:t xml:space="preserve"> </w:t>
      </w:r>
      <w:proofErr w:type="spellStart"/>
      <w:r w:rsidRPr="00953CD4">
        <w:rPr>
          <w:lang w:val="en-GB"/>
        </w:rPr>
        <w:t>Signaling</w:t>
      </w:r>
      <w:proofErr w:type="spellEnd"/>
      <w:r w:rsidRPr="00953CD4">
        <w:rPr>
          <w:lang w:val="en-GB"/>
        </w:rPr>
        <w:t xml:space="preserve"> Pathway in Central Nervous System Development.</w:t>
      </w:r>
      <w:proofErr w:type="gramEnd"/>
      <w:r w:rsidRPr="00953CD4">
        <w:rPr>
          <w:lang w:val="en-GB"/>
        </w:rPr>
        <w:t xml:space="preserve"> </w:t>
      </w:r>
      <w:proofErr w:type="spellStart"/>
      <w:proofErr w:type="gramStart"/>
      <w:r w:rsidRPr="00953CD4">
        <w:rPr>
          <w:i/>
          <w:iCs/>
          <w:lang w:val="en-GB"/>
        </w:rPr>
        <w:t>Annu</w:t>
      </w:r>
      <w:proofErr w:type="spellEnd"/>
      <w:r w:rsidRPr="00953CD4">
        <w:rPr>
          <w:i/>
          <w:iCs/>
          <w:lang w:val="en-GB"/>
        </w:rPr>
        <w:t>.</w:t>
      </w:r>
      <w:proofErr w:type="gramEnd"/>
      <w:r w:rsidRPr="00953CD4">
        <w:rPr>
          <w:i/>
          <w:iCs/>
          <w:lang w:val="en-GB"/>
        </w:rPr>
        <w:t xml:space="preserve"> Rev.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24</w:t>
      </w:r>
      <w:r w:rsidRPr="00953CD4">
        <w:rPr>
          <w:lang w:val="en-GB"/>
        </w:rPr>
        <w:t>, 1005–1039.</w:t>
      </w:r>
    </w:p>
    <w:p w:rsidR="003704F2" w:rsidRPr="00953CD4" w:rsidRDefault="003704F2" w:rsidP="001D3E43">
      <w:pPr>
        <w:pStyle w:val="Literaturverzeichnis1"/>
        <w:rPr>
          <w:lang w:val="en-GB"/>
        </w:rPr>
      </w:pPr>
      <w:proofErr w:type="spellStart"/>
      <w:r w:rsidRPr="00953CD4">
        <w:rPr>
          <w:b/>
          <w:bCs/>
          <w:lang w:val="en-GB"/>
        </w:rPr>
        <w:t>Rivière</w:t>
      </w:r>
      <w:proofErr w:type="spellEnd"/>
      <w:r w:rsidRPr="00953CD4">
        <w:rPr>
          <w:b/>
          <w:bCs/>
          <w:lang w:val="en-GB"/>
        </w:rPr>
        <w:t xml:space="preserve">, J.-B., van Bon, B. W. M., </w:t>
      </w:r>
      <w:proofErr w:type="spellStart"/>
      <w:r w:rsidRPr="00953CD4">
        <w:rPr>
          <w:b/>
          <w:bCs/>
          <w:lang w:val="en-GB"/>
        </w:rPr>
        <w:t>Hoischen</w:t>
      </w:r>
      <w:proofErr w:type="spellEnd"/>
      <w:r w:rsidRPr="00953CD4">
        <w:rPr>
          <w:b/>
          <w:bCs/>
          <w:lang w:val="en-GB"/>
        </w:rPr>
        <w:t xml:space="preserve">, A., </w:t>
      </w:r>
      <w:proofErr w:type="spellStart"/>
      <w:r w:rsidRPr="00953CD4">
        <w:rPr>
          <w:b/>
          <w:bCs/>
          <w:lang w:val="en-GB"/>
        </w:rPr>
        <w:t>Kholmanskikh</w:t>
      </w:r>
      <w:proofErr w:type="spellEnd"/>
      <w:r w:rsidRPr="00953CD4">
        <w:rPr>
          <w:b/>
          <w:bCs/>
          <w:lang w:val="en-GB"/>
        </w:rPr>
        <w:t xml:space="preserve">, S. S., </w:t>
      </w:r>
      <w:proofErr w:type="spellStart"/>
      <w:r w:rsidRPr="00953CD4">
        <w:rPr>
          <w:b/>
          <w:bCs/>
          <w:lang w:val="en-GB"/>
        </w:rPr>
        <w:t>O’Roak</w:t>
      </w:r>
      <w:proofErr w:type="spellEnd"/>
      <w:r w:rsidRPr="00953CD4">
        <w:rPr>
          <w:b/>
          <w:bCs/>
          <w:lang w:val="en-GB"/>
        </w:rPr>
        <w:t xml:space="preserve">, B. J., </w:t>
      </w:r>
      <w:proofErr w:type="spellStart"/>
      <w:r w:rsidRPr="00953CD4">
        <w:rPr>
          <w:b/>
          <w:bCs/>
          <w:lang w:val="en-GB"/>
        </w:rPr>
        <w:t>Gilissen</w:t>
      </w:r>
      <w:proofErr w:type="spellEnd"/>
      <w:r w:rsidRPr="00953CD4">
        <w:rPr>
          <w:b/>
          <w:bCs/>
          <w:lang w:val="en-GB"/>
        </w:rPr>
        <w:t xml:space="preserve">, C., </w:t>
      </w:r>
      <w:proofErr w:type="spellStart"/>
      <w:r w:rsidRPr="00953CD4">
        <w:rPr>
          <w:b/>
          <w:bCs/>
          <w:lang w:val="en-GB"/>
        </w:rPr>
        <w:t>Gijsen</w:t>
      </w:r>
      <w:proofErr w:type="spellEnd"/>
      <w:r w:rsidRPr="00953CD4">
        <w:rPr>
          <w:b/>
          <w:bCs/>
          <w:lang w:val="en-GB"/>
        </w:rPr>
        <w:t>, S., Sullivan, C. T., Christian, S. L., Abdul-Rahman, O. A., et al.</w:t>
      </w:r>
      <w:r w:rsidRPr="00953CD4">
        <w:rPr>
          <w:lang w:val="en-GB"/>
        </w:rPr>
        <w:t xml:space="preserve"> (2012). De novo mutations in the actin genes ACTB and ACTG1 cause </w:t>
      </w:r>
      <w:proofErr w:type="spellStart"/>
      <w:r w:rsidRPr="00953CD4">
        <w:rPr>
          <w:lang w:val="en-GB"/>
        </w:rPr>
        <w:t>Baraitser</w:t>
      </w:r>
      <w:proofErr w:type="spellEnd"/>
      <w:r w:rsidRPr="00953CD4">
        <w:rPr>
          <w:lang w:val="en-GB"/>
        </w:rPr>
        <w:t xml:space="preserve">-Winter syndrome. </w:t>
      </w:r>
      <w:r w:rsidRPr="00953CD4">
        <w:rPr>
          <w:i/>
          <w:iCs/>
          <w:lang w:val="en-GB"/>
        </w:rPr>
        <w:t>Nat. Genet.</w:t>
      </w:r>
      <w:r w:rsidRPr="00953CD4">
        <w:rPr>
          <w:lang w:val="en-GB"/>
        </w:rPr>
        <w:t xml:space="preserve"> </w:t>
      </w:r>
      <w:proofErr w:type="gramStart"/>
      <w:r w:rsidRPr="00953CD4">
        <w:rPr>
          <w:b/>
          <w:bCs/>
          <w:lang w:val="en-GB"/>
        </w:rPr>
        <w:t>44</w:t>
      </w:r>
      <w:r w:rsidRPr="00953CD4">
        <w:rPr>
          <w:lang w:val="en-GB"/>
        </w:rPr>
        <w:t>, 440-S2.</w:t>
      </w:r>
      <w:proofErr w:type="gramEnd"/>
    </w:p>
    <w:p w:rsidR="003704F2" w:rsidRPr="00953CD4" w:rsidRDefault="003704F2" w:rsidP="001D3E43">
      <w:pPr>
        <w:pStyle w:val="Literaturverzeichnis1"/>
        <w:rPr>
          <w:lang w:val="en-GB"/>
        </w:rPr>
      </w:pPr>
      <w:proofErr w:type="spellStart"/>
      <w:proofErr w:type="gramStart"/>
      <w:r w:rsidRPr="00953CD4">
        <w:rPr>
          <w:b/>
          <w:bCs/>
          <w:lang w:val="en-GB"/>
        </w:rPr>
        <w:t>Ruigrok</w:t>
      </w:r>
      <w:proofErr w:type="spellEnd"/>
      <w:r w:rsidRPr="00953CD4">
        <w:rPr>
          <w:b/>
          <w:bCs/>
          <w:lang w:val="en-GB"/>
        </w:rPr>
        <w:t xml:space="preserve">, T. J. H., </w:t>
      </w:r>
      <w:proofErr w:type="spellStart"/>
      <w:r w:rsidRPr="00953CD4">
        <w:rPr>
          <w:b/>
          <w:bCs/>
          <w:lang w:val="en-GB"/>
        </w:rPr>
        <w:t>Hensbroek</w:t>
      </w:r>
      <w:proofErr w:type="spellEnd"/>
      <w:r w:rsidRPr="00953CD4">
        <w:rPr>
          <w:b/>
          <w:bCs/>
          <w:lang w:val="en-GB"/>
        </w:rPr>
        <w:t>, R. A. and Simpson, J. I.</w:t>
      </w:r>
      <w:r w:rsidRPr="00953CD4">
        <w:rPr>
          <w:lang w:val="en-GB"/>
        </w:rPr>
        <w:t xml:space="preserve"> (2011).</w:t>
      </w:r>
      <w:proofErr w:type="gramEnd"/>
      <w:r w:rsidRPr="00953CD4">
        <w:rPr>
          <w:lang w:val="en-GB"/>
        </w:rPr>
        <w:t xml:space="preserve"> </w:t>
      </w:r>
      <w:proofErr w:type="gramStart"/>
      <w:r w:rsidRPr="00953CD4">
        <w:rPr>
          <w:lang w:val="en-GB"/>
        </w:rPr>
        <w:t xml:space="preserve">Spontaneous Activity Signatures of Morphologically Identified Interneurons in the </w:t>
      </w:r>
      <w:proofErr w:type="spellStart"/>
      <w:r w:rsidRPr="00953CD4">
        <w:rPr>
          <w:lang w:val="en-GB"/>
        </w:rPr>
        <w:t>Vestibulocerebellum</w:t>
      </w:r>
      <w:proofErr w:type="spellEnd"/>
      <w:r w:rsidRPr="00953CD4">
        <w:rPr>
          <w:lang w:val="en-GB"/>
        </w:rPr>
        <w:t>.</w:t>
      </w:r>
      <w:proofErr w:type="gramEnd"/>
      <w:r w:rsidRPr="00953CD4">
        <w:rPr>
          <w:lang w:val="en-GB"/>
        </w:rPr>
        <w:t xml:space="preserve"> </w:t>
      </w:r>
      <w:r w:rsidRPr="00953CD4">
        <w:rPr>
          <w:i/>
          <w:iCs/>
          <w:lang w:val="en-GB"/>
        </w:rPr>
        <w:t xml:space="preserve">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31</w:t>
      </w:r>
      <w:r w:rsidRPr="00953CD4">
        <w:rPr>
          <w:lang w:val="en-GB"/>
        </w:rPr>
        <w:t>, 712–724.</w:t>
      </w:r>
    </w:p>
    <w:p w:rsidR="003704F2" w:rsidRPr="00953CD4" w:rsidRDefault="003704F2" w:rsidP="001D3E43">
      <w:pPr>
        <w:pStyle w:val="Literaturverzeichnis1"/>
        <w:rPr>
          <w:lang w:val="en-GB"/>
        </w:rPr>
      </w:pPr>
      <w:proofErr w:type="spellStart"/>
      <w:proofErr w:type="gramStart"/>
      <w:r w:rsidRPr="00953CD4">
        <w:rPr>
          <w:b/>
          <w:bCs/>
          <w:lang w:val="en-GB"/>
        </w:rPr>
        <w:t>Rymar</w:t>
      </w:r>
      <w:proofErr w:type="spellEnd"/>
      <w:r w:rsidRPr="00953CD4">
        <w:rPr>
          <w:b/>
          <w:bCs/>
          <w:lang w:val="en-GB"/>
        </w:rPr>
        <w:t xml:space="preserve">, V. V. and </w:t>
      </w:r>
      <w:proofErr w:type="spellStart"/>
      <w:r w:rsidRPr="00953CD4">
        <w:rPr>
          <w:b/>
          <w:bCs/>
          <w:lang w:val="en-GB"/>
        </w:rPr>
        <w:t>Sadikot</w:t>
      </w:r>
      <w:proofErr w:type="spellEnd"/>
      <w:r w:rsidRPr="00953CD4">
        <w:rPr>
          <w:b/>
          <w:bCs/>
          <w:lang w:val="en-GB"/>
        </w:rPr>
        <w:t>, A. F.</w:t>
      </w:r>
      <w:r w:rsidRPr="00953CD4">
        <w:rPr>
          <w:lang w:val="en-GB"/>
        </w:rPr>
        <w:t xml:space="preserve"> (2007).</w:t>
      </w:r>
      <w:proofErr w:type="gramEnd"/>
      <w:r w:rsidRPr="00953CD4">
        <w:rPr>
          <w:lang w:val="en-GB"/>
        </w:rPr>
        <w:t xml:space="preserve"> Laminar fate of cortical GABAergic interneurons is dependent on both birthdate and phenotype. </w:t>
      </w:r>
      <w:r w:rsidRPr="00953CD4">
        <w:rPr>
          <w:i/>
          <w:iCs/>
          <w:lang w:val="en-GB"/>
        </w:rPr>
        <w:t>J. Comp. Neurol.</w:t>
      </w:r>
      <w:r w:rsidRPr="00953CD4">
        <w:rPr>
          <w:lang w:val="en-GB"/>
        </w:rPr>
        <w:t xml:space="preserve"> </w:t>
      </w:r>
      <w:r w:rsidRPr="00953CD4">
        <w:rPr>
          <w:b/>
          <w:bCs/>
          <w:lang w:val="en-GB"/>
        </w:rPr>
        <w:t>501</w:t>
      </w:r>
      <w:r w:rsidRPr="00953CD4">
        <w:rPr>
          <w:lang w:val="en-GB"/>
        </w:rPr>
        <w:t>, 369–380.</w:t>
      </w:r>
    </w:p>
    <w:p w:rsidR="003704F2" w:rsidRPr="00953CD4" w:rsidRDefault="003704F2" w:rsidP="001D3E43">
      <w:pPr>
        <w:pStyle w:val="Literaturverzeichnis1"/>
        <w:rPr>
          <w:lang w:val="en-GB"/>
        </w:rPr>
      </w:pPr>
      <w:proofErr w:type="spellStart"/>
      <w:proofErr w:type="gramStart"/>
      <w:r w:rsidRPr="00953CD4">
        <w:rPr>
          <w:b/>
          <w:bCs/>
          <w:lang w:val="en-GB"/>
        </w:rPr>
        <w:t>Sassoe-Pognetto</w:t>
      </w:r>
      <w:proofErr w:type="spellEnd"/>
      <w:r w:rsidRPr="00953CD4">
        <w:rPr>
          <w:b/>
          <w:bCs/>
          <w:lang w:val="en-GB"/>
        </w:rPr>
        <w:t xml:space="preserve">, M. and </w:t>
      </w:r>
      <w:proofErr w:type="spellStart"/>
      <w:r w:rsidRPr="00953CD4">
        <w:rPr>
          <w:b/>
          <w:bCs/>
          <w:lang w:val="en-GB"/>
        </w:rPr>
        <w:t>Patrizi</w:t>
      </w:r>
      <w:proofErr w:type="spellEnd"/>
      <w:r w:rsidRPr="00953CD4">
        <w:rPr>
          <w:lang w:val="en-GB"/>
        </w:rPr>
        <w:t xml:space="preserve"> (2013).</w:t>
      </w:r>
      <w:proofErr w:type="gramEnd"/>
      <w:r w:rsidRPr="00953CD4">
        <w:rPr>
          <w:lang w:val="en-GB"/>
        </w:rPr>
        <w:t xml:space="preserve"> </w:t>
      </w:r>
      <w:proofErr w:type="gramStart"/>
      <w:r w:rsidRPr="00953CD4">
        <w:rPr>
          <w:lang w:val="en-GB"/>
        </w:rPr>
        <w:t>Development of Glutamatergic and GABAergic Synapses.</w:t>
      </w:r>
      <w:proofErr w:type="gramEnd"/>
      <w:r w:rsidRPr="00953CD4">
        <w:rPr>
          <w:lang w:val="en-GB"/>
        </w:rPr>
        <w:t xml:space="preserve"> </w:t>
      </w:r>
      <w:proofErr w:type="gramStart"/>
      <w:r w:rsidRPr="00953CD4">
        <w:rPr>
          <w:lang w:val="en-GB"/>
        </w:rPr>
        <w:t xml:space="preserve">In </w:t>
      </w:r>
      <w:r w:rsidRPr="00953CD4">
        <w:rPr>
          <w:i/>
          <w:iCs/>
          <w:lang w:val="en-GB"/>
        </w:rPr>
        <w:t>Handbook of Cerebellum and Cerebellar disorders</w:t>
      </w:r>
      <w:r w:rsidRPr="00953CD4">
        <w:rPr>
          <w:lang w:val="en-GB"/>
        </w:rPr>
        <w:t>, pp. 237–255.</w:t>
      </w:r>
      <w:proofErr w:type="gramEnd"/>
      <w:r w:rsidRPr="00953CD4">
        <w:rPr>
          <w:lang w:val="en-GB"/>
        </w:rPr>
        <w:t xml:space="preserve"> Dordrecht: Springer Netherlands.</w:t>
      </w:r>
    </w:p>
    <w:p w:rsidR="003704F2" w:rsidRPr="00953CD4" w:rsidRDefault="003704F2" w:rsidP="001D3E43">
      <w:pPr>
        <w:pStyle w:val="Literaturverzeichnis1"/>
        <w:rPr>
          <w:lang w:val="en-GB"/>
        </w:rPr>
      </w:pPr>
      <w:proofErr w:type="gramStart"/>
      <w:r w:rsidRPr="00953CD4">
        <w:rPr>
          <w:b/>
          <w:bCs/>
          <w:lang w:val="en-GB"/>
        </w:rPr>
        <w:t>Schilling, K.</w:t>
      </w:r>
      <w:r w:rsidRPr="00953CD4">
        <w:rPr>
          <w:lang w:val="en-GB"/>
        </w:rPr>
        <w:t xml:space="preserve"> (2013).</w:t>
      </w:r>
      <w:proofErr w:type="gramEnd"/>
      <w:r w:rsidRPr="00953CD4">
        <w:rPr>
          <w:lang w:val="en-GB"/>
        </w:rPr>
        <w:t xml:space="preserve"> </w:t>
      </w:r>
      <w:proofErr w:type="gramStart"/>
      <w:r w:rsidRPr="00953CD4">
        <w:rPr>
          <w:lang w:val="en-GB"/>
        </w:rPr>
        <w:t>Specification and Development of GABAergic Interneurons.</w:t>
      </w:r>
      <w:proofErr w:type="gramEnd"/>
      <w:r w:rsidRPr="00953CD4">
        <w:rPr>
          <w:lang w:val="en-GB"/>
        </w:rPr>
        <w:t xml:space="preserve"> In </w:t>
      </w:r>
      <w:r w:rsidRPr="00953CD4">
        <w:rPr>
          <w:i/>
          <w:iCs/>
          <w:lang w:val="en-GB"/>
        </w:rPr>
        <w:t>Handbook of the Cerebellum and Cerebellar Disorders</w:t>
      </w:r>
      <w:r w:rsidRPr="00953CD4">
        <w:rPr>
          <w:lang w:val="en-GB"/>
        </w:rPr>
        <w:t xml:space="preserve"> (ed. </w:t>
      </w:r>
      <w:proofErr w:type="spellStart"/>
      <w:r w:rsidRPr="00953CD4">
        <w:rPr>
          <w:lang w:val="en-GB"/>
        </w:rPr>
        <w:t>Manto</w:t>
      </w:r>
      <w:proofErr w:type="spellEnd"/>
      <w:r w:rsidRPr="00953CD4">
        <w:rPr>
          <w:lang w:val="en-GB"/>
        </w:rPr>
        <w:t xml:space="preserve">, M., </w:t>
      </w:r>
      <w:proofErr w:type="spellStart"/>
      <w:r w:rsidRPr="00953CD4">
        <w:rPr>
          <w:lang w:val="en-GB"/>
        </w:rPr>
        <w:t>Gruol</w:t>
      </w:r>
      <w:proofErr w:type="spellEnd"/>
      <w:r w:rsidRPr="00953CD4">
        <w:rPr>
          <w:lang w:val="en-GB"/>
        </w:rPr>
        <w:t xml:space="preserve">, D. L., </w:t>
      </w:r>
      <w:proofErr w:type="spellStart"/>
      <w:r w:rsidRPr="00953CD4">
        <w:rPr>
          <w:lang w:val="en-GB"/>
        </w:rPr>
        <w:t>Schmahmann</w:t>
      </w:r>
      <w:proofErr w:type="spellEnd"/>
      <w:r w:rsidRPr="00953CD4">
        <w:rPr>
          <w:lang w:val="en-GB"/>
        </w:rPr>
        <w:t xml:space="preserve">, J. D., </w:t>
      </w:r>
      <w:proofErr w:type="spellStart"/>
      <w:r w:rsidRPr="00953CD4">
        <w:rPr>
          <w:lang w:val="en-GB"/>
        </w:rPr>
        <w:t>Koibuchi</w:t>
      </w:r>
      <w:proofErr w:type="spellEnd"/>
      <w:r w:rsidRPr="00953CD4">
        <w:rPr>
          <w:lang w:val="en-GB"/>
        </w:rPr>
        <w:t>, N., and Rossi, F.), pp. 207–235. New York: Springer International Publishing.</w:t>
      </w:r>
    </w:p>
    <w:p w:rsidR="003704F2" w:rsidRPr="00953CD4" w:rsidRDefault="003704F2" w:rsidP="001D3E43">
      <w:pPr>
        <w:pStyle w:val="Literaturverzeichnis1"/>
        <w:rPr>
          <w:lang w:val="en-GB"/>
        </w:rPr>
      </w:pPr>
      <w:proofErr w:type="gramStart"/>
      <w:r w:rsidRPr="00953CD4">
        <w:rPr>
          <w:b/>
          <w:bCs/>
          <w:lang w:val="en-GB"/>
        </w:rPr>
        <w:t xml:space="preserve">Schilling, K., </w:t>
      </w:r>
      <w:proofErr w:type="spellStart"/>
      <w:r w:rsidRPr="00953CD4">
        <w:rPr>
          <w:b/>
          <w:bCs/>
          <w:lang w:val="en-GB"/>
        </w:rPr>
        <w:t>Oberdick</w:t>
      </w:r>
      <w:proofErr w:type="spellEnd"/>
      <w:r w:rsidRPr="00953CD4">
        <w:rPr>
          <w:b/>
          <w:bCs/>
          <w:lang w:val="en-GB"/>
        </w:rPr>
        <w:t xml:space="preserve">, J., Rossi, F. and </w:t>
      </w:r>
      <w:proofErr w:type="spellStart"/>
      <w:r w:rsidRPr="00953CD4">
        <w:rPr>
          <w:b/>
          <w:bCs/>
          <w:lang w:val="en-GB"/>
        </w:rPr>
        <w:t>Baader</w:t>
      </w:r>
      <w:proofErr w:type="spellEnd"/>
      <w:r w:rsidRPr="00953CD4">
        <w:rPr>
          <w:b/>
          <w:bCs/>
          <w:lang w:val="en-GB"/>
        </w:rPr>
        <w:t>, S. L.</w:t>
      </w:r>
      <w:r w:rsidRPr="00953CD4">
        <w:rPr>
          <w:lang w:val="en-GB"/>
        </w:rPr>
        <w:t xml:space="preserve"> (2008).</w:t>
      </w:r>
      <w:proofErr w:type="gramEnd"/>
      <w:r w:rsidRPr="00953CD4">
        <w:rPr>
          <w:lang w:val="en-GB"/>
        </w:rPr>
        <w:t xml:space="preserve"> Besides Purkinje cells and granule neurons: an appraisal of the cell biology of the interneurons of the cerebellar cortex. </w:t>
      </w:r>
      <w:proofErr w:type="spellStart"/>
      <w:proofErr w:type="gramStart"/>
      <w:r w:rsidRPr="00953CD4">
        <w:rPr>
          <w:i/>
          <w:iCs/>
          <w:lang w:val="en-GB"/>
        </w:rPr>
        <w:t>Histochem</w:t>
      </w:r>
      <w:proofErr w:type="spellEnd"/>
      <w:r w:rsidRPr="00953CD4">
        <w:rPr>
          <w:i/>
          <w:iCs/>
          <w:lang w:val="en-GB"/>
        </w:rPr>
        <w:t>.</w:t>
      </w:r>
      <w:proofErr w:type="gramEnd"/>
      <w:r w:rsidRPr="00953CD4">
        <w:rPr>
          <w:i/>
          <w:iCs/>
          <w:lang w:val="en-GB"/>
        </w:rPr>
        <w:t xml:space="preserve"> Cell Biol.</w:t>
      </w:r>
      <w:r w:rsidRPr="00953CD4">
        <w:rPr>
          <w:lang w:val="en-GB"/>
        </w:rPr>
        <w:t xml:space="preserve"> </w:t>
      </w:r>
      <w:r w:rsidRPr="00953CD4">
        <w:rPr>
          <w:b/>
          <w:bCs/>
          <w:lang w:val="en-GB"/>
        </w:rPr>
        <w:t>130</w:t>
      </w:r>
      <w:r w:rsidRPr="00953CD4">
        <w:rPr>
          <w:lang w:val="en-GB"/>
        </w:rPr>
        <w:t>, 601–615.</w:t>
      </w:r>
    </w:p>
    <w:p w:rsidR="003704F2" w:rsidRPr="00953CD4" w:rsidRDefault="003704F2" w:rsidP="001D3E43">
      <w:pPr>
        <w:pStyle w:val="Literaturverzeichnis1"/>
        <w:rPr>
          <w:lang w:val="en-GB"/>
        </w:rPr>
      </w:pPr>
      <w:proofErr w:type="spellStart"/>
      <w:r w:rsidRPr="00953CD4">
        <w:rPr>
          <w:b/>
          <w:bCs/>
          <w:lang w:val="en-GB"/>
        </w:rPr>
        <w:t>Sheather</w:t>
      </w:r>
      <w:proofErr w:type="spellEnd"/>
      <w:r w:rsidRPr="00953CD4">
        <w:rPr>
          <w:b/>
          <w:bCs/>
          <w:lang w:val="en-GB"/>
        </w:rPr>
        <w:t xml:space="preserve">, S.J. and </w:t>
      </w:r>
      <w:proofErr w:type="spellStart"/>
      <w:r w:rsidRPr="00953CD4">
        <w:rPr>
          <w:b/>
          <w:bCs/>
          <w:lang w:val="en-GB"/>
        </w:rPr>
        <w:t>Jones</w:t>
      </w:r>
      <w:proofErr w:type="gramStart"/>
      <w:r w:rsidRPr="00953CD4">
        <w:rPr>
          <w:b/>
          <w:bCs/>
          <w:lang w:val="en-GB"/>
        </w:rPr>
        <w:t>,M.C</w:t>
      </w:r>
      <w:proofErr w:type="spellEnd"/>
      <w:proofErr w:type="gramEnd"/>
      <w:r w:rsidRPr="00953CD4">
        <w:rPr>
          <w:b/>
          <w:bCs/>
          <w:lang w:val="en-GB"/>
        </w:rPr>
        <w:t>.</w:t>
      </w:r>
      <w:r w:rsidRPr="00953CD4">
        <w:rPr>
          <w:lang w:val="en-GB"/>
        </w:rPr>
        <w:t xml:space="preserve"> (1991). </w:t>
      </w:r>
      <w:proofErr w:type="gramStart"/>
      <w:r w:rsidRPr="00953CD4">
        <w:rPr>
          <w:lang w:val="en-GB"/>
        </w:rPr>
        <w:t>A reliable data-based bandwidth selection method for kernel density estimation.</w:t>
      </w:r>
      <w:proofErr w:type="gramEnd"/>
      <w:r w:rsidRPr="00953CD4">
        <w:rPr>
          <w:lang w:val="en-GB"/>
        </w:rPr>
        <w:t xml:space="preserve"> </w:t>
      </w:r>
      <w:r w:rsidRPr="00953CD4">
        <w:rPr>
          <w:i/>
          <w:iCs/>
          <w:lang w:val="en-GB"/>
        </w:rPr>
        <w:t xml:space="preserve">J. R. Stat. Soc. Ser. B Stat. </w:t>
      </w:r>
      <w:proofErr w:type="spellStart"/>
      <w:r w:rsidRPr="00953CD4">
        <w:rPr>
          <w:i/>
          <w:iCs/>
          <w:lang w:val="en-GB"/>
        </w:rPr>
        <w:t>Methodol</w:t>
      </w:r>
      <w:proofErr w:type="spellEnd"/>
      <w:r w:rsidRPr="00953CD4">
        <w:rPr>
          <w:i/>
          <w:iCs/>
          <w:lang w:val="en-GB"/>
        </w:rPr>
        <w:t>.</w:t>
      </w:r>
      <w:r w:rsidRPr="00953CD4">
        <w:rPr>
          <w:lang w:val="en-GB"/>
        </w:rPr>
        <w:t xml:space="preserve"> </w:t>
      </w:r>
      <w:r w:rsidRPr="00953CD4">
        <w:rPr>
          <w:b/>
          <w:bCs/>
          <w:lang w:val="en-GB"/>
        </w:rPr>
        <w:t>53</w:t>
      </w:r>
      <w:r w:rsidRPr="00953CD4">
        <w:rPr>
          <w:lang w:val="en-GB"/>
        </w:rPr>
        <w:t>, 683–690.</w:t>
      </w:r>
    </w:p>
    <w:p w:rsidR="003704F2" w:rsidRPr="00953CD4" w:rsidRDefault="003704F2" w:rsidP="001D3E43">
      <w:pPr>
        <w:pStyle w:val="Literaturverzeichnis1"/>
        <w:rPr>
          <w:lang w:val="en-GB"/>
        </w:rPr>
      </w:pPr>
      <w:proofErr w:type="spellStart"/>
      <w:proofErr w:type="gramStart"/>
      <w:r w:rsidRPr="00953CD4">
        <w:rPr>
          <w:b/>
          <w:bCs/>
          <w:lang w:val="en-GB"/>
        </w:rPr>
        <w:t>Shimono</w:t>
      </w:r>
      <w:proofErr w:type="spellEnd"/>
      <w:r w:rsidRPr="00953CD4">
        <w:rPr>
          <w:b/>
          <w:bCs/>
          <w:lang w:val="en-GB"/>
        </w:rPr>
        <w:t xml:space="preserve">, T., </w:t>
      </w:r>
      <w:proofErr w:type="spellStart"/>
      <w:r w:rsidRPr="00953CD4">
        <w:rPr>
          <w:b/>
          <w:bCs/>
          <w:lang w:val="en-GB"/>
        </w:rPr>
        <w:t>Nosaka</w:t>
      </w:r>
      <w:proofErr w:type="spellEnd"/>
      <w:r w:rsidRPr="00953CD4">
        <w:rPr>
          <w:b/>
          <w:bCs/>
          <w:lang w:val="en-GB"/>
        </w:rPr>
        <w:t>, S. and Sasaki, K.</w:t>
      </w:r>
      <w:r w:rsidRPr="00953CD4">
        <w:rPr>
          <w:lang w:val="en-GB"/>
        </w:rPr>
        <w:t xml:space="preserve"> (1976).</w:t>
      </w:r>
      <w:proofErr w:type="gramEnd"/>
      <w:r w:rsidRPr="00953CD4">
        <w:rPr>
          <w:lang w:val="en-GB"/>
        </w:rPr>
        <w:t xml:space="preserve"> </w:t>
      </w:r>
      <w:proofErr w:type="gramStart"/>
      <w:r w:rsidRPr="00953CD4">
        <w:rPr>
          <w:lang w:val="en-GB"/>
        </w:rPr>
        <w:t>Electrophysiological study on the postnatal development of neuronal mechanisms in the rat cerebellar cortex.</w:t>
      </w:r>
      <w:proofErr w:type="gramEnd"/>
      <w:r w:rsidRPr="00953CD4">
        <w:rPr>
          <w:lang w:val="en-GB"/>
        </w:rPr>
        <w:t xml:space="preserve"> </w:t>
      </w:r>
      <w:r w:rsidRPr="00953CD4">
        <w:rPr>
          <w:i/>
          <w:iCs/>
          <w:lang w:val="en-GB"/>
        </w:rPr>
        <w:t>Brain Res.</w:t>
      </w:r>
      <w:r w:rsidRPr="00953CD4">
        <w:rPr>
          <w:lang w:val="en-GB"/>
        </w:rPr>
        <w:t xml:space="preserve"> </w:t>
      </w:r>
      <w:r w:rsidRPr="00953CD4">
        <w:rPr>
          <w:b/>
          <w:bCs/>
          <w:lang w:val="en-GB"/>
        </w:rPr>
        <w:t>108</w:t>
      </w:r>
      <w:r w:rsidRPr="00953CD4">
        <w:rPr>
          <w:lang w:val="en-GB"/>
        </w:rPr>
        <w:t>, 279–294.</w:t>
      </w:r>
    </w:p>
    <w:p w:rsidR="003704F2" w:rsidRPr="00953CD4" w:rsidRDefault="003704F2" w:rsidP="001D3E43">
      <w:pPr>
        <w:pStyle w:val="Literaturverzeichnis1"/>
        <w:rPr>
          <w:lang w:val="en-GB"/>
        </w:rPr>
      </w:pPr>
      <w:proofErr w:type="spellStart"/>
      <w:proofErr w:type="gramStart"/>
      <w:r w:rsidRPr="00953CD4">
        <w:rPr>
          <w:b/>
          <w:bCs/>
          <w:lang w:val="en-GB"/>
        </w:rPr>
        <w:t>Simat</w:t>
      </w:r>
      <w:proofErr w:type="spellEnd"/>
      <w:r w:rsidRPr="00953CD4">
        <w:rPr>
          <w:b/>
          <w:bCs/>
          <w:lang w:val="en-GB"/>
        </w:rPr>
        <w:t xml:space="preserve">, M., </w:t>
      </w:r>
      <w:proofErr w:type="spellStart"/>
      <w:r w:rsidRPr="00953CD4">
        <w:rPr>
          <w:b/>
          <w:bCs/>
          <w:lang w:val="en-GB"/>
        </w:rPr>
        <w:t>Ambrosetti</w:t>
      </w:r>
      <w:proofErr w:type="spellEnd"/>
      <w:r w:rsidRPr="00953CD4">
        <w:rPr>
          <w:b/>
          <w:bCs/>
          <w:lang w:val="en-GB"/>
        </w:rPr>
        <w:t xml:space="preserve">, L., </w:t>
      </w:r>
      <w:proofErr w:type="spellStart"/>
      <w:r w:rsidRPr="00953CD4">
        <w:rPr>
          <w:b/>
          <w:bCs/>
          <w:lang w:val="en-GB"/>
        </w:rPr>
        <w:t>Lardi-Studler</w:t>
      </w:r>
      <w:proofErr w:type="spellEnd"/>
      <w:r w:rsidRPr="00953CD4">
        <w:rPr>
          <w:b/>
          <w:bCs/>
          <w:lang w:val="en-GB"/>
        </w:rPr>
        <w:t xml:space="preserve">, B. and </w:t>
      </w:r>
      <w:proofErr w:type="spellStart"/>
      <w:r w:rsidRPr="00953CD4">
        <w:rPr>
          <w:b/>
          <w:bCs/>
          <w:lang w:val="en-GB"/>
        </w:rPr>
        <w:t>Fritschy</w:t>
      </w:r>
      <w:proofErr w:type="spellEnd"/>
      <w:r w:rsidRPr="00953CD4">
        <w:rPr>
          <w:b/>
          <w:bCs/>
          <w:lang w:val="en-GB"/>
        </w:rPr>
        <w:t>, J.-M.</w:t>
      </w:r>
      <w:proofErr w:type="gramEnd"/>
      <w:r w:rsidRPr="00953CD4">
        <w:rPr>
          <w:lang w:val="en-GB"/>
        </w:rPr>
        <w:t xml:space="preserve"> (2007). GABAergic synaptogenesis marks the onset of differentiation of basket and stellate cells in mouse cerebellum. </w:t>
      </w:r>
      <w:r w:rsidRPr="00953CD4">
        <w:rPr>
          <w:i/>
          <w:iCs/>
          <w:lang w:val="en-GB"/>
        </w:rPr>
        <w:t xml:space="preserve">Eur. 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26</w:t>
      </w:r>
      <w:r w:rsidRPr="00953CD4">
        <w:rPr>
          <w:lang w:val="en-GB"/>
        </w:rPr>
        <w:t>, 2239–2256.</w:t>
      </w:r>
    </w:p>
    <w:p w:rsidR="003704F2" w:rsidRPr="00953CD4" w:rsidRDefault="003704F2" w:rsidP="001D3E43">
      <w:pPr>
        <w:pStyle w:val="Literaturverzeichnis1"/>
        <w:rPr>
          <w:lang w:val="en-GB"/>
        </w:rPr>
      </w:pPr>
      <w:proofErr w:type="gramStart"/>
      <w:r w:rsidRPr="00953CD4">
        <w:rPr>
          <w:b/>
          <w:bCs/>
          <w:lang w:val="en-GB"/>
        </w:rPr>
        <w:t>Smith, T. C., Wang, L.-Y.</w:t>
      </w:r>
      <w:proofErr w:type="gramEnd"/>
      <w:r w:rsidRPr="00953CD4">
        <w:rPr>
          <w:b/>
          <w:bCs/>
          <w:lang w:val="en-GB"/>
        </w:rPr>
        <w:t xml:space="preserve"> </w:t>
      </w:r>
      <w:proofErr w:type="gramStart"/>
      <w:r w:rsidRPr="00953CD4">
        <w:rPr>
          <w:b/>
          <w:bCs/>
          <w:lang w:val="en-GB"/>
        </w:rPr>
        <w:t>and</w:t>
      </w:r>
      <w:proofErr w:type="gramEnd"/>
      <w:r w:rsidRPr="00953CD4">
        <w:rPr>
          <w:b/>
          <w:bCs/>
          <w:lang w:val="en-GB"/>
        </w:rPr>
        <w:t xml:space="preserve"> Howe, J. R.</w:t>
      </w:r>
      <w:r w:rsidRPr="00953CD4">
        <w:rPr>
          <w:lang w:val="en-GB"/>
        </w:rPr>
        <w:t xml:space="preserve"> (2000). </w:t>
      </w:r>
      <w:proofErr w:type="gramStart"/>
      <w:r w:rsidRPr="00953CD4">
        <w:rPr>
          <w:lang w:val="en-GB"/>
        </w:rPr>
        <w:t>Heterogeneous Conductance Levels of Native AMPA Receptors.</w:t>
      </w:r>
      <w:proofErr w:type="gramEnd"/>
      <w:r w:rsidRPr="00953CD4">
        <w:rPr>
          <w:lang w:val="en-GB"/>
        </w:rPr>
        <w:t xml:space="preserve"> </w:t>
      </w:r>
      <w:r w:rsidRPr="00953CD4">
        <w:rPr>
          <w:i/>
          <w:iCs/>
          <w:lang w:val="en-GB"/>
        </w:rPr>
        <w:t xml:space="preserve">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20</w:t>
      </w:r>
      <w:r w:rsidRPr="00953CD4">
        <w:rPr>
          <w:lang w:val="en-GB"/>
        </w:rPr>
        <w:t>, 2073–2085.</w:t>
      </w:r>
    </w:p>
    <w:p w:rsidR="003704F2" w:rsidRPr="00953CD4" w:rsidRDefault="003704F2" w:rsidP="001D3E43">
      <w:pPr>
        <w:pStyle w:val="Literaturverzeichnis1"/>
        <w:rPr>
          <w:lang w:val="en-GB"/>
        </w:rPr>
      </w:pPr>
      <w:r w:rsidRPr="00953CD4">
        <w:rPr>
          <w:b/>
          <w:bCs/>
          <w:lang w:val="en-GB"/>
        </w:rPr>
        <w:t xml:space="preserve">Sokoloff, G., </w:t>
      </w:r>
      <w:proofErr w:type="spellStart"/>
      <w:r w:rsidRPr="00953CD4">
        <w:rPr>
          <w:b/>
          <w:bCs/>
          <w:lang w:val="en-GB"/>
        </w:rPr>
        <w:t>Plumeau</w:t>
      </w:r>
      <w:proofErr w:type="spellEnd"/>
      <w:r w:rsidRPr="00953CD4">
        <w:rPr>
          <w:b/>
          <w:bCs/>
          <w:lang w:val="en-GB"/>
        </w:rPr>
        <w:t>, A. M., Mukherjee, D. and Blumberg, M. S.</w:t>
      </w:r>
      <w:r w:rsidRPr="00953CD4">
        <w:rPr>
          <w:lang w:val="en-GB"/>
        </w:rPr>
        <w:t xml:space="preserve"> (2015). </w:t>
      </w:r>
      <w:proofErr w:type="gramStart"/>
      <w:r w:rsidRPr="00953CD4">
        <w:rPr>
          <w:lang w:val="en-GB"/>
        </w:rPr>
        <w:t>Twitch-related and rhythmic activation of the developing cerebellar cortex.</w:t>
      </w:r>
      <w:proofErr w:type="gramEnd"/>
      <w:r w:rsidRPr="00953CD4">
        <w:rPr>
          <w:lang w:val="en-GB"/>
        </w:rPr>
        <w:t xml:space="preserve"> </w:t>
      </w:r>
      <w:r w:rsidRPr="00953CD4">
        <w:rPr>
          <w:i/>
          <w:iCs/>
          <w:lang w:val="en-GB"/>
        </w:rPr>
        <w:t xml:space="preserve">J. </w:t>
      </w:r>
      <w:proofErr w:type="spellStart"/>
      <w:r w:rsidRPr="00953CD4">
        <w:rPr>
          <w:i/>
          <w:iCs/>
          <w:lang w:val="en-GB"/>
        </w:rPr>
        <w:t>Neurophysiol</w:t>
      </w:r>
      <w:proofErr w:type="spellEnd"/>
      <w:r w:rsidRPr="00953CD4">
        <w:rPr>
          <w:i/>
          <w:iCs/>
          <w:lang w:val="en-GB"/>
        </w:rPr>
        <w:t>.</w:t>
      </w:r>
      <w:r w:rsidRPr="00953CD4">
        <w:rPr>
          <w:lang w:val="en-GB"/>
        </w:rPr>
        <w:t xml:space="preserve"> </w:t>
      </w:r>
      <w:r w:rsidRPr="00953CD4">
        <w:rPr>
          <w:b/>
          <w:bCs/>
          <w:lang w:val="en-GB"/>
        </w:rPr>
        <w:t>114</w:t>
      </w:r>
      <w:r w:rsidRPr="00953CD4">
        <w:rPr>
          <w:lang w:val="en-GB"/>
        </w:rPr>
        <w:t>, 1746–1756.</w:t>
      </w:r>
    </w:p>
    <w:p w:rsidR="003704F2" w:rsidRPr="00953CD4" w:rsidRDefault="003704F2" w:rsidP="001D3E43">
      <w:pPr>
        <w:pStyle w:val="Literaturverzeichnis1"/>
        <w:rPr>
          <w:lang w:val="en-GB"/>
        </w:rPr>
      </w:pPr>
      <w:proofErr w:type="spellStart"/>
      <w:proofErr w:type="gramStart"/>
      <w:r w:rsidRPr="00953CD4">
        <w:rPr>
          <w:b/>
          <w:bCs/>
          <w:lang w:val="en-GB"/>
        </w:rPr>
        <w:t>Southan</w:t>
      </w:r>
      <w:proofErr w:type="spellEnd"/>
      <w:r w:rsidRPr="00953CD4">
        <w:rPr>
          <w:b/>
          <w:bCs/>
          <w:lang w:val="en-GB"/>
        </w:rPr>
        <w:t>, A. P. and Robertson, B.</w:t>
      </w:r>
      <w:r w:rsidRPr="00953CD4">
        <w:rPr>
          <w:lang w:val="en-GB"/>
        </w:rPr>
        <w:t xml:space="preserve"> (1998).</w:t>
      </w:r>
      <w:proofErr w:type="gramEnd"/>
      <w:r w:rsidRPr="00953CD4">
        <w:rPr>
          <w:lang w:val="en-GB"/>
        </w:rPr>
        <w:t xml:space="preserve"> Patch-Clamp Recordings from Cerebellar Basket Cell Bodies and Their Presynaptic Terminals Reveal an Asymmetric Distribution of Voltage-Gated Potassium Channels. </w:t>
      </w:r>
      <w:r w:rsidRPr="00953CD4">
        <w:rPr>
          <w:i/>
          <w:iCs/>
          <w:lang w:val="en-GB"/>
        </w:rPr>
        <w:t xml:space="preserve">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18</w:t>
      </w:r>
      <w:r w:rsidRPr="00953CD4">
        <w:rPr>
          <w:lang w:val="en-GB"/>
        </w:rPr>
        <w:t>, 948–955.</w:t>
      </w:r>
    </w:p>
    <w:p w:rsidR="003704F2" w:rsidRPr="00953CD4" w:rsidRDefault="003704F2" w:rsidP="001D3E43">
      <w:pPr>
        <w:pStyle w:val="Literaturverzeichnis1"/>
        <w:rPr>
          <w:lang w:val="en-GB"/>
        </w:rPr>
      </w:pPr>
      <w:proofErr w:type="gramStart"/>
      <w:r w:rsidRPr="00953CD4">
        <w:rPr>
          <w:b/>
          <w:bCs/>
          <w:lang w:val="en-GB"/>
        </w:rPr>
        <w:t>Spitzer, N. C.</w:t>
      </w:r>
      <w:r w:rsidRPr="00953CD4">
        <w:rPr>
          <w:lang w:val="en-GB"/>
        </w:rPr>
        <w:t xml:space="preserve"> (2006).</w:t>
      </w:r>
      <w:proofErr w:type="gramEnd"/>
      <w:r w:rsidRPr="00953CD4">
        <w:rPr>
          <w:lang w:val="en-GB"/>
        </w:rPr>
        <w:t xml:space="preserve"> </w:t>
      </w:r>
      <w:proofErr w:type="gramStart"/>
      <w:r w:rsidRPr="00953CD4">
        <w:rPr>
          <w:lang w:val="en-GB"/>
        </w:rPr>
        <w:t>Electrical activity in early neuronal development.</w:t>
      </w:r>
      <w:proofErr w:type="gramEnd"/>
      <w:r w:rsidRPr="00953CD4">
        <w:rPr>
          <w:lang w:val="en-GB"/>
        </w:rPr>
        <w:t xml:space="preserve"> </w:t>
      </w:r>
      <w:r w:rsidRPr="00953CD4">
        <w:rPr>
          <w:i/>
          <w:iCs/>
          <w:lang w:val="en-GB"/>
        </w:rPr>
        <w:t>Nature</w:t>
      </w:r>
      <w:r w:rsidRPr="00953CD4">
        <w:rPr>
          <w:lang w:val="en-GB"/>
        </w:rPr>
        <w:t xml:space="preserve"> </w:t>
      </w:r>
      <w:r w:rsidRPr="00953CD4">
        <w:rPr>
          <w:b/>
          <w:bCs/>
          <w:lang w:val="en-GB"/>
        </w:rPr>
        <w:t>444</w:t>
      </w:r>
      <w:r w:rsidRPr="00953CD4">
        <w:rPr>
          <w:lang w:val="en-GB"/>
        </w:rPr>
        <w:t>, 707–712.</w:t>
      </w:r>
    </w:p>
    <w:p w:rsidR="003704F2" w:rsidRPr="00953CD4" w:rsidRDefault="003704F2" w:rsidP="001D3E43">
      <w:pPr>
        <w:pStyle w:val="Literaturverzeichnis1"/>
        <w:rPr>
          <w:lang w:val="en-GB"/>
        </w:rPr>
      </w:pPr>
      <w:proofErr w:type="spellStart"/>
      <w:proofErr w:type="gramStart"/>
      <w:r w:rsidRPr="00953CD4">
        <w:rPr>
          <w:b/>
          <w:bCs/>
          <w:lang w:val="en-GB"/>
        </w:rPr>
        <w:t>Sudarov</w:t>
      </w:r>
      <w:proofErr w:type="spellEnd"/>
      <w:r w:rsidRPr="00953CD4">
        <w:rPr>
          <w:b/>
          <w:bCs/>
          <w:lang w:val="en-GB"/>
        </w:rPr>
        <w:t xml:space="preserve">, A., Turnbull, R. K., Kim, E. J., </w:t>
      </w:r>
      <w:proofErr w:type="spellStart"/>
      <w:r w:rsidRPr="00953CD4">
        <w:rPr>
          <w:b/>
          <w:bCs/>
          <w:lang w:val="en-GB"/>
        </w:rPr>
        <w:t>Lebel</w:t>
      </w:r>
      <w:proofErr w:type="spellEnd"/>
      <w:r w:rsidRPr="00953CD4">
        <w:rPr>
          <w:b/>
          <w:bCs/>
          <w:lang w:val="en-GB"/>
        </w:rPr>
        <w:t>-Potter, M., Guillemot, F. and Joyner, A. L.</w:t>
      </w:r>
      <w:r w:rsidRPr="00953CD4">
        <w:rPr>
          <w:lang w:val="en-GB"/>
        </w:rPr>
        <w:t xml:space="preserve"> (2011).</w:t>
      </w:r>
      <w:proofErr w:type="gramEnd"/>
      <w:r w:rsidRPr="00953CD4">
        <w:rPr>
          <w:lang w:val="en-GB"/>
        </w:rPr>
        <w:t xml:space="preserve"> Ascl1 genetics reveals insights into cerebellum local circuit assembly. </w:t>
      </w:r>
      <w:r w:rsidRPr="00953CD4">
        <w:rPr>
          <w:i/>
          <w:iCs/>
          <w:lang w:val="en-GB"/>
        </w:rPr>
        <w:t xml:space="preserve">J. </w:t>
      </w:r>
      <w:proofErr w:type="spellStart"/>
      <w:r w:rsidRPr="00953CD4">
        <w:rPr>
          <w:i/>
          <w:iCs/>
          <w:lang w:val="en-GB"/>
        </w:rPr>
        <w:t>Neurosci</w:t>
      </w:r>
      <w:proofErr w:type="spellEnd"/>
      <w:r w:rsidRPr="00953CD4">
        <w:rPr>
          <w:i/>
          <w:iCs/>
          <w:lang w:val="en-GB"/>
        </w:rPr>
        <w:t xml:space="preserve">. Off. J. Soc.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31</w:t>
      </w:r>
      <w:r w:rsidRPr="00953CD4">
        <w:rPr>
          <w:lang w:val="en-GB"/>
        </w:rPr>
        <w:t>, 11055–11069.</w:t>
      </w:r>
    </w:p>
    <w:p w:rsidR="003704F2" w:rsidRPr="00953CD4" w:rsidRDefault="003704F2" w:rsidP="001D3E43">
      <w:pPr>
        <w:pStyle w:val="Literaturverzeichnis1"/>
        <w:rPr>
          <w:lang w:val="en-GB"/>
        </w:rPr>
      </w:pPr>
      <w:proofErr w:type="gramStart"/>
      <w:r w:rsidRPr="00953CD4">
        <w:rPr>
          <w:b/>
          <w:bCs/>
          <w:lang w:val="en-GB"/>
        </w:rPr>
        <w:t>Sultan, F. and Bower, J. M.</w:t>
      </w:r>
      <w:r w:rsidRPr="00953CD4">
        <w:rPr>
          <w:lang w:val="en-GB"/>
        </w:rPr>
        <w:t xml:space="preserve"> (1998).</w:t>
      </w:r>
      <w:proofErr w:type="gramEnd"/>
      <w:r w:rsidRPr="00953CD4">
        <w:rPr>
          <w:lang w:val="en-GB"/>
        </w:rPr>
        <w:t xml:space="preserve"> </w:t>
      </w:r>
      <w:proofErr w:type="gramStart"/>
      <w:r w:rsidRPr="00953CD4">
        <w:rPr>
          <w:lang w:val="en-GB"/>
        </w:rPr>
        <w:t>Quantitative Golgi study of the rat cerebellar molecular layer interneurons using principal component analysis.</w:t>
      </w:r>
      <w:proofErr w:type="gramEnd"/>
      <w:r w:rsidRPr="00953CD4">
        <w:rPr>
          <w:lang w:val="en-GB"/>
        </w:rPr>
        <w:t xml:space="preserve"> </w:t>
      </w:r>
      <w:r w:rsidRPr="00953CD4">
        <w:rPr>
          <w:i/>
          <w:iCs/>
          <w:lang w:val="en-GB"/>
        </w:rPr>
        <w:t>J. Comp. Neurol.</w:t>
      </w:r>
      <w:r w:rsidRPr="00953CD4">
        <w:rPr>
          <w:lang w:val="en-GB"/>
        </w:rPr>
        <w:t xml:space="preserve"> </w:t>
      </w:r>
      <w:r w:rsidRPr="00953CD4">
        <w:rPr>
          <w:b/>
          <w:bCs/>
          <w:lang w:val="en-GB"/>
        </w:rPr>
        <w:t>393</w:t>
      </w:r>
      <w:r w:rsidRPr="00953CD4">
        <w:rPr>
          <w:lang w:val="en-GB"/>
        </w:rPr>
        <w:t>, 353–373.</w:t>
      </w:r>
    </w:p>
    <w:p w:rsidR="003704F2" w:rsidRPr="00953CD4" w:rsidRDefault="003704F2" w:rsidP="001D3E43">
      <w:pPr>
        <w:pStyle w:val="Literaturverzeichnis1"/>
        <w:rPr>
          <w:lang w:val="en-GB"/>
        </w:rPr>
      </w:pPr>
      <w:proofErr w:type="gramStart"/>
      <w:r w:rsidRPr="00953CD4">
        <w:rPr>
          <w:b/>
          <w:bCs/>
          <w:lang w:val="en-GB"/>
        </w:rPr>
        <w:t xml:space="preserve">Tan, S.-S., </w:t>
      </w:r>
      <w:proofErr w:type="spellStart"/>
      <w:r w:rsidRPr="00953CD4">
        <w:rPr>
          <w:b/>
          <w:bCs/>
          <w:lang w:val="en-GB"/>
        </w:rPr>
        <w:t>Kalloniatis</w:t>
      </w:r>
      <w:proofErr w:type="spellEnd"/>
      <w:r w:rsidRPr="00953CD4">
        <w:rPr>
          <w:b/>
          <w:bCs/>
          <w:lang w:val="en-GB"/>
        </w:rPr>
        <w:t>, M., Sturm, K., Tam, P. P. L., Reese, B. E. and Faulkner-Jones, B.</w:t>
      </w:r>
      <w:r w:rsidRPr="00953CD4">
        <w:rPr>
          <w:lang w:val="en-GB"/>
        </w:rPr>
        <w:t xml:space="preserve"> (1998).</w:t>
      </w:r>
      <w:proofErr w:type="gramEnd"/>
      <w:r w:rsidRPr="00953CD4">
        <w:rPr>
          <w:lang w:val="en-GB"/>
        </w:rPr>
        <w:t xml:space="preserve"> Separate Progenitors for Radial and Tangential Cell Dispersion during Development of the Cerebral Neocortex. </w:t>
      </w:r>
      <w:r w:rsidRPr="00953CD4">
        <w:rPr>
          <w:i/>
          <w:iCs/>
          <w:lang w:val="en-GB"/>
        </w:rPr>
        <w:t>Neuron</w:t>
      </w:r>
      <w:r w:rsidRPr="00953CD4">
        <w:rPr>
          <w:lang w:val="en-GB"/>
        </w:rPr>
        <w:t xml:space="preserve"> </w:t>
      </w:r>
      <w:r w:rsidRPr="00953CD4">
        <w:rPr>
          <w:b/>
          <w:bCs/>
          <w:lang w:val="en-GB"/>
        </w:rPr>
        <w:t>21</w:t>
      </w:r>
      <w:r w:rsidRPr="00953CD4">
        <w:rPr>
          <w:lang w:val="en-GB"/>
        </w:rPr>
        <w:t>, 295–304.</w:t>
      </w:r>
    </w:p>
    <w:p w:rsidR="003704F2" w:rsidRPr="00953CD4" w:rsidRDefault="003704F2" w:rsidP="001D3E43">
      <w:pPr>
        <w:pStyle w:val="Literaturverzeichnis1"/>
        <w:rPr>
          <w:lang w:val="en-GB"/>
        </w:rPr>
      </w:pPr>
      <w:proofErr w:type="spellStart"/>
      <w:proofErr w:type="gramStart"/>
      <w:r w:rsidRPr="00953CD4">
        <w:rPr>
          <w:b/>
          <w:bCs/>
          <w:lang w:val="en-GB"/>
        </w:rPr>
        <w:t>Valiente</w:t>
      </w:r>
      <w:proofErr w:type="spellEnd"/>
      <w:r w:rsidRPr="00953CD4">
        <w:rPr>
          <w:b/>
          <w:bCs/>
          <w:lang w:val="en-GB"/>
        </w:rPr>
        <w:t xml:space="preserve">, M. and </w:t>
      </w:r>
      <w:proofErr w:type="spellStart"/>
      <w:r w:rsidRPr="00953CD4">
        <w:rPr>
          <w:b/>
          <w:bCs/>
          <w:lang w:val="en-GB"/>
        </w:rPr>
        <w:t>Marín</w:t>
      </w:r>
      <w:proofErr w:type="spellEnd"/>
      <w:r w:rsidRPr="00953CD4">
        <w:rPr>
          <w:b/>
          <w:bCs/>
          <w:lang w:val="en-GB"/>
        </w:rPr>
        <w:t>, O.</w:t>
      </w:r>
      <w:r w:rsidRPr="00953CD4">
        <w:rPr>
          <w:lang w:val="en-GB"/>
        </w:rPr>
        <w:t xml:space="preserve"> (2010).</w:t>
      </w:r>
      <w:proofErr w:type="gramEnd"/>
      <w:r w:rsidRPr="00953CD4">
        <w:rPr>
          <w:lang w:val="en-GB"/>
        </w:rPr>
        <w:t xml:space="preserve"> </w:t>
      </w:r>
      <w:proofErr w:type="gramStart"/>
      <w:r w:rsidRPr="00953CD4">
        <w:rPr>
          <w:lang w:val="en-GB"/>
        </w:rPr>
        <w:t>Neuronal migration mechanisms in development and disease.</w:t>
      </w:r>
      <w:proofErr w:type="gramEnd"/>
      <w:r w:rsidRPr="00953CD4">
        <w:rPr>
          <w:lang w:val="en-GB"/>
        </w:rPr>
        <w:t xml:space="preserve"> </w:t>
      </w:r>
      <w:proofErr w:type="spellStart"/>
      <w:proofErr w:type="gramStart"/>
      <w:r w:rsidRPr="00953CD4">
        <w:rPr>
          <w:i/>
          <w:iCs/>
          <w:lang w:val="en-GB"/>
        </w:rPr>
        <w:t>Curr</w:t>
      </w:r>
      <w:proofErr w:type="spellEnd"/>
      <w:r w:rsidRPr="00953CD4">
        <w:rPr>
          <w:i/>
          <w:iCs/>
          <w:lang w:val="en-GB"/>
        </w:rPr>
        <w:t>.</w:t>
      </w:r>
      <w:proofErr w:type="gramEnd"/>
      <w:r w:rsidRPr="00953CD4">
        <w:rPr>
          <w:i/>
          <w:iCs/>
          <w:lang w:val="en-GB"/>
        </w:rPr>
        <w:t xml:space="preserve"> </w:t>
      </w:r>
      <w:proofErr w:type="spellStart"/>
      <w:proofErr w:type="gramStart"/>
      <w:r w:rsidRPr="00953CD4">
        <w:rPr>
          <w:i/>
          <w:iCs/>
          <w:lang w:val="en-GB"/>
        </w:rPr>
        <w:t>Opin</w:t>
      </w:r>
      <w:proofErr w:type="spellEnd"/>
      <w:r w:rsidRPr="00953CD4">
        <w:rPr>
          <w:i/>
          <w:iCs/>
          <w:lang w:val="en-GB"/>
        </w:rPr>
        <w:t>.</w:t>
      </w:r>
      <w:proofErr w:type="gramEnd"/>
      <w:r w:rsidRPr="00953CD4">
        <w:rPr>
          <w:i/>
          <w:iCs/>
          <w:lang w:val="en-GB"/>
        </w:rPr>
        <w:t xml:space="preserve"> </w:t>
      </w:r>
      <w:proofErr w:type="spellStart"/>
      <w:proofErr w:type="gramStart"/>
      <w:r w:rsidRPr="00953CD4">
        <w:rPr>
          <w:i/>
          <w:iCs/>
          <w:lang w:val="en-GB"/>
        </w:rPr>
        <w:t>Neurobiol</w:t>
      </w:r>
      <w:proofErr w:type="spellEnd"/>
      <w:r w:rsidRPr="00953CD4">
        <w:rPr>
          <w:i/>
          <w:iCs/>
          <w:lang w:val="en-GB"/>
        </w:rPr>
        <w:t>.</w:t>
      </w:r>
      <w:proofErr w:type="gramEnd"/>
      <w:r w:rsidRPr="00953CD4">
        <w:rPr>
          <w:lang w:val="en-GB"/>
        </w:rPr>
        <w:t xml:space="preserve"> </w:t>
      </w:r>
      <w:r w:rsidRPr="00953CD4">
        <w:rPr>
          <w:b/>
          <w:bCs/>
          <w:lang w:val="en-GB"/>
        </w:rPr>
        <w:t>20</w:t>
      </w:r>
      <w:r w:rsidRPr="00953CD4">
        <w:rPr>
          <w:lang w:val="en-GB"/>
        </w:rPr>
        <w:t>, 68–78.</w:t>
      </w:r>
    </w:p>
    <w:p w:rsidR="003704F2" w:rsidRPr="00953CD4" w:rsidRDefault="003704F2" w:rsidP="001D3E43">
      <w:pPr>
        <w:pStyle w:val="Literaturverzeichnis1"/>
        <w:rPr>
          <w:lang w:val="en-GB"/>
        </w:rPr>
      </w:pPr>
      <w:proofErr w:type="gramStart"/>
      <w:r w:rsidRPr="00953CD4">
        <w:rPr>
          <w:b/>
          <w:bCs/>
          <w:lang w:val="en-GB"/>
        </w:rPr>
        <w:t>van</w:t>
      </w:r>
      <w:proofErr w:type="gramEnd"/>
      <w:r w:rsidRPr="00953CD4">
        <w:rPr>
          <w:b/>
          <w:bCs/>
          <w:lang w:val="en-GB"/>
        </w:rPr>
        <w:t xml:space="preserve"> den Pol, A. N. and </w:t>
      </w:r>
      <w:proofErr w:type="spellStart"/>
      <w:r w:rsidRPr="00953CD4">
        <w:rPr>
          <w:b/>
          <w:bCs/>
          <w:lang w:val="en-GB"/>
        </w:rPr>
        <w:t>Gorcs</w:t>
      </w:r>
      <w:proofErr w:type="spellEnd"/>
      <w:r w:rsidRPr="00953CD4">
        <w:rPr>
          <w:b/>
          <w:bCs/>
          <w:lang w:val="en-GB"/>
        </w:rPr>
        <w:t>, T.</w:t>
      </w:r>
      <w:r w:rsidRPr="00953CD4">
        <w:rPr>
          <w:lang w:val="en-GB"/>
        </w:rPr>
        <w:t xml:space="preserve"> (1986). Synaptic relationships between neurons containing vasopressin, gastrin-releasing peptide, vasoactive intestinal polypeptide, and glutamate decarboxylase immunoreactivity in the suprachiasmatic nucleus: Dual ultrastructural immunocytochemistry with gold-substituted silver peroxidase. </w:t>
      </w:r>
      <w:r w:rsidRPr="00953CD4">
        <w:rPr>
          <w:i/>
          <w:iCs/>
          <w:lang w:val="en-GB"/>
        </w:rPr>
        <w:t>J. Comp. Neurol.</w:t>
      </w:r>
      <w:r w:rsidRPr="00953CD4">
        <w:rPr>
          <w:lang w:val="en-GB"/>
        </w:rPr>
        <w:t xml:space="preserve"> </w:t>
      </w:r>
      <w:r w:rsidRPr="00953CD4">
        <w:rPr>
          <w:b/>
          <w:bCs/>
          <w:lang w:val="en-GB"/>
        </w:rPr>
        <w:t>252</w:t>
      </w:r>
      <w:r w:rsidRPr="00953CD4">
        <w:rPr>
          <w:lang w:val="en-GB"/>
        </w:rPr>
        <w:t>, 507–521.</w:t>
      </w:r>
    </w:p>
    <w:p w:rsidR="003704F2" w:rsidRPr="00953CD4" w:rsidRDefault="003704F2" w:rsidP="001D3E43">
      <w:pPr>
        <w:pStyle w:val="Literaturverzeichnis1"/>
        <w:rPr>
          <w:lang w:val="en-GB"/>
        </w:rPr>
      </w:pPr>
      <w:proofErr w:type="spellStart"/>
      <w:proofErr w:type="gramStart"/>
      <w:r w:rsidRPr="00953CD4">
        <w:rPr>
          <w:b/>
          <w:bCs/>
          <w:lang w:val="en-GB"/>
        </w:rPr>
        <w:t>Verderio</w:t>
      </w:r>
      <w:proofErr w:type="spellEnd"/>
      <w:r w:rsidRPr="00953CD4">
        <w:rPr>
          <w:b/>
          <w:bCs/>
          <w:lang w:val="en-GB"/>
        </w:rPr>
        <w:t xml:space="preserve">, C., Coco, S., </w:t>
      </w:r>
      <w:proofErr w:type="spellStart"/>
      <w:r w:rsidRPr="00953CD4">
        <w:rPr>
          <w:b/>
          <w:bCs/>
          <w:lang w:val="en-GB"/>
        </w:rPr>
        <w:t>Bacci</w:t>
      </w:r>
      <w:proofErr w:type="spellEnd"/>
      <w:r w:rsidRPr="00953CD4">
        <w:rPr>
          <w:b/>
          <w:bCs/>
          <w:lang w:val="en-GB"/>
        </w:rPr>
        <w:t xml:space="preserve">, A., </w:t>
      </w:r>
      <w:proofErr w:type="spellStart"/>
      <w:r w:rsidRPr="00953CD4">
        <w:rPr>
          <w:b/>
          <w:bCs/>
          <w:lang w:val="en-GB"/>
        </w:rPr>
        <w:t>Rossetto</w:t>
      </w:r>
      <w:proofErr w:type="spellEnd"/>
      <w:r w:rsidRPr="00953CD4">
        <w:rPr>
          <w:b/>
          <w:bCs/>
          <w:lang w:val="en-GB"/>
        </w:rPr>
        <w:t xml:space="preserve">, O., </w:t>
      </w:r>
      <w:proofErr w:type="spellStart"/>
      <w:r w:rsidRPr="00953CD4">
        <w:rPr>
          <w:b/>
          <w:bCs/>
          <w:lang w:val="en-GB"/>
        </w:rPr>
        <w:t>Camilli</w:t>
      </w:r>
      <w:proofErr w:type="spellEnd"/>
      <w:r w:rsidRPr="00953CD4">
        <w:rPr>
          <w:b/>
          <w:bCs/>
          <w:lang w:val="en-GB"/>
        </w:rPr>
        <w:t xml:space="preserve">, P. D., </w:t>
      </w:r>
      <w:proofErr w:type="spellStart"/>
      <w:r w:rsidRPr="00953CD4">
        <w:rPr>
          <w:b/>
          <w:bCs/>
          <w:lang w:val="en-GB"/>
        </w:rPr>
        <w:t>Montecucco</w:t>
      </w:r>
      <w:proofErr w:type="spellEnd"/>
      <w:r w:rsidRPr="00953CD4">
        <w:rPr>
          <w:b/>
          <w:bCs/>
          <w:lang w:val="en-GB"/>
        </w:rPr>
        <w:t xml:space="preserve">, C. and </w:t>
      </w:r>
      <w:proofErr w:type="spellStart"/>
      <w:r w:rsidRPr="00953CD4">
        <w:rPr>
          <w:b/>
          <w:bCs/>
          <w:lang w:val="en-GB"/>
        </w:rPr>
        <w:t>Matteoli</w:t>
      </w:r>
      <w:proofErr w:type="spellEnd"/>
      <w:r w:rsidRPr="00953CD4">
        <w:rPr>
          <w:b/>
          <w:bCs/>
          <w:lang w:val="en-GB"/>
        </w:rPr>
        <w:t>, M.</w:t>
      </w:r>
      <w:r w:rsidRPr="00953CD4">
        <w:rPr>
          <w:lang w:val="en-GB"/>
        </w:rPr>
        <w:t xml:space="preserve"> (1999).</w:t>
      </w:r>
      <w:proofErr w:type="gramEnd"/>
      <w:r w:rsidRPr="00953CD4">
        <w:rPr>
          <w:lang w:val="en-GB"/>
        </w:rPr>
        <w:t xml:space="preserve"> Tetanus Toxin Blocks the Exocytosis of Synaptic Vesicles Clustered at Synapses But Not of Synaptic Vesicles in Isolated Axons. </w:t>
      </w:r>
      <w:r w:rsidRPr="00953CD4">
        <w:rPr>
          <w:i/>
          <w:iCs/>
          <w:lang w:val="en-GB"/>
        </w:rPr>
        <w:t xml:space="preserve">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19</w:t>
      </w:r>
      <w:r w:rsidRPr="00953CD4">
        <w:rPr>
          <w:lang w:val="en-GB"/>
        </w:rPr>
        <w:t>, 6723–6732.</w:t>
      </w:r>
    </w:p>
    <w:p w:rsidR="003704F2" w:rsidRPr="00953CD4" w:rsidRDefault="003704F2" w:rsidP="001D3E43">
      <w:pPr>
        <w:pStyle w:val="Literaturverzeichnis1"/>
        <w:rPr>
          <w:lang w:val="en-GB"/>
        </w:rPr>
      </w:pPr>
      <w:proofErr w:type="gramStart"/>
      <w:r w:rsidRPr="00953CD4">
        <w:rPr>
          <w:b/>
          <w:bCs/>
          <w:lang w:val="en-GB"/>
        </w:rPr>
        <w:t xml:space="preserve">Wassef, M., </w:t>
      </w:r>
      <w:proofErr w:type="spellStart"/>
      <w:r w:rsidRPr="00953CD4">
        <w:rPr>
          <w:b/>
          <w:bCs/>
          <w:lang w:val="en-GB"/>
        </w:rPr>
        <w:t>Chedotal</w:t>
      </w:r>
      <w:proofErr w:type="spellEnd"/>
      <w:r w:rsidRPr="00953CD4">
        <w:rPr>
          <w:b/>
          <w:bCs/>
          <w:lang w:val="en-GB"/>
        </w:rPr>
        <w:t xml:space="preserve">, A., </w:t>
      </w:r>
      <w:proofErr w:type="spellStart"/>
      <w:r w:rsidRPr="00953CD4">
        <w:rPr>
          <w:b/>
          <w:bCs/>
          <w:lang w:val="en-GB"/>
        </w:rPr>
        <w:t>Cholley</w:t>
      </w:r>
      <w:proofErr w:type="spellEnd"/>
      <w:r w:rsidRPr="00953CD4">
        <w:rPr>
          <w:b/>
          <w:bCs/>
          <w:lang w:val="en-GB"/>
        </w:rPr>
        <w:t xml:space="preserve">, B., </w:t>
      </w:r>
      <w:proofErr w:type="spellStart"/>
      <w:r w:rsidRPr="00953CD4">
        <w:rPr>
          <w:b/>
          <w:bCs/>
          <w:lang w:val="en-GB"/>
        </w:rPr>
        <w:t>Thomasset</w:t>
      </w:r>
      <w:proofErr w:type="spellEnd"/>
      <w:r w:rsidRPr="00953CD4">
        <w:rPr>
          <w:b/>
          <w:bCs/>
          <w:lang w:val="en-GB"/>
        </w:rPr>
        <w:t xml:space="preserve">, M., </w:t>
      </w:r>
      <w:proofErr w:type="spellStart"/>
      <w:r w:rsidRPr="00953CD4">
        <w:rPr>
          <w:b/>
          <w:bCs/>
          <w:lang w:val="en-GB"/>
        </w:rPr>
        <w:t>Heizmann</w:t>
      </w:r>
      <w:proofErr w:type="spellEnd"/>
      <w:r w:rsidRPr="00953CD4">
        <w:rPr>
          <w:b/>
          <w:bCs/>
          <w:lang w:val="en-GB"/>
        </w:rPr>
        <w:t>, C. W. and Sotelo, C.</w:t>
      </w:r>
      <w:r w:rsidRPr="00953CD4">
        <w:rPr>
          <w:lang w:val="en-GB"/>
        </w:rPr>
        <w:t xml:space="preserve"> (1992).</w:t>
      </w:r>
      <w:proofErr w:type="gramEnd"/>
      <w:r w:rsidRPr="00953CD4">
        <w:rPr>
          <w:lang w:val="en-GB"/>
        </w:rPr>
        <w:t xml:space="preserve"> Development of the </w:t>
      </w:r>
      <w:proofErr w:type="spellStart"/>
      <w:r w:rsidRPr="00953CD4">
        <w:rPr>
          <w:lang w:val="en-GB"/>
        </w:rPr>
        <w:t>olivocerebellar</w:t>
      </w:r>
      <w:proofErr w:type="spellEnd"/>
      <w:r w:rsidRPr="00953CD4">
        <w:rPr>
          <w:lang w:val="en-GB"/>
        </w:rPr>
        <w:t xml:space="preserve"> projection in the rat: I. Transient biochemical compartmentation of the inferior olive. </w:t>
      </w:r>
      <w:r w:rsidRPr="00953CD4">
        <w:rPr>
          <w:i/>
          <w:iCs/>
          <w:lang w:val="en-GB"/>
        </w:rPr>
        <w:t>J. Comp. Neurol.</w:t>
      </w:r>
      <w:r w:rsidRPr="00953CD4">
        <w:rPr>
          <w:lang w:val="en-GB"/>
        </w:rPr>
        <w:t xml:space="preserve"> </w:t>
      </w:r>
      <w:r w:rsidRPr="00953CD4">
        <w:rPr>
          <w:b/>
          <w:bCs/>
          <w:lang w:val="en-GB"/>
        </w:rPr>
        <w:t>323</w:t>
      </w:r>
      <w:r w:rsidRPr="00953CD4">
        <w:rPr>
          <w:lang w:val="en-GB"/>
        </w:rPr>
        <w:t>, 519–536.</w:t>
      </w:r>
    </w:p>
    <w:p w:rsidR="003704F2" w:rsidRPr="005E6166" w:rsidRDefault="003704F2" w:rsidP="001D3E43">
      <w:pPr>
        <w:pStyle w:val="Literaturverzeichnis1"/>
      </w:pPr>
      <w:proofErr w:type="gramStart"/>
      <w:r w:rsidRPr="00953CD4">
        <w:rPr>
          <w:b/>
          <w:bCs/>
          <w:lang w:val="en-GB"/>
        </w:rPr>
        <w:t>Watanabe, M. and Kano, M.</w:t>
      </w:r>
      <w:r w:rsidRPr="00953CD4">
        <w:rPr>
          <w:lang w:val="en-GB"/>
        </w:rPr>
        <w:t xml:space="preserve"> (2011).</w:t>
      </w:r>
      <w:proofErr w:type="gramEnd"/>
      <w:r w:rsidRPr="00953CD4">
        <w:rPr>
          <w:lang w:val="en-GB"/>
        </w:rPr>
        <w:t xml:space="preserve"> </w:t>
      </w:r>
      <w:proofErr w:type="gramStart"/>
      <w:r w:rsidRPr="00953CD4">
        <w:rPr>
          <w:lang w:val="en-GB"/>
        </w:rPr>
        <w:t xml:space="preserve">Climbing </w:t>
      </w:r>
      <w:proofErr w:type="spellStart"/>
      <w:r w:rsidRPr="00953CD4">
        <w:rPr>
          <w:lang w:val="en-GB"/>
        </w:rPr>
        <w:t>fiber</w:t>
      </w:r>
      <w:proofErr w:type="spellEnd"/>
      <w:r w:rsidRPr="00953CD4">
        <w:rPr>
          <w:lang w:val="en-GB"/>
        </w:rPr>
        <w:t xml:space="preserve"> synapse elimination in cerebellar Purkinje cells.</w:t>
      </w:r>
      <w:proofErr w:type="gramEnd"/>
      <w:r w:rsidRPr="00953CD4">
        <w:rPr>
          <w:lang w:val="en-GB"/>
        </w:rPr>
        <w:t xml:space="preserve"> </w:t>
      </w:r>
      <w:r w:rsidRPr="005E6166">
        <w:rPr>
          <w:i/>
          <w:iCs/>
        </w:rPr>
        <w:t xml:space="preserve">Eur. J. </w:t>
      </w:r>
      <w:proofErr w:type="spellStart"/>
      <w:r w:rsidRPr="005E6166">
        <w:rPr>
          <w:i/>
          <w:iCs/>
        </w:rPr>
        <w:t>Neurosci</w:t>
      </w:r>
      <w:proofErr w:type="spellEnd"/>
      <w:r w:rsidRPr="005E6166">
        <w:rPr>
          <w:i/>
          <w:iCs/>
        </w:rPr>
        <w:t>.</w:t>
      </w:r>
      <w:r w:rsidRPr="005E6166">
        <w:t xml:space="preserve"> </w:t>
      </w:r>
      <w:r w:rsidRPr="005E6166">
        <w:rPr>
          <w:b/>
          <w:bCs/>
        </w:rPr>
        <w:t>34</w:t>
      </w:r>
      <w:r w:rsidRPr="005E6166">
        <w:t>, 1697–1710.</w:t>
      </w:r>
    </w:p>
    <w:p w:rsidR="003704F2" w:rsidRPr="005E6166" w:rsidRDefault="003704F2" w:rsidP="001D3E43">
      <w:pPr>
        <w:pStyle w:val="Literaturverzeichnis1"/>
      </w:pPr>
      <w:r w:rsidRPr="005E6166">
        <w:rPr>
          <w:b/>
          <w:bCs/>
        </w:rPr>
        <w:t xml:space="preserve">Watt, A. J., </w:t>
      </w:r>
      <w:proofErr w:type="spellStart"/>
      <w:r w:rsidRPr="005E6166">
        <w:rPr>
          <w:b/>
          <w:bCs/>
        </w:rPr>
        <w:t>Cuntz</w:t>
      </w:r>
      <w:proofErr w:type="spellEnd"/>
      <w:r w:rsidRPr="005E6166">
        <w:rPr>
          <w:b/>
          <w:bCs/>
        </w:rPr>
        <w:t xml:space="preserve">, </w:t>
      </w:r>
      <w:proofErr w:type="gramStart"/>
      <w:r w:rsidRPr="005E6166">
        <w:rPr>
          <w:b/>
          <w:bCs/>
        </w:rPr>
        <w:t>H.,</w:t>
      </w:r>
      <w:proofErr w:type="gramEnd"/>
      <w:r w:rsidRPr="005E6166">
        <w:rPr>
          <w:b/>
          <w:bCs/>
        </w:rPr>
        <w:t xml:space="preserve"> Mori, M., Nusser, Z., </w:t>
      </w:r>
      <w:proofErr w:type="spellStart"/>
      <w:r w:rsidRPr="005E6166">
        <w:rPr>
          <w:b/>
          <w:bCs/>
        </w:rPr>
        <w:t>Sjöström</w:t>
      </w:r>
      <w:proofErr w:type="spellEnd"/>
      <w:r w:rsidRPr="005E6166">
        <w:rPr>
          <w:b/>
          <w:bCs/>
        </w:rPr>
        <w:t xml:space="preserve">, P. J. </w:t>
      </w:r>
      <w:proofErr w:type="spellStart"/>
      <w:r w:rsidRPr="005E6166">
        <w:rPr>
          <w:b/>
          <w:bCs/>
        </w:rPr>
        <w:t>and</w:t>
      </w:r>
      <w:proofErr w:type="spellEnd"/>
      <w:r w:rsidRPr="005E6166">
        <w:rPr>
          <w:b/>
          <w:bCs/>
        </w:rPr>
        <w:t xml:space="preserve"> </w:t>
      </w:r>
      <w:proofErr w:type="spellStart"/>
      <w:r w:rsidRPr="005E6166">
        <w:rPr>
          <w:b/>
          <w:bCs/>
        </w:rPr>
        <w:t>Häusser</w:t>
      </w:r>
      <w:proofErr w:type="spellEnd"/>
      <w:r w:rsidRPr="005E6166">
        <w:rPr>
          <w:b/>
          <w:bCs/>
        </w:rPr>
        <w:t>, M.</w:t>
      </w:r>
      <w:r w:rsidRPr="005E6166">
        <w:t xml:space="preserve"> (2009). </w:t>
      </w:r>
      <w:r w:rsidRPr="00953CD4">
        <w:rPr>
          <w:lang w:val="en-GB"/>
        </w:rPr>
        <w:t xml:space="preserve">Traveling waves in developing cerebellar cortex mediated by asymmetrical Purkinje cell connectivity. </w:t>
      </w:r>
      <w:r w:rsidRPr="005E6166">
        <w:rPr>
          <w:i/>
          <w:iCs/>
        </w:rPr>
        <w:t xml:space="preserve">Nat. </w:t>
      </w:r>
      <w:proofErr w:type="spellStart"/>
      <w:r w:rsidRPr="005E6166">
        <w:rPr>
          <w:i/>
          <w:iCs/>
        </w:rPr>
        <w:t>Neurosci</w:t>
      </w:r>
      <w:proofErr w:type="spellEnd"/>
      <w:r w:rsidRPr="005E6166">
        <w:rPr>
          <w:i/>
          <w:iCs/>
        </w:rPr>
        <w:t>.</w:t>
      </w:r>
      <w:r w:rsidRPr="005E6166">
        <w:t xml:space="preserve"> </w:t>
      </w:r>
      <w:r w:rsidRPr="005E6166">
        <w:rPr>
          <w:b/>
          <w:bCs/>
        </w:rPr>
        <w:t>12</w:t>
      </w:r>
      <w:r w:rsidRPr="005E6166">
        <w:t>, 463–473.</w:t>
      </w:r>
    </w:p>
    <w:p w:rsidR="003704F2" w:rsidRPr="00953CD4" w:rsidRDefault="003704F2" w:rsidP="001D3E43">
      <w:pPr>
        <w:pStyle w:val="Literaturverzeichnis1"/>
        <w:rPr>
          <w:lang w:val="en-GB"/>
        </w:rPr>
      </w:pPr>
      <w:r w:rsidRPr="005E6166">
        <w:rPr>
          <w:b/>
          <w:bCs/>
        </w:rPr>
        <w:t xml:space="preserve">Weisheit, G., </w:t>
      </w:r>
      <w:proofErr w:type="spellStart"/>
      <w:r w:rsidRPr="005E6166">
        <w:rPr>
          <w:b/>
          <w:bCs/>
        </w:rPr>
        <w:t>Gliem</w:t>
      </w:r>
      <w:proofErr w:type="spellEnd"/>
      <w:r w:rsidRPr="005E6166">
        <w:rPr>
          <w:b/>
          <w:bCs/>
        </w:rPr>
        <w:t xml:space="preserve">, M., </w:t>
      </w:r>
      <w:proofErr w:type="spellStart"/>
      <w:r w:rsidRPr="005E6166">
        <w:rPr>
          <w:b/>
          <w:bCs/>
        </w:rPr>
        <w:t>Endl</w:t>
      </w:r>
      <w:proofErr w:type="spellEnd"/>
      <w:r w:rsidRPr="005E6166">
        <w:rPr>
          <w:b/>
          <w:bCs/>
        </w:rPr>
        <w:t xml:space="preserve">, E., Pfeffer, P. L., </w:t>
      </w:r>
      <w:proofErr w:type="spellStart"/>
      <w:r w:rsidRPr="005E6166">
        <w:rPr>
          <w:b/>
          <w:bCs/>
        </w:rPr>
        <w:t>Busslinger</w:t>
      </w:r>
      <w:proofErr w:type="spellEnd"/>
      <w:r w:rsidRPr="005E6166">
        <w:rPr>
          <w:b/>
          <w:bCs/>
        </w:rPr>
        <w:t xml:space="preserve">, M. </w:t>
      </w:r>
      <w:proofErr w:type="spellStart"/>
      <w:r w:rsidRPr="005E6166">
        <w:rPr>
          <w:b/>
          <w:bCs/>
        </w:rPr>
        <w:t>and</w:t>
      </w:r>
      <w:proofErr w:type="spellEnd"/>
      <w:r w:rsidRPr="005E6166">
        <w:rPr>
          <w:b/>
          <w:bCs/>
        </w:rPr>
        <w:t xml:space="preserve"> Schilling, K.</w:t>
      </w:r>
      <w:r w:rsidRPr="005E6166">
        <w:t xml:space="preserve"> (2006). </w:t>
      </w:r>
      <w:r w:rsidRPr="00953CD4">
        <w:rPr>
          <w:lang w:val="en-GB"/>
        </w:rPr>
        <w:t xml:space="preserve">Postnatal development of the murine cerebellar cortex: formation and early dispersal of basket, stellate and Golgi neurons. </w:t>
      </w:r>
      <w:r w:rsidRPr="00953CD4">
        <w:rPr>
          <w:i/>
          <w:iCs/>
          <w:lang w:val="en-GB"/>
        </w:rPr>
        <w:t xml:space="preserve">Eur. J. </w:t>
      </w:r>
      <w:proofErr w:type="spellStart"/>
      <w:r w:rsidRPr="00953CD4">
        <w:rPr>
          <w:i/>
          <w:iCs/>
          <w:lang w:val="en-GB"/>
        </w:rPr>
        <w:t>Neurosci</w:t>
      </w:r>
      <w:proofErr w:type="spellEnd"/>
      <w:r w:rsidRPr="00953CD4">
        <w:rPr>
          <w:i/>
          <w:iCs/>
          <w:lang w:val="en-GB"/>
        </w:rPr>
        <w:t>.</w:t>
      </w:r>
      <w:r w:rsidRPr="00953CD4">
        <w:rPr>
          <w:lang w:val="en-GB"/>
        </w:rPr>
        <w:t xml:space="preserve"> </w:t>
      </w:r>
      <w:r w:rsidRPr="00953CD4">
        <w:rPr>
          <w:b/>
          <w:bCs/>
          <w:lang w:val="en-GB"/>
        </w:rPr>
        <w:t>24</w:t>
      </w:r>
      <w:r w:rsidRPr="00953CD4">
        <w:rPr>
          <w:lang w:val="en-GB"/>
        </w:rPr>
        <w:t>, 466–478.</w:t>
      </w:r>
    </w:p>
    <w:p w:rsidR="003704F2" w:rsidRPr="00953CD4" w:rsidRDefault="003704F2" w:rsidP="001D3E43">
      <w:pPr>
        <w:pStyle w:val="Literaturverzeichnis1"/>
        <w:rPr>
          <w:lang w:val="en-GB"/>
        </w:rPr>
      </w:pPr>
      <w:proofErr w:type="spellStart"/>
      <w:proofErr w:type="gramStart"/>
      <w:r w:rsidRPr="00953CD4">
        <w:rPr>
          <w:b/>
          <w:bCs/>
          <w:lang w:val="en-GB"/>
        </w:rPr>
        <w:t>Xiong</w:t>
      </w:r>
      <w:proofErr w:type="spellEnd"/>
      <w:r w:rsidRPr="00953CD4">
        <w:rPr>
          <w:b/>
          <w:bCs/>
          <w:lang w:val="en-GB"/>
        </w:rPr>
        <w:t xml:space="preserve">, Y., Huang, C.-H., Iglesias, P. A. and </w:t>
      </w:r>
      <w:proofErr w:type="spellStart"/>
      <w:r w:rsidRPr="00953CD4">
        <w:rPr>
          <w:b/>
          <w:bCs/>
          <w:lang w:val="en-GB"/>
        </w:rPr>
        <w:t>Devreotes</w:t>
      </w:r>
      <w:proofErr w:type="spellEnd"/>
      <w:r w:rsidRPr="00953CD4">
        <w:rPr>
          <w:b/>
          <w:bCs/>
          <w:lang w:val="en-GB"/>
        </w:rPr>
        <w:t>, P. N.</w:t>
      </w:r>
      <w:r w:rsidRPr="00953CD4">
        <w:rPr>
          <w:lang w:val="en-GB"/>
        </w:rPr>
        <w:t xml:space="preserve"> (2010).</w:t>
      </w:r>
      <w:proofErr w:type="gramEnd"/>
      <w:r w:rsidRPr="00953CD4">
        <w:rPr>
          <w:lang w:val="en-GB"/>
        </w:rPr>
        <w:t xml:space="preserve"> Cells navigate with a local-excitation, global-inhibition-biased excitable network. </w:t>
      </w:r>
      <w:r w:rsidRPr="00953CD4">
        <w:rPr>
          <w:i/>
          <w:iCs/>
          <w:lang w:val="en-GB"/>
        </w:rPr>
        <w:t>Proc. Natl. Acad. Sci. U. S. A.</w:t>
      </w:r>
      <w:r w:rsidRPr="00953CD4">
        <w:rPr>
          <w:lang w:val="en-GB"/>
        </w:rPr>
        <w:t xml:space="preserve"> </w:t>
      </w:r>
      <w:r w:rsidRPr="00953CD4">
        <w:rPr>
          <w:b/>
          <w:bCs/>
          <w:lang w:val="en-GB"/>
        </w:rPr>
        <w:t>107</w:t>
      </w:r>
      <w:r w:rsidRPr="00953CD4">
        <w:rPr>
          <w:lang w:val="en-GB"/>
        </w:rPr>
        <w:t>, 17079–17086.</w:t>
      </w:r>
    </w:p>
    <w:p w:rsidR="003704F2" w:rsidRPr="00953CD4" w:rsidRDefault="003704F2" w:rsidP="001D3E43">
      <w:pPr>
        <w:pStyle w:val="Literaturverzeichnis1"/>
        <w:rPr>
          <w:lang w:val="en-GB"/>
        </w:rPr>
      </w:pPr>
      <w:proofErr w:type="gramStart"/>
      <w:r w:rsidRPr="00953CD4">
        <w:rPr>
          <w:b/>
          <w:bCs/>
          <w:lang w:val="en-GB"/>
        </w:rPr>
        <w:t>Zhang, L. and Goldman, J. E.</w:t>
      </w:r>
      <w:r w:rsidRPr="00953CD4">
        <w:rPr>
          <w:lang w:val="en-GB"/>
        </w:rPr>
        <w:t xml:space="preserve"> (1996).</w:t>
      </w:r>
      <w:proofErr w:type="gramEnd"/>
      <w:r w:rsidRPr="00953CD4">
        <w:rPr>
          <w:lang w:val="en-GB"/>
        </w:rPr>
        <w:t xml:space="preserve"> </w:t>
      </w:r>
      <w:proofErr w:type="gramStart"/>
      <w:r w:rsidRPr="00953CD4">
        <w:rPr>
          <w:lang w:val="en-GB"/>
        </w:rPr>
        <w:t>Generation of Cerebellar Interneurons from Dividing Progenitors in White Matter.</w:t>
      </w:r>
      <w:proofErr w:type="gramEnd"/>
      <w:r w:rsidRPr="00953CD4">
        <w:rPr>
          <w:lang w:val="en-GB"/>
        </w:rPr>
        <w:t xml:space="preserve"> </w:t>
      </w:r>
      <w:r w:rsidRPr="00953CD4">
        <w:rPr>
          <w:i/>
          <w:iCs/>
          <w:lang w:val="en-GB"/>
        </w:rPr>
        <w:t>Neuron</w:t>
      </w:r>
      <w:r w:rsidRPr="00953CD4">
        <w:rPr>
          <w:lang w:val="en-GB"/>
        </w:rPr>
        <w:t xml:space="preserve"> </w:t>
      </w:r>
      <w:r w:rsidRPr="00953CD4">
        <w:rPr>
          <w:b/>
          <w:bCs/>
          <w:lang w:val="en-GB"/>
        </w:rPr>
        <w:t>16</w:t>
      </w:r>
      <w:r w:rsidRPr="00953CD4">
        <w:rPr>
          <w:lang w:val="en-GB"/>
        </w:rPr>
        <w:t>, 47–54.</w:t>
      </w:r>
    </w:p>
    <w:p w:rsidR="003704F2" w:rsidRPr="00953CD4" w:rsidRDefault="003704F2" w:rsidP="003C1E5A">
      <w:pPr>
        <w:pStyle w:val="Literaturverzeichnis1"/>
        <w:spacing w:after="120"/>
        <w:ind w:left="284" w:hanging="284"/>
        <w:rPr>
          <w:b/>
          <w:bCs/>
          <w:sz w:val="28"/>
          <w:szCs w:val="28"/>
          <w:lang w:val="en-GB"/>
        </w:rPr>
      </w:pPr>
    </w:p>
    <w:p w:rsidR="00EB4177" w:rsidRPr="00953CD4" w:rsidRDefault="003704F2" w:rsidP="00DB6EAC">
      <w:pPr>
        <w:pStyle w:val="Paragraph"/>
        <w:spacing w:before="0" w:line="480" w:lineRule="auto"/>
        <w:ind w:firstLine="0"/>
        <w:jc w:val="both"/>
        <w:rPr>
          <w:b/>
          <w:bCs/>
          <w:sz w:val="28"/>
          <w:szCs w:val="28"/>
          <w:lang w:val="en-GB"/>
        </w:rPr>
      </w:pPr>
      <w:r w:rsidRPr="00953CD4">
        <w:rPr>
          <w:lang w:val="en-GB"/>
        </w:rPr>
        <w:br w:type="page"/>
      </w:r>
      <w:r w:rsidR="00CD6E8E" w:rsidRPr="00953CD4">
        <w:rPr>
          <w:b/>
          <w:bCs/>
          <w:sz w:val="28"/>
          <w:szCs w:val="28"/>
          <w:lang w:val="en-GB"/>
        </w:rPr>
        <w:t>FIGURE LEGENDS</w:t>
      </w:r>
    </w:p>
    <w:p w:rsidR="003704F2" w:rsidRPr="00953CD4" w:rsidRDefault="003704F2" w:rsidP="00DB6EAC">
      <w:pPr>
        <w:spacing w:line="360" w:lineRule="auto"/>
        <w:jc w:val="both"/>
        <w:rPr>
          <w:lang w:val="en-GB"/>
        </w:rPr>
      </w:pPr>
    </w:p>
    <w:p w:rsidR="003704F2" w:rsidRPr="00953CD4" w:rsidRDefault="00E735B0" w:rsidP="00DB6EAC">
      <w:pPr>
        <w:pStyle w:val="Paragraph"/>
        <w:spacing w:before="0" w:line="360" w:lineRule="auto"/>
        <w:ind w:firstLine="0"/>
        <w:jc w:val="both"/>
        <w:rPr>
          <w:iCs/>
          <w:lang w:val="en-GB"/>
        </w:rPr>
      </w:pPr>
      <w:r w:rsidRPr="00953CD4">
        <w:rPr>
          <w:b/>
          <w:bCs/>
          <w:lang w:val="en-GB"/>
        </w:rPr>
        <w:t>Fig.</w:t>
      </w:r>
      <w:r w:rsidR="003704F2" w:rsidRPr="00953CD4">
        <w:rPr>
          <w:b/>
          <w:bCs/>
          <w:lang w:val="en-GB"/>
        </w:rPr>
        <w:t xml:space="preserve"> 1: </w:t>
      </w:r>
      <w:r w:rsidR="003704F2" w:rsidRPr="00953CD4">
        <w:rPr>
          <w:b/>
          <w:bCs/>
          <w:iCs/>
          <w:lang w:val="en-GB"/>
        </w:rPr>
        <w:t>Morphology and migratory patterns of Pax2-cells.</w:t>
      </w:r>
      <w:r w:rsidR="003704F2" w:rsidRPr="00953CD4">
        <w:rPr>
          <w:iCs/>
          <w:lang w:val="en-GB"/>
        </w:rPr>
        <w:t xml:space="preserve"> (</w:t>
      </w:r>
      <w:r w:rsidR="00AF53D7" w:rsidRPr="00953CD4">
        <w:rPr>
          <w:bCs/>
          <w:iCs/>
          <w:lang w:val="en-GB"/>
        </w:rPr>
        <w:t>A</w:t>
      </w:r>
      <w:r w:rsidR="003704F2" w:rsidRPr="00953CD4">
        <w:rPr>
          <w:iCs/>
          <w:lang w:val="en-GB"/>
        </w:rPr>
        <w:t xml:space="preserve">) A Pax2-cell (p8) migrating through the IGL. Yellow curve: actual migratory path (length, 22.6 µm) reconstructed from 3D-images taken every ~42 s, and based on the cell's </w:t>
      </w:r>
      <w:r w:rsidR="00CD5396" w:rsidRPr="00953CD4">
        <w:rPr>
          <w:iCs/>
          <w:lang w:val="en-GB"/>
        </w:rPr>
        <w:t>centre</w:t>
      </w:r>
      <w:r w:rsidR="003704F2" w:rsidRPr="00953CD4">
        <w:rPr>
          <w:iCs/>
          <w:lang w:val="en-GB"/>
        </w:rPr>
        <w:t xml:space="preserve"> of mass (blue dots). Green arrow: displacement of the same cell (18.5 </w:t>
      </w:r>
      <w:proofErr w:type="spellStart"/>
      <w:r w:rsidR="003704F2" w:rsidRPr="00953CD4">
        <w:rPr>
          <w:iCs/>
          <w:lang w:val="en-GB"/>
        </w:rPr>
        <w:t>μm</w:t>
      </w:r>
      <w:proofErr w:type="spellEnd"/>
      <w:r w:rsidR="003704F2" w:rsidRPr="00953CD4">
        <w:rPr>
          <w:iCs/>
          <w:lang w:val="en-GB"/>
        </w:rPr>
        <w:t xml:space="preserve">). White dots: </w:t>
      </w:r>
      <w:r w:rsidR="00CD5396" w:rsidRPr="00953CD4">
        <w:rPr>
          <w:iCs/>
          <w:lang w:val="en-GB"/>
        </w:rPr>
        <w:t>centres</w:t>
      </w:r>
      <w:r w:rsidR="003704F2" w:rsidRPr="00953CD4">
        <w:rPr>
          <w:iCs/>
          <w:lang w:val="en-GB"/>
        </w:rPr>
        <w:t xml:space="preserve"> of mass of three Pax2-cells that did not migrate during the observational period. See also Movies 1 and 2. (</w:t>
      </w:r>
      <w:r w:rsidR="00AF53D7" w:rsidRPr="00953CD4">
        <w:rPr>
          <w:bCs/>
          <w:iCs/>
          <w:lang w:val="en-GB"/>
        </w:rPr>
        <w:t>B</w:t>
      </w:r>
      <w:r w:rsidR="003704F2" w:rsidRPr="00953CD4">
        <w:rPr>
          <w:iCs/>
          <w:lang w:val="en-GB"/>
        </w:rPr>
        <w:t>) Migrating Pax2-cell. Single confocal plane, optical thickness 4.5 µm. (</w:t>
      </w:r>
      <w:r w:rsidR="00AF53D7" w:rsidRPr="00953CD4">
        <w:rPr>
          <w:bCs/>
          <w:iCs/>
          <w:lang w:val="en-GB"/>
        </w:rPr>
        <w:t>C</w:t>
      </w:r>
      <w:r w:rsidR="003704F2" w:rsidRPr="00953CD4">
        <w:rPr>
          <w:iCs/>
          <w:lang w:val="en-GB"/>
        </w:rPr>
        <w:t xml:space="preserve">) Pseudo-3D plots of a fast (red, left) and a slowly (blue, right) migrating Pax2-cell. Complete 3D stacks were recorded every ~42 s over 4 h. Each point gives the coordinates of the </w:t>
      </w:r>
      <w:r w:rsidR="00CD5396" w:rsidRPr="00953CD4">
        <w:rPr>
          <w:iCs/>
          <w:lang w:val="en-GB"/>
        </w:rPr>
        <w:t>centre</w:t>
      </w:r>
      <w:r w:rsidR="003704F2" w:rsidRPr="00953CD4">
        <w:rPr>
          <w:iCs/>
          <w:lang w:val="en-GB"/>
        </w:rPr>
        <w:t xml:space="preserve"> of mass over consecutive time points. (</w:t>
      </w:r>
      <w:r w:rsidR="00AF53D7" w:rsidRPr="00953CD4">
        <w:rPr>
          <w:bCs/>
          <w:iCs/>
          <w:lang w:val="en-GB"/>
        </w:rPr>
        <w:t>C</w:t>
      </w:r>
      <w:r w:rsidR="003704F2" w:rsidRPr="00953CD4">
        <w:rPr>
          <w:bCs/>
          <w:iCs/>
          <w:lang w:val="en-GB"/>
        </w:rPr>
        <w:t>’</w:t>
      </w:r>
      <w:r w:rsidR="003704F2" w:rsidRPr="00953CD4">
        <w:rPr>
          <w:iCs/>
          <w:lang w:val="en-GB"/>
        </w:rPr>
        <w:t xml:space="preserve">) Temporal variability of acute speed for the trajectories shown in </w:t>
      </w:r>
      <w:r w:rsidR="00AF53D7" w:rsidRPr="00953CD4">
        <w:rPr>
          <w:bCs/>
          <w:iCs/>
          <w:lang w:val="en-GB"/>
        </w:rPr>
        <w:t>C</w:t>
      </w:r>
      <w:r w:rsidR="003704F2" w:rsidRPr="00953CD4">
        <w:rPr>
          <w:iCs/>
          <w:lang w:val="en-GB"/>
        </w:rPr>
        <w:t>. (</w:t>
      </w:r>
      <w:r w:rsidR="00AF53D7" w:rsidRPr="00953CD4">
        <w:rPr>
          <w:bCs/>
          <w:iCs/>
          <w:lang w:val="en-GB"/>
        </w:rPr>
        <w:t>D</w:t>
      </w:r>
      <w:r w:rsidR="003704F2" w:rsidRPr="00953CD4">
        <w:rPr>
          <w:iCs/>
          <w:lang w:val="en-GB"/>
        </w:rPr>
        <w:t>) Summary view of speeds of 304 migrating Pax2-cells, recorded from an acute slice over 30 min in ~42 s intervals. Each color-coded rectangle represents the speed of individual cells at the indicated time points. Cells with comparable motility are arranged next to each other.</w:t>
      </w:r>
    </w:p>
    <w:p w:rsidR="006224E5" w:rsidRPr="00953CD4" w:rsidRDefault="006224E5" w:rsidP="00DB6EAC">
      <w:pPr>
        <w:pStyle w:val="Paragraph"/>
        <w:spacing w:before="0" w:line="360" w:lineRule="auto"/>
        <w:ind w:firstLine="0"/>
        <w:jc w:val="both"/>
        <w:rPr>
          <w:iCs/>
          <w:lang w:val="en-GB"/>
        </w:rPr>
      </w:pPr>
    </w:p>
    <w:p w:rsidR="006224E5" w:rsidRPr="00953CD4" w:rsidRDefault="00E735B0" w:rsidP="00DB6EAC">
      <w:pPr>
        <w:pStyle w:val="Paragraph"/>
        <w:spacing w:before="0" w:line="360" w:lineRule="auto"/>
        <w:ind w:firstLine="0"/>
        <w:jc w:val="both"/>
        <w:rPr>
          <w:iCs/>
          <w:lang w:val="en-GB"/>
        </w:rPr>
      </w:pPr>
      <w:r w:rsidRPr="00953CD4">
        <w:rPr>
          <w:b/>
          <w:bCs/>
          <w:lang w:val="en-GB"/>
        </w:rPr>
        <w:t>Fig.</w:t>
      </w:r>
      <w:r w:rsidR="006224E5" w:rsidRPr="00953CD4">
        <w:rPr>
          <w:b/>
          <w:bCs/>
          <w:lang w:val="en-GB"/>
        </w:rPr>
        <w:t xml:space="preserve"> 2: </w:t>
      </w:r>
      <w:r w:rsidR="006224E5" w:rsidRPr="00953CD4">
        <w:rPr>
          <w:b/>
          <w:bCs/>
          <w:iCs/>
          <w:lang w:val="en-GB"/>
        </w:rPr>
        <w:t xml:space="preserve">Morphological characteristics of Pax2-cells. </w:t>
      </w:r>
      <w:r w:rsidR="006224E5" w:rsidRPr="00953CD4">
        <w:rPr>
          <w:iCs/>
          <w:lang w:val="en-GB"/>
        </w:rPr>
        <w:t>(</w:t>
      </w:r>
      <w:r w:rsidR="006224E5" w:rsidRPr="00953CD4">
        <w:rPr>
          <w:bCs/>
          <w:iCs/>
          <w:lang w:val="en-GB"/>
        </w:rPr>
        <w:t>A</w:t>
      </w:r>
      <w:r w:rsidR="006224E5" w:rsidRPr="00953CD4">
        <w:rPr>
          <w:iCs/>
          <w:lang w:val="en-GB"/>
        </w:rPr>
        <w:t xml:space="preserve">) Separate colour channels are shown for the Pax2-EGFP (left) and calbindin 28K signal (right) of </w:t>
      </w:r>
      <w:r w:rsidR="005E46DA" w:rsidRPr="00953CD4">
        <w:rPr>
          <w:u w:color="0070C0"/>
          <w:lang w:val="en-GB"/>
        </w:rPr>
        <w:t>Fig</w:t>
      </w:r>
      <w:r w:rsidR="006224E5" w:rsidRPr="00953CD4">
        <w:rPr>
          <w:iCs/>
          <w:lang w:val="en-GB"/>
        </w:rPr>
        <w:t>. 4</w:t>
      </w:r>
      <w:r w:rsidR="006224E5" w:rsidRPr="00953CD4">
        <w:rPr>
          <w:bCs/>
          <w:iCs/>
          <w:lang w:val="en-GB"/>
        </w:rPr>
        <w:t>A'</w:t>
      </w:r>
      <w:r w:rsidR="006224E5" w:rsidRPr="00953CD4">
        <w:rPr>
          <w:iCs/>
          <w:lang w:val="en-GB"/>
        </w:rPr>
        <w:t>. (</w:t>
      </w:r>
      <w:r w:rsidR="006224E5" w:rsidRPr="00953CD4">
        <w:rPr>
          <w:bCs/>
          <w:iCs/>
          <w:lang w:val="en-GB"/>
        </w:rPr>
        <w:t>B</w:t>
      </w:r>
      <w:r w:rsidR="006224E5" w:rsidRPr="00953CD4">
        <w:rPr>
          <w:iCs/>
          <w:lang w:val="en-GB"/>
        </w:rPr>
        <w:t xml:space="preserve">) Depicted are morphological characteristics used to identify migratory </w:t>
      </w:r>
      <w:r w:rsidR="0055473E" w:rsidRPr="00953CD4">
        <w:rPr>
          <w:iCs/>
          <w:lang w:val="en-GB"/>
        </w:rPr>
        <w:t>Pax2-cell</w:t>
      </w:r>
      <w:r w:rsidR="006224E5" w:rsidRPr="00953CD4">
        <w:rPr>
          <w:iCs/>
          <w:lang w:val="en-GB"/>
        </w:rPr>
        <w:t xml:space="preserve">s </w:t>
      </w:r>
      <w:proofErr w:type="spellStart"/>
      <w:r w:rsidR="006224E5" w:rsidRPr="00953CD4">
        <w:rPr>
          <w:iCs/>
          <w:lang w:val="en-GB"/>
        </w:rPr>
        <w:t>en</w:t>
      </w:r>
      <w:proofErr w:type="spellEnd"/>
      <w:r w:rsidR="006224E5" w:rsidRPr="00953CD4">
        <w:rPr>
          <w:iCs/>
          <w:lang w:val="en-GB"/>
        </w:rPr>
        <w:t xml:space="preserve"> route to the molecular layer. These are maximum intensity projections of 60 optical sections through a volume of 375 * 375 * 21 µm</w:t>
      </w:r>
      <w:r w:rsidR="006224E5" w:rsidRPr="00953CD4">
        <w:rPr>
          <w:iCs/>
          <w:vertAlign w:val="superscript"/>
          <w:lang w:val="en-GB"/>
        </w:rPr>
        <w:t>3</w:t>
      </w:r>
      <w:r w:rsidR="006224E5" w:rsidRPr="00953CD4">
        <w:rPr>
          <w:iCs/>
          <w:lang w:val="en-GB"/>
        </w:rPr>
        <w:t xml:space="preserve"> of the nascent cerebellar cortex (p8; lobule 5; position equivalent to the boxed area in </w:t>
      </w:r>
      <w:r w:rsidR="005E46DA" w:rsidRPr="00953CD4">
        <w:rPr>
          <w:u w:color="0070C0"/>
          <w:lang w:val="en-GB"/>
        </w:rPr>
        <w:t>Fig</w:t>
      </w:r>
      <w:r w:rsidR="006224E5" w:rsidRPr="00953CD4">
        <w:rPr>
          <w:iCs/>
          <w:lang w:val="en-GB"/>
        </w:rPr>
        <w:t xml:space="preserve">. 4A). Exemplary cells identified as (resident) inhibitory interneurons of the granule cell layer are marked by yellow (vertical) arrowheads. Examples of cells in transit to and through the molecular layer are pointed out by red (horizontal) arrowheads. This initial identification based on morphology was corroborated by actual observation of the mobility, or immobility, of these cells as well as by electrophysiology (see main text). The position of the Purkinje cell layer is indicated by blue stars (based on nuclear counterstaining). Note that cells in transit to and through the molecular layer show strong EGFP expression. Strongly EGFP-positive cells can also be seen at the border between the external granule cell layer (EGL) and the nascent molecular layer (ML), where newly arrived Pax2-cells initially accumulate. In contrast, more mature inhibitory interneurons in the lower parts of the ML show only a very week (dim </w:t>
      </w:r>
      <w:r w:rsidR="00CD5396" w:rsidRPr="00953CD4">
        <w:rPr>
          <w:iCs/>
          <w:lang w:val="en-GB"/>
        </w:rPr>
        <w:t>grey</w:t>
      </w:r>
      <w:r w:rsidR="006224E5" w:rsidRPr="00953CD4">
        <w:rPr>
          <w:iCs/>
          <w:lang w:val="en-GB"/>
        </w:rPr>
        <w:t>) residual EGFP signal. The EGL may be used as a reference for the EGFP-related background signal. The right hand panel shows nuclear counterstaining (</w:t>
      </w:r>
      <w:proofErr w:type="spellStart"/>
      <w:r w:rsidR="006224E5" w:rsidRPr="00953CD4">
        <w:rPr>
          <w:iCs/>
          <w:lang w:val="en-GB"/>
        </w:rPr>
        <w:t>propidium</w:t>
      </w:r>
      <w:proofErr w:type="spellEnd"/>
      <w:r w:rsidR="006224E5" w:rsidRPr="00953CD4">
        <w:rPr>
          <w:iCs/>
          <w:lang w:val="en-GB"/>
        </w:rPr>
        <w:t xml:space="preserve"> iodide) to document overall cell density and to facilitate identification of cerebellar cortical layers. The region shown corresponds to the left margin of the left hand panel.</w:t>
      </w:r>
    </w:p>
    <w:p w:rsidR="0012277E" w:rsidRPr="00953CD4" w:rsidRDefault="0012277E" w:rsidP="00DB6EAC">
      <w:pPr>
        <w:spacing w:line="360" w:lineRule="auto"/>
        <w:jc w:val="both"/>
        <w:rPr>
          <w:lang w:val="en-GB"/>
        </w:rPr>
      </w:pPr>
    </w:p>
    <w:p w:rsidR="003704F2" w:rsidRPr="00953CD4" w:rsidRDefault="00E735B0" w:rsidP="00DB6EAC">
      <w:pPr>
        <w:spacing w:line="360" w:lineRule="auto"/>
        <w:jc w:val="both"/>
        <w:rPr>
          <w:iCs/>
          <w:lang w:val="en-GB"/>
        </w:rPr>
      </w:pPr>
      <w:r w:rsidRPr="00953CD4">
        <w:rPr>
          <w:b/>
          <w:bCs/>
          <w:lang w:val="en-GB"/>
        </w:rPr>
        <w:t>Fig.</w:t>
      </w:r>
      <w:r w:rsidR="00C75F8A" w:rsidRPr="00953CD4">
        <w:rPr>
          <w:b/>
          <w:bCs/>
          <w:lang w:val="en-GB"/>
        </w:rPr>
        <w:t> 3</w:t>
      </w:r>
      <w:r w:rsidR="003704F2" w:rsidRPr="00953CD4">
        <w:rPr>
          <w:b/>
          <w:bCs/>
          <w:lang w:val="en-GB"/>
        </w:rPr>
        <w:t>:</w:t>
      </w:r>
      <w:r w:rsidR="003704F2" w:rsidRPr="00953CD4">
        <w:rPr>
          <w:lang w:val="en-GB"/>
        </w:rPr>
        <w:t xml:space="preserve"> </w:t>
      </w:r>
      <w:r w:rsidR="003704F2" w:rsidRPr="00953CD4">
        <w:rPr>
          <w:b/>
          <w:bCs/>
          <w:iCs/>
          <w:lang w:val="en-GB"/>
        </w:rPr>
        <w:t>Pax2-cells receive GABAergic and glutamatergic synaptic input.</w:t>
      </w:r>
      <w:r w:rsidR="0012277E" w:rsidRPr="00953CD4">
        <w:rPr>
          <w:b/>
          <w:bCs/>
          <w:iCs/>
          <w:lang w:val="en-GB"/>
        </w:rPr>
        <w:t xml:space="preserve"> </w:t>
      </w:r>
      <w:r w:rsidR="003704F2" w:rsidRPr="00953CD4">
        <w:rPr>
          <w:iCs/>
          <w:lang w:val="en-GB"/>
        </w:rPr>
        <w:t>(</w:t>
      </w:r>
      <w:r w:rsidR="00AF53D7" w:rsidRPr="00953CD4">
        <w:rPr>
          <w:bCs/>
          <w:iCs/>
          <w:lang w:val="en-GB"/>
        </w:rPr>
        <w:t>A</w:t>
      </w:r>
      <w:r w:rsidR="003704F2" w:rsidRPr="00953CD4">
        <w:rPr>
          <w:iCs/>
          <w:lang w:val="en-GB"/>
        </w:rPr>
        <w:t>) Whole-cell current pattern of a Pax2-cell (voltage steps from −70 mV to −160 – +20 mV, 10 mV increment, 50 ms duration, inset), indicating activation of voltage-gated K</w:t>
      </w:r>
      <w:r w:rsidR="003704F2" w:rsidRPr="00953CD4">
        <w:rPr>
          <w:iCs/>
          <w:color w:val="0070C0"/>
          <w:vertAlign w:val="superscript"/>
          <w:lang w:val="en-GB"/>
        </w:rPr>
        <w:t>+</w:t>
      </w:r>
      <w:r w:rsidR="003704F2" w:rsidRPr="00953CD4">
        <w:rPr>
          <w:iCs/>
          <w:lang w:val="en-GB"/>
        </w:rPr>
        <w:t xml:space="preserve"> and Na</w:t>
      </w:r>
      <w:r w:rsidR="003704F2" w:rsidRPr="00953CD4">
        <w:rPr>
          <w:iCs/>
          <w:color w:val="0070C0"/>
          <w:vertAlign w:val="superscript"/>
          <w:lang w:val="en-GB"/>
        </w:rPr>
        <w:t>+</w:t>
      </w:r>
      <w:r w:rsidR="003704F2" w:rsidRPr="00953CD4">
        <w:rPr>
          <w:iCs/>
          <w:lang w:val="en-GB"/>
        </w:rPr>
        <w:t xml:space="preserve"> channels</w:t>
      </w:r>
      <w:r w:rsidR="00AD4997" w:rsidRPr="00953CD4">
        <w:rPr>
          <w:iCs/>
          <w:lang w:val="en-GB"/>
        </w:rPr>
        <w:t xml:space="preserve"> </w:t>
      </w:r>
      <w:r w:rsidR="00AD4997" w:rsidRPr="00953CD4">
        <w:rPr>
          <w:iCs/>
          <w:color w:val="FF0000"/>
          <w:lang w:val="en-GB"/>
        </w:rPr>
        <w:t>(n = 176 cells analysed)</w:t>
      </w:r>
      <w:r w:rsidR="003704F2" w:rsidRPr="00953CD4">
        <w:rPr>
          <w:iCs/>
          <w:lang w:val="en-GB"/>
        </w:rPr>
        <w:t xml:space="preserve">. See also </w:t>
      </w:r>
      <w:r w:rsidR="005E46DA" w:rsidRPr="00953CD4">
        <w:rPr>
          <w:u w:color="0070C0"/>
          <w:lang w:val="en-GB"/>
        </w:rPr>
        <w:t>Fig</w:t>
      </w:r>
      <w:r w:rsidR="002D3873" w:rsidRPr="00953CD4">
        <w:rPr>
          <w:iCs/>
          <w:lang w:val="en-GB"/>
        </w:rPr>
        <w:t>. </w:t>
      </w:r>
      <w:r w:rsidR="003704F2" w:rsidRPr="00953CD4">
        <w:rPr>
          <w:iCs/>
          <w:lang w:val="en-GB"/>
        </w:rPr>
        <w:t>S1. (</w:t>
      </w:r>
      <w:r w:rsidR="00AF53D7" w:rsidRPr="00953CD4">
        <w:rPr>
          <w:bCs/>
          <w:iCs/>
          <w:lang w:val="en-GB"/>
        </w:rPr>
        <w:t>B</w:t>
      </w:r>
      <w:r w:rsidR="003704F2" w:rsidRPr="00953CD4">
        <w:rPr>
          <w:iCs/>
          <w:lang w:val="en-GB"/>
        </w:rPr>
        <w:t>) Pax2-cells fire spikelets upon current injection. Cells pre-hyperpolarized to −70 mV were injected for 50 ms with up to 72 </w:t>
      </w:r>
      <w:proofErr w:type="gramStart"/>
      <w:r w:rsidR="003704F2" w:rsidRPr="00953CD4">
        <w:rPr>
          <w:iCs/>
          <w:lang w:val="en-GB"/>
        </w:rPr>
        <w:t>pA</w:t>
      </w:r>
      <w:proofErr w:type="gramEnd"/>
      <w:r w:rsidR="003704F2" w:rsidRPr="00953CD4">
        <w:rPr>
          <w:iCs/>
          <w:lang w:val="en-GB"/>
        </w:rPr>
        <w:t>, in 8 pA increments (inset: current protocol). The histogram at the left gives the frequency of spikelet peak-voltages for a total of 25 cells</w:t>
      </w:r>
      <w:r w:rsidR="00E84482" w:rsidRPr="00953CD4">
        <w:rPr>
          <w:iCs/>
          <w:color w:val="0070C0"/>
          <w:lang w:val="en-GB"/>
        </w:rPr>
        <w:t xml:space="preserve"> </w:t>
      </w:r>
      <w:r w:rsidR="00E84482" w:rsidRPr="00953CD4">
        <w:rPr>
          <w:iCs/>
          <w:color w:val="FF0000"/>
          <w:lang w:val="en-GB"/>
        </w:rPr>
        <w:t>analysed</w:t>
      </w:r>
      <w:r w:rsidR="003704F2" w:rsidRPr="00953CD4">
        <w:rPr>
          <w:iCs/>
          <w:color w:val="FF0000"/>
          <w:lang w:val="en-GB"/>
        </w:rPr>
        <w:t>.</w:t>
      </w:r>
      <w:r w:rsidR="003704F2" w:rsidRPr="00953CD4">
        <w:rPr>
          <w:iCs/>
          <w:lang w:val="en-GB"/>
        </w:rPr>
        <w:t xml:space="preserve"> (</w:t>
      </w:r>
      <w:r w:rsidR="00AF53D7" w:rsidRPr="00953CD4">
        <w:rPr>
          <w:bCs/>
          <w:iCs/>
          <w:lang w:val="en-GB"/>
        </w:rPr>
        <w:t>C</w:t>
      </w:r>
      <w:r w:rsidR="003704F2" w:rsidRPr="00953CD4">
        <w:rPr>
          <w:iCs/>
          <w:lang w:val="en-GB"/>
        </w:rPr>
        <w:t>) Inward currents induced by GABA (100 μM; holding potential –70 mV; top</w:t>
      </w:r>
      <w:r w:rsidR="00FA2B28" w:rsidRPr="00953CD4">
        <w:rPr>
          <w:iCs/>
          <w:color w:val="0070C0"/>
          <w:lang w:val="en-GB"/>
        </w:rPr>
        <w:t xml:space="preserve">; </w:t>
      </w:r>
      <w:r w:rsidR="00FA2B28" w:rsidRPr="00953CD4">
        <w:rPr>
          <w:iCs/>
          <w:color w:val="FF0000"/>
          <w:lang w:val="en-GB"/>
        </w:rPr>
        <w:t xml:space="preserve">n = 14 cells analysed plus n = 13 with application of </w:t>
      </w:r>
      <w:r w:rsidR="005B34E5" w:rsidRPr="00953CD4">
        <w:rPr>
          <w:iCs/>
          <w:color w:val="FF0000"/>
          <w:lang w:val="en-GB"/>
        </w:rPr>
        <w:t>the GABA</w:t>
      </w:r>
      <w:r w:rsidR="005B34E5" w:rsidRPr="00953CD4">
        <w:rPr>
          <w:iCs/>
          <w:color w:val="FF0000"/>
          <w:vertAlign w:val="subscript"/>
          <w:lang w:val="en-GB"/>
        </w:rPr>
        <w:t>A</w:t>
      </w:r>
      <w:r w:rsidR="005B34E5" w:rsidRPr="00953CD4">
        <w:rPr>
          <w:iCs/>
          <w:color w:val="FF0000"/>
          <w:lang w:val="en-GB"/>
        </w:rPr>
        <w:t>-</w:t>
      </w:r>
      <w:r w:rsidR="00C0637E" w:rsidRPr="00953CD4">
        <w:rPr>
          <w:iCs/>
          <w:color w:val="FF0000"/>
          <w:lang w:val="en-GB"/>
        </w:rPr>
        <w:t>receptor</w:t>
      </w:r>
      <w:r w:rsidR="005B34E5" w:rsidRPr="00953CD4">
        <w:rPr>
          <w:iCs/>
          <w:color w:val="FF0000"/>
          <w:lang w:val="en-GB"/>
        </w:rPr>
        <w:t xml:space="preserve"> agonist </w:t>
      </w:r>
      <w:r w:rsidR="00FA2B28" w:rsidRPr="00953CD4">
        <w:rPr>
          <w:iCs/>
          <w:color w:val="FF0000"/>
          <w:lang w:val="en-GB"/>
        </w:rPr>
        <w:t>muscimol</w:t>
      </w:r>
      <w:r w:rsidR="003704F2" w:rsidRPr="00953CD4">
        <w:rPr>
          <w:iCs/>
          <w:color w:val="FF0000"/>
          <w:lang w:val="en-GB"/>
        </w:rPr>
        <w:t>)</w:t>
      </w:r>
      <w:r w:rsidR="003704F2" w:rsidRPr="00953CD4">
        <w:rPr>
          <w:iCs/>
          <w:lang w:val="en-GB"/>
        </w:rPr>
        <w:t xml:space="preserve"> were blocked by bicuculline (100 μM, bottom</w:t>
      </w:r>
      <w:r w:rsidR="00FA2B28" w:rsidRPr="00953CD4">
        <w:rPr>
          <w:iCs/>
          <w:color w:val="0070C0"/>
          <w:lang w:val="en-GB"/>
        </w:rPr>
        <w:t xml:space="preserve">; </w:t>
      </w:r>
      <w:r w:rsidR="00631DA0" w:rsidRPr="00953CD4">
        <w:rPr>
          <w:iCs/>
          <w:color w:val="FF0000"/>
          <w:lang w:val="en-GB"/>
        </w:rPr>
        <w:t>n = 4 cells each analysed with GABA and muscimol</w:t>
      </w:r>
      <w:r w:rsidR="003704F2" w:rsidRPr="00953CD4">
        <w:rPr>
          <w:iCs/>
          <w:color w:val="FF0000"/>
          <w:lang w:val="en-GB"/>
        </w:rPr>
        <w:t>).</w:t>
      </w:r>
      <w:r w:rsidR="003704F2" w:rsidRPr="00953CD4">
        <w:rPr>
          <w:iCs/>
          <w:lang w:val="en-GB"/>
        </w:rPr>
        <w:t xml:space="preserve"> (</w:t>
      </w:r>
      <w:r w:rsidR="00AF53D7" w:rsidRPr="00953CD4">
        <w:rPr>
          <w:bCs/>
          <w:iCs/>
          <w:lang w:val="en-GB"/>
        </w:rPr>
        <w:t>D</w:t>
      </w:r>
      <w:r w:rsidR="003704F2" w:rsidRPr="00953CD4">
        <w:rPr>
          <w:iCs/>
          <w:lang w:val="en-GB"/>
        </w:rPr>
        <w:t>) 300 μM KA induced an inward current at −70 mV (top</w:t>
      </w:r>
      <w:r w:rsidR="00546AC2" w:rsidRPr="00953CD4">
        <w:rPr>
          <w:iCs/>
          <w:color w:val="0070C0"/>
          <w:lang w:val="en-GB"/>
        </w:rPr>
        <w:t xml:space="preserve">; </w:t>
      </w:r>
      <w:r w:rsidR="00546AC2" w:rsidRPr="00953CD4">
        <w:rPr>
          <w:iCs/>
          <w:color w:val="FF0000"/>
          <w:lang w:val="en-GB"/>
        </w:rPr>
        <w:t>n = 14 cells analysed</w:t>
      </w:r>
      <w:r w:rsidR="003704F2" w:rsidRPr="00953CD4">
        <w:rPr>
          <w:iCs/>
          <w:lang w:val="en-GB"/>
        </w:rPr>
        <w:t>) that could be blocked with NBQX (10 μM, bottom</w:t>
      </w:r>
      <w:r w:rsidR="00546AC2" w:rsidRPr="00953CD4">
        <w:rPr>
          <w:iCs/>
          <w:color w:val="0070C0"/>
          <w:lang w:val="en-GB"/>
        </w:rPr>
        <w:t xml:space="preserve">; </w:t>
      </w:r>
      <w:r w:rsidR="00546AC2" w:rsidRPr="00953CD4">
        <w:rPr>
          <w:iCs/>
          <w:color w:val="FF0000"/>
          <w:lang w:val="en-GB"/>
        </w:rPr>
        <w:t>n = 8 cells analysed</w:t>
      </w:r>
      <w:r w:rsidR="003704F2" w:rsidRPr="00953CD4">
        <w:rPr>
          <w:iCs/>
          <w:lang w:val="en-GB"/>
        </w:rPr>
        <w:t xml:space="preserve">). See also </w:t>
      </w:r>
      <w:r w:rsidR="005E46DA" w:rsidRPr="00953CD4">
        <w:rPr>
          <w:u w:color="0070C0"/>
          <w:lang w:val="en-GB"/>
        </w:rPr>
        <w:t>Fig</w:t>
      </w:r>
      <w:r w:rsidR="002D3873" w:rsidRPr="00953CD4">
        <w:rPr>
          <w:iCs/>
          <w:lang w:val="en-GB"/>
        </w:rPr>
        <w:t>. </w:t>
      </w:r>
      <w:r w:rsidR="003704F2" w:rsidRPr="00953CD4">
        <w:rPr>
          <w:iCs/>
          <w:lang w:val="en-GB"/>
        </w:rPr>
        <w:t>S2.</w:t>
      </w:r>
      <w:r w:rsidR="000E7445" w:rsidRPr="00953CD4">
        <w:rPr>
          <w:iCs/>
          <w:lang w:val="en-GB"/>
        </w:rPr>
        <w:t xml:space="preserve"> </w:t>
      </w:r>
      <w:r w:rsidR="003704F2" w:rsidRPr="00953CD4">
        <w:rPr>
          <w:iCs/>
          <w:lang w:val="en-GB"/>
        </w:rPr>
        <w:t>(</w:t>
      </w:r>
      <w:r w:rsidR="00AF53D7" w:rsidRPr="00953CD4">
        <w:rPr>
          <w:bCs/>
          <w:iCs/>
          <w:lang w:val="en-GB"/>
        </w:rPr>
        <w:t>E</w:t>
      </w:r>
      <w:r w:rsidR="003704F2" w:rsidRPr="00953CD4">
        <w:rPr>
          <w:bCs/>
          <w:iCs/>
          <w:lang w:val="en-GB"/>
        </w:rPr>
        <w:t>–</w:t>
      </w:r>
      <w:r w:rsidR="00AF53D7" w:rsidRPr="00953CD4">
        <w:rPr>
          <w:bCs/>
          <w:iCs/>
          <w:lang w:val="en-GB"/>
        </w:rPr>
        <w:t>G</w:t>
      </w:r>
      <w:r w:rsidR="003704F2" w:rsidRPr="00953CD4">
        <w:rPr>
          <w:iCs/>
          <w:lang w:val="en-GB"/>
        </w:rPr>
        <w:t xml:space="preserve">) Voltage-clamp recordings from a Pax2-cell in the middle ML held at –80 mV revealed rare sPSCs. Based on their current decay, these could be classified as fast or slow. An individual fast </w:t>
      </w:r>
      <w:proofErr w:type="spellStart"/>
      <w:r w:rsidR="003704F2" w:rsidRPr="00953CD4">
        <w:rPr>
          <w:iCs/>
          <w:lang w:val="en-GB"/>
        </w:rPr>
        <w:t>sPSC</w:t>
      </w:r>
      <w:proofErr w:type="spellEnd"/>
      <w:r w:rsidR="003704F2" w:rsidRPr="00953CD4">
        <w:rPr>
          <w:iCs/>
          <w:lang w:val="en-GB"/>
        </w:rPr>
        <w:t xml:space="preserve"> is shown in panel </w:t>
      </w:r>
      <w:r w:rsidR="00AF53D7" w:rsidRPr="00953CD4">
        <w:rPr>
          <w:bCs/>
          <w:iCs/>
          <w:lang w:val="en-GB"/>
        </w:rPr>
        <w:t>F</w:t>
      </w:r>
      <w:r w:rsidR="003704F2" w:rsidRPr="00953CD4">
        <w:rPr>
          <w:iCs/>
          <w:lang w:val="en-GB"/>
        </w:rPr>
        <w:t xml:space="preserve"> (left; 11 </w:t>
      </w:r>
      <w:proofErr w:type="gramStart"/>
      <w:r w:rsidR="003704F2" w:rsidRPr="00953CD4">
        <w:rPr>
          <w:iCs/>
          <w:lang w:val="en-GB"/>
        </w:rPr>
        <w:t>pA</w:t>
      </w:r>
      <w:proofErr w:type="gramEnd"/>
      <w:r w:rsidR="003704F2" w:rsidRPr="00953CD4">
        <w:rPr>
          <w:iCs/>
          <w:lang w:val="en-GB"/>
        </w:rPr>
        <w:t xml:space="preserve">, rise 0.3 ms, decay 0.6 ms). The right hand trace in panel </w:t>
      </w:r>
      <w:r w:rsidR="00AF53D7" w:rsidRPr="00953CD4">
        <w:rPr>
          <w:bCs/>
          <w:iCs/>
          <w:lang w:val="en-GB"/>
        </w:rPr>
        <w:t>F</w:t>
      </w:r>
      <w:r w:rsidR="003704F2" w:rsidRPr="00953CD4">
        <w:rPr>
          <w:iCs/>
          <w:lang w:val="en-GB"/>
        </w:rPr>
        <w:t xml:space="preserve"> shows averaged fast sPSCs (17 pA, rise 0.7 ms, decay 1.5 ms, n = 4). An individual slow </w:t>
      </w:r>
      <w:proofErr w:type="spellStart"/>
      <w:r w:rsidR="003704F2" w:rsidRPr="00953CD4">
        <w:rPr>
          <w:iCs/>
          <w:lang w:val="en-GB"/>
        </w:rPr>
        <w:t>sPSC</w:t>
      </w:r>
      <w:proofErr w:type="spellEnd"/>
      <w:r w:rsidR="003704F2" w:rsidRPr="00953CD4">
        <w:rPr>
          <w:iCs/>
          <w:lang w:val="en-GB"/>
        </w:rPr>
        <w:t xml:space="preserve"> is shown in panel </w:t>
      </w:r>
      <w:r w:rsidR="00AF53D7" w:rsidRPr="00953CD4">
        <w:rPr>
          <w:bCs/>
          <w:iCs/>
          <w:lang w:val="en-GB"/>
        </w:rPr>
        <w:t>G</w:t>
      </w:r>
      <w:r w:rsidR="003704F2" w:rsidRPr="00953CD4">
        <w:rPr>
          <w:iCs/>
          <w:lang w:val="en-GB"/>
        </w:rPr>
        <w:t xml:space="preserve"> ( left; 23 pA, rise 0.7 ms, decay 19.4 ms), and averaged slow sPSCs are depicted on the right hand side of panel </w:t>
      </w:r>
      <w:r w:rsidR="00AF53D7" w:rsidRPr="00953CD4">
        <w:rPr>
          <w:bCs/>
          <w:iCs/>
          <w:lang w:val="en-GB"/>
        </w:rPr>
        <w:t>G</w:t>
      </w:r>
      <w:r w:rsidR="003704F2" w:rsidRPr="00953CD4">
        <w:rPr>
          <w:iCs/>
          <w:lang w:val="en-GB"/>
        </w:rPr>
        <w:t xml:space="preserve"> (23 pA, rise 0.9 ms, decay 12.1 ms, n = 20). (</w:t>
      </w:r>
      <w:r w:rsidR="00AF53D7" w:rsidRPr="00953CD4">
        <w:rPr>
          <w:bCs/>
          <w:iCs/>
          <w:lang w:val="en-GB"/>
        </w:rPr>
        <w:t>H</w:t>
      </w:r>
      <w:proofErr w:type="gramStart"/>
      <w:r w:rsidR="00F66E0E" w:rsidRPr="00953CD4">
        <w:rPr>
          <w:bCs/>
          <w:iCs/>
          <w:lang w:val="en-GB"/>
        </w:rPr>
        <w:t>,</w:t>
      </w:r>
      <w:r w:rsidR="00AF53D7" w:rsidRPr="00953CD4">
        <w:rPr>
          <w:bCs/>
          <w:iCs/>
          <w:lang w:val="en-GB"/>
        </w:rPr>
        <w:t>I</w:t>
      </w:r>
      <w:proofErr w:type="gramEnd"/>
      <w:r w:rsidR="003704F2" w:rsidRPr="00953CD4">
        <w:rPr>
          <w:iCs/>
          <w:lang w:val="en-GB"/>
        </w:rPr>
        <w:t>) 10 µM bicuculline blocked slowly decaying, but not fast sPSCs. (</w:t>
      </w:r>
      <w:proofErr w:type="spellStart"/>
      <w:r w:rsidR="003704F2" w:rsidRPr="00953CD4">
        <w:rPr>
          <w:bCs/>
          <w:iCs/>
          <w:lang w:val="en-GB"/>
        </w:rPr>
        <w:t>i</w:t>
      </w:r>
      <w:proofErr w:type="spellEnd"/>
      <w:r w:rsidR="003704F2" w:rsidRPr="00953CD4">
        <w:rPr>
          <w:iCs/>
          <w:lang w:val="en-GB"/>
        </w:rPr>
        <w:t xml:space="preserve">, left: individual </w:t>
      </w:r>
      <w:proofErr w:type="spellStart"/>
      <w:r w:rsidR="003704F2" w:rsidRPr="00953CD4">
        <w:rPr>
          <w:iCs/>
          <w:lang w:val="en-GB"/>
        </w:rPr>
        <w:t>sPSC</w:t>
      </w:r>
      <w:proofErr w:type="spellEnd"/>
      <w:r w:rsidR="003704F2" w:rsidRPr="00953CD4">
        <w:rPr>
          <w:iCs/>
          <w:lang w:val="en-GB"/>
        </w:rPr>
        <w:t>, 26 pA, rise 0.6 ms, decay 0.7 ms; right: averaged sPSCs, 23 pA, rise 0.6 ms, decay 1.4 ms, n = 9)</w:t>
      </w:r>
      <w:r w:rsidR="00041773" w:rsidRPr="00953CD4">
        <w:rPr>
          <w:iCs/>
          <w:lang w:val="en-GB"/>
        </w:rPr>
        <w:t>.</w:t>
      </w:r>
      <w:r w:rsidR="003704F2" w:rsidRPr="00953CD4">
        <w:rPr>
          <w:iCs/>
          <w:lang w:val="en-GB"/>
        </w:rPr>
        <w:t xml:space="preserve"> (</w:t>
      </w:r>
      <w:r w:rsidR="00AF53D7" w:rsidRPr="00953CD4">
        <w:rPr>
          <w:bCs/>
          <w:iCs/>
          <w:lang w:val="en-GB"/>
        </w:rPr>
        <w:t>J</w:t>
      </w:r>
      <w:r w:rsidR="003704F2" w:rsidRPr="00953CD4">
        <w:rPr>
          <w:iCs/>
          <w:lang w:val="en-GB"/>
        </w:rPr>
        <w:t>) 50 μM DL-APV and 10 μM NBQX inhibited the rapidly decaying sPSCs.</w:t>
      </w:r>
      <w:r w:rsidR="000E7445" w:rsidRPr="00953CD4">
        <w:rPr>
          <w:iCs/>
          <w:lang w:val="en-GB"/>
        </w:rPr>
        <w:t xml:space="preserve"> </w:t>
      </w:r>
      <w:r w:rsidR="003704F2" w:rsidRPr="00953CD4">
        <w:rPr>
          <w:iCs/>
          <w:lang w:val="en-GB"/>
        </w:rPr>
        <w:t>(</w:t>
      </w:r>
      <w:r w:rsidR="00AF53D7" w:rsidRPr="00953CD4">
        <w:rPr>
          <w:bCs/>
          <w:iCs/>
          <w:lang w:val="en-GB"/>
        </w:rPr>
        <w:t>K</w:t>
      </w:r>
      <w:r w:rsidR="003704F2" w:rsidRPr="00953CD4">
        <w:rPr>
          <w:iCs/>
          <w:lang w:val="en-GB"/>
        </w:rPr>
        <w:t>) Histograms of decay times for fast (top; n = 490 from 43 cells) and slow sPSCs (bottom; n = 1915 from 31 cells).</w:t>
      </w:r>
      <w:r w:rsidR="000E7445" w:rsidRPr="00953CD4">
        <w:rPr>
          <w:iCs/>
          <w:lang w:val="en-GB"/>
        </w:rPr>
        <w:t xml:space="preserve"> </w:t>
      </w:r>
      <w:r w:rsidR="003704F2" w:rsidRPr="00953CD4">
        <w:rPr>
          <w:iCs/>
          <w:lang w:val="en-GB"/>
        </w:rPr>
        <w:t>(</w:t>
      </w:r>
      <w:r w:rsidR="00AF53D7" w:rsidRPr="00953CD4">
        <w:rPr>
          <w:bCs/>
          <w:iCs/>
          <w:lang w:val="en-GB"/>
        </w:rPr>
        <w:t>L</w:t>
      </w:r>
      <w:r w:rsidR="003704F2" w:rsidRPr="00953CD4">
        <w:rPr>
          <w:bCs/>
          <w:iCs/>
          <w:lang w:val="en-GB"/>
        </w:rPr>
        <w:t>–</w:t>
      </w:r>
      <w:r w:rsidR="00AF53D7" w:rsidRPr="00953CD4">
        <w:rPr>
          <w:bCs/>
          <w:iCs/>
          <w:lang w:val="en-GB"/>
        </w:rPr>
        <w:t>N</w:t>
      </w:r>
      <w:r w:rsidR="003704F2" w:rsidRPr="00953CD4">
        <w:rPr>
          <w:iCs/>
          <w:lang w:val="en-GB"/>
        </w:rPr>
        <w:t xml:space="preserve">) Recordings from </w:t>
      </w:r>
      <w:r w:rsidR="00EA711A" w:rsidRPr="00953CD4">
        <w:rPr>
          <w:iCs/>
          <w:color w:val="FF0000"/>
          <w:lang w:val="en-GB"/>
        </w:rPr>
        <w:t>a</w:t>
      </w:r>
      <w:r w:rsidR="00EA711A" w:rsidRPr="00953CD4">
        <w:rPr>
          <w:iCs/>
          <w:color w:val="0070C0"/>
          <w:lang w:val="en-GB"/>
        </w:rPr>
        <w:t xml:space="preserve"> </w:t>
      </w:r>
      <w:r w:rsidR="003704F2" w:rsidRPr="00953CD4">
        <w:rPr>
          <w:iCs/>
          <w:lang w:val="en-GB"/>
        </w:rPr>
        <w:t>cell that had been observed to migrate immediately prior to analysis</w:t>
      </w:r>
      <w:r w:rsidR="00672173" w:rsidRPr="00953CD4">
        <w:rPr>
          <w:iCs/>
          <w:lang w:val="en-GB"/>
        </w:rPr>
        <w:t xml:space="preserve"> </w:t>
      </w:r>
      <w:r w:rsidR="00672173" w:rsidRPr="00953CD4">
        <w:rPr>
          <w:iCs/>
          <w:color w:val="FF0000"/>
          <w:lang w:val="en-GB"/>
        </w:rPr>
        <w:t>(</w:t>
      </w:r>
      <w:r w:rsidR="009C68B8" w:rsidRPr="00953CD4">
        <w:rPr>
          <w:iCs/>
          <w:color w:val="FF0000"/>
          <w:lang w:val="en-GB"/>
        </w:rPr>
        <w:t xml:space="preserve">n = 32 cortical and n = 3 Pax2-cells in WM analysed for postsynaptic currents after proven migration; </w:t>
      </w:r>
      <w:r w:rsidR="00672173" w:rsidRPr="00953CD4">
        <w:rPr>
          <w:iCs/>
          <w:color w:val="FF0000"/>
          <w:lang w:val="en-GB"/>
        </w:rPr>
        <w:t>n = 3 cells analysed</w:t>
      </w:r>
      <w:r w:rsidR="00700277" w:rsidRPr="00953CD4">
        <w:rPr>
          <w:iCs/>
          <w:color w:val="FF0000"/>
          <w:lang w:val="en-GB"/>
        </w:rPr>
        <w:t xml:space="preserve"> in cortex plus n = 3 cells in WM</w:t>
      </w:r>
      <w:r w:rsidR="00C0637E" w:rsidRPr="00953CD4">
        <w:rPr>
          <w:iCs/>
          <w:color w:val="FF0000"/>
          <w:lang w:val="en-GB"/>
        </w:rPr>
        <w:t xml:space="preserve"> with TTX and ionomycin</w:t>
      </w:r>
      <w:r w:rsidR="00672173" w:rsidRPr="00953CD4">
        <w:rPr>
          <w:iCs/>
          <w:color w:val="FF0000"/>
          <w:lang w:val="en-GB"/>
        </w:rPr>
        <w:t>)</w:t>
      </w:r>
      <w:r w:rsidR="003704F2" w:rsidRPr="00953CD4">
        <w:rPr>
          <w:iCs/>
          <w:color w:val="FF0000"/>
          <w:lang w:val="en-GB"/>
        </w:rPr>
        <w:t>.</w:t>
      </w:r>
      <w:r w:rsidR="003704F2" w:rsidRPr="00953CD4">
        <w:rPr>
          <w:iCs/>
          <w:lang w:val="en-GB"/>
        </w:rPr>
        <w:t xml:space="preserve"> (</w:t>
      </w:r>
      <w:r w:rsidR="00AF53D7" w:rsidRPr="00953CD4">
        <w:rPr>
          <w:bCs/>
          <w:iCs/>
          <w:lang w:val="en-GB"/>
        </w:rPr>
        <w:t>L</w:t>
      </w:r>
      <w:r w:rsidR="003704F2" w:rsidRPr="00953CD4">
        <w:rPr>
          <w:iCs/>
          <w:lang w:val="en-GB"/>
        </w:rPr>
        <w:t xml:space="preserve">) Voltage-clamp (−80 mV) recordings in ACSF (top trace). 1 µM TTX isolated </w:t>
      </w:r>
      <w:proofErr w:type="spellStart"/>
      <w:r w:rsidR="003704F2" w:rsidRPr="00953CD4">
        <w:rPr>
          <w:iCs/>
          <w:lang w:val="en-GB"/>
        </w:rPr>
        <w:t>mPSCs</w:t>
      </w:r>
      <w:proofErr w:type="spellEnd"/>
      <w:r w:rsidR="003704F2" w:rsidRPr="00953CD4">
        <w:rPr>
          <w:iCs/>
          <w:lang w:val="en-GB"/>
        </w:rPr>
        <w:t xml:space="preserve"> (middle trace), the frequency of which was strongly increased by 3 μM ionomycin (lower trace). (</w:t>
      </w:r>
      <w:r w:rsidR="00AF53D7" w:rsidRPr="00953CD4">
        <w:rPr>
          <w:bCs/>
          <w:iCs/>
          <w:lang w:val="en-GB"/>
        </w:rPr>
        <w:t>M</w:t>
      </w:r>
      <w:r w:rsidR="003704F2" w:rsidRPr="00953CD4">
        <w:rPr>
          <w:iCs/>
          <w:lang w:val="en-GB"/>
        </w:rPr>
        <w:t xml:space="preserve">) Averaged fast (left, 13 pA, rise 0.5 ms, decay 2.6 ms, n = 72) and slow (right, 6 pA, rise 1.6 ms, decay 17 ms, n = 22) </w:t>
      </w:r>
      <w:proofErr w:type="spellStart"/>
      <w:r w:rsidR="003704F2" w:rsidRPr="00953CD4">
        <w:rPr>
          <w:iCs/>
          <w:lang w:val="en-GB"/>
        </w:rPr>
        <w:t>mPSCs</w:t>
      </w:r>
      <w:proofErr w:type="spellEnd"/>
      <w:r w:rsidR="003704F2" w:rsidRPr="00953CD4">
        <w:rPr>
          <w:iCs/>
          <w:lang w:val="en-GB"/>
        </w:rPr>
        <w:t xml:space="preserve"> recorded in ionomycin. (</w:t>
      </w:r>
      <w:r w:rsidR="00AF53D7" w:rsidRPr="00953CD4">
        <w:rPr>
          <w:bCs/>
          <w:iCs/>
          <w:lang w:val="en-GB"/>
        </w:rPr>
        <w:t>N</w:t>
      </w:r>
      <w:r w:rsidR="003704F2" w:rsidRPr="00953CD4">
        <w:rPr>
          <w:iCs/>
          <w:lang w:val="en-GB"/>
        </w:rPr>
        <w:t xml:space="preserve">) Cumulative probability density of </w:t>
      </w:r>
      <w:proofErr w:type="spellStart"/>
      <w:r w:rsidR="003704F2" w:rsidRPr="00953CD4">
        <w:rPr>
          <w:iCs/>
          <w:lang w:val="en-GB"/>
        </w:rPr>
        <w:t>sPSC</w:t>
      </w:r>
      <w:proofErr w:type="spellEnd"/>
      <w:r w:rsidR="003704F2" w:rsidRPr="00953CD4">
        <w:rPr>
          <w:iCs/>
          <w:lang w:val="en-GB"/>
        </w:rPr>
        <w:t xml:space="preserve">-rates in ACSF (black), in TTX (grey), and with TTX plus ionomycin (red; from traces shown in </w:t>
      </w:r>
      <w:r w:rsidR="00AF53D7" w:rsidRPr="00953CD4">
        <w:rPr>
          <w:bCs/>
          <w:iCs/>
          <w:lang w:val="en-GB"/>
        </w:rPr>
        <w:t>L</w:t>
      </w:r>
      <w:r w:rsidR="003704F2" w:rsidRPr="00953CD4">
        <w:rPr>
          <w:iCs/>
          <w:lang w:val="en-GB"/>
        </w:rPr>
        <w:t xml:space="preserve">). TTX reduced, and </w:t>
      </w:r>
      <w:r w:rsidR="000E7445" w:rsidRPr="00953CD4">
        <w:rPr>
          <w:iCs/>
          <w:lang w:val="en-GB"/>
        </w:rPr>
        <w:t xml:space="preserve">ionomycin increased </w:t>
      </w:r>
      <w:proofErr w:type="spellStart"/>
      <w:r w:rsidR="000E7445" w:rsidRPr="00953CD4">
        <w:rPr>
          <w:iCs/>
          <w:lang w:val="en-GB"/>
        </w:rPr>
        <w:t>sPSC</w:t>
      </w:r>
      <w:proofErr w:type="spellEnd"/>
      <w:r w:rsidR="000E7445" w:rsidRPr="00953CD4">
        <w:rPr>
          <w:iCs/>
          <w:lang w:val="en-GB"/>
        </w:rPr>
        <w:t xml:space="preserve"> rates.</w:t>
      </w:r>
      <w:r w:rsidR="003704F2" w:rsidRPr="00953CD4">
        <w:rPr>
          <w:iCs/>
          <w:lang w:val="en-GB"/>
        </w:rPr>
        <w:t xml:space="preserve"> Scale bars in </w:t>
      </w:r>
      <w:r w:rsidR="00AF53D7" w:rsidRPr="00953CD4">
        <w:rPr>
          <w:bCs/>
          <w:iCs/>
          <w:lang w:val="en-GB"/>
        </w:rPr>
        <w:t>E</w:t>
      </w:r>
      <w:r w:rsidR="003704F2" w:rsidRPr="00953CD4">
        <w:rPr>
          <w:iCs/>
          <w:lang w:val="en-GB"/>
        </w:rPr>
        <w:t xml:space="preserve"> apply also to </w:t>
      </w:r>
      <w:r w:rsidR="00AF53D7" w:rsidRPr="00953CD4">
        <w:rPr>
          <w:bCs/>
          <w:iCs/>
          <w:lang w:val="en-GB"/>
        </w:rPr>
        <w:t>H</w:t>
      </w:r>
      <w:proofErr w:type="gramStart"/>
      <w:r w:rsidR="00166D7D" w:rsidRPr="00953CD4">
        <w:rPr>
          <w:bCs/>
          <w:iCs/>
          <w:lang w:val="en-GB"/>
        </w:rPr>
        <w:t>,</w:t>
      </w:r>
      <w:r w:rsidR="00AF53D7" w:rsidRPr="00953CD4">
        <w:rPr>
          <w:bCs/>
          <w:iCs/>
          <w:lang w:val="en-GB"/>
        </w:rPr>
        <w:t>J</w:t>
      </w:r>
      <w:proofErr w:type="gramEnd"/>
      <w:r w:rsidR="003704F2" w:rsidRPr="00953CD4">
        <w:rPr>
          <w:iCs/>
          <w:lang w:val="en-GB"/>
        </w:rPr>
        <w:t xml:space="preserve">; those in </w:t>
      </w:r>
      <w:r w:rsidR="00AF53D7" w:rsidRPr="00953CD4">
        <w:rPr>
          <w:bCs/>
          <w:iCs/>
          <w:lang w:val="en-GB"/>
        </w:rPr>
        <w:t>G</w:t>
      </w:r>
      <w:r w:rsidR="003704F2" w:rsidRPr="00953CD4">
        <w:rPr>
          <w:iCs/>
          <w:lang w:val="en-GB"/>
        </w:rPr>
        <w:t xml:space="preserve"> also to </w:t>
      </w:r>
      <w:r w:rsidR="00AF53D7" w:rsidRPr="00953CD4">
        <w:rPr>
          <w:bCs/>
          <w:iCs/>
          <w:lang w:val="en-GB"/>
        </w:rPr>
        <w:t>F</w:t>
      </w:r>
      <w:r w:rsidR="003704F2" w:rsidRPr="00953CD4">
        <w:rPr>
          <w:iCs/>
          <w:lang w:val="en-GB"/>
        </w:rPr>
        <w:t>,</w:t>
      </w:r>
      <w:r w:rsidR="00AF53D7" w:rsidRPr="00953CD4">
        <w:rPr>
          <w:bCs/>
          <w:iCs/>
          <w:lang w:val="en-GB"/>
        </w:rPr>
        <w:t>I</w:t>
      </w:r>
      <w:r w:rsidR="00166D7D" w:rsidRPr="00953CD4">
        <w:rPr>
          <w:iCs/>
          <w:lang w:val="en-GB"/>
        </w:rPr>
        <w:t>,</w:t>
      </w:r>
      <w:r w:rsidR="00AF53D7" w:rsidRPr="00953CD4">
        <w:rPr>
          <w:bCs/>
          <w:iCs/>
          <w:lang w:val="en-GB"/>
        </w:rPr>
        <w:t>M</w:t>
      </w:r>
      <w:r w:rsidR="003704F2" w:rsidRPr="00953CD4">
        <w:rPr>
          <w:iCs/>
          <w:lang w:val="en-GB"/>
        </w:rPr>
        <w:t xml:space="preserve">). See also </w:t>
      </w:r>
      <w:r w:rsidR="005E46DA" w:rsidRPr="00953CD4">
        <w:rPr>
          <w:u w:color="0070C0"/>
          <w:lang w:val="en-GB"/>
        </w:rPr>
        <w:t>Fig</w:t>
      </w:r>
      <w:r w:rsidR="002D3873" w:rsidRPr="00953CD4">
        <w:rPr>
          <w:iCs/>
          <w:lang w:val="en-GB"/>
        </w:rPr>
        <w:t>. </w:t>
      </w:r>
      <w:r w:rsidR="003704F2" w:rsidRPr="00953CD4">
        <w:rPr>
          <w:iCs/>
          <w:lang w:val="en-GB"/>
        </w:rPr>
        <w:t>S3.</w:t>
      </w:r>
    </w:p>
    <w:p w:rsidR="0012277E" w:rsidRPr="00953CD4" w:rsidRDefault="0012277E" w:rsidP="00DB6EAC">
      <w:pPr>
        <w:spacing w:line="360" w:lineRule="auto"/>
        <w:jc w:val="both"/>
        <w:rPr>
          <w:lang w:val="en-GB"/>
        </w:rPr>
      </w:pPr>
    </w:p>
    <w:p w:rsidR="003704F2" w:rsidRPr="00953CD4" w:rsidRDefault="00E735B0" w:rsidP="00DB6EAC">
      <w:pPr>
        <w:spacing w:line="360" w:lineRule="auto"/>
        <w:jc w:val="both"/>
        <w:rPr>
          <w:rStyle w:val="ins"/>
          <w:iCs/>
          <w:lang w:val="en-GB"/>
        </w:rPr>
      </w:pPr>
      <w:r w:rsidRPr="00953CD4">
        <w:rPr>
          <w:b/>
          <w:bCs/>
          <w:lang w:val="en-GB"/>
        </w:rPr>
        <w:t>Fig.</w:t>
      </w:r>
      <w:r w:rsidR="00C75F8A" w:rsidRPr="00953CD4">
        <w:rPr>
          <w:b/>
          <w:bCs/>
          <w:lang w:val="en-GB"/>
        </w:rPr>
        <w:t> 4</w:t>
      </w:r>
      <w:r w:rsidR="003704F2" w:rsidRPr="00953CD4">
        <w:rPr>
          <w:b/>
          <w:bCs/>
          <w:lang w:val="en-GB"/>
        </w:rPr>
        <w:t xml:space="preserve">: </w:t>
      </w:r>
      <w:r w:rsidR="003704F2" w:rsidRPr="00953CD4">
        <w:rPr>
          <w:b/>
          <w:bCs/>
          <w:iCs/>
          <w:lang w:val="en-GB"/>
        </w:rPr>
        <w:t>Distribution and density of Pax2-cells and pre-synaptic elements in the nascent cerebellar cortex.</w:t>
      </w:r>
      <w:r w:rsidR="0012277E" w:rsidRPr="00953CD4">
        <w:rPr>
          <w:b/>
          <w:bCs/>
          <w:iCs/>
          <w:lang w:val="en-GB"/>
        </w:rPr>
        <w:t xml:space="preserve"> </w:t>
      </w:r>
      <w:r w:rsidR="003704F2" w:rsidRPr="00953CD4">
        <w:rPr>
          <w:rStyle w:val="ins"/>
          <w:iCs/>
          <w:lang w:val="en-GB"/>
        </w:rPr>
        <w:t>(</w:t>
      </w:r>
      <w:r w:rsidR="00957346" w:rsidRPr="00953CD4">
        <w:rPr>
          <w:rStyle w:val="ins"/>
          <w:bCs/>
          <w:iCs/>
          <w:lang w:val="en-GB"/>
        </w:rPr>
        <w:t>A</w:t>
      </w:r>
      <w:proofErr w:type="gramStart"/>
      <w:r w:rsidR="003704F2" w:rsidRPr="00953CD4">
        <w:rPr>
          <w:rStyle w:val="ins"/>
          <w:bCs/>
          <w:iCs/>
          <w:lang w:val="en-GB"/>
        </w:rPr>
        <w:t>,</w:t>
      </w:r>
      <w:r w:rsidR="00957346" w:rsidRPr="00953CD4">
        <w:rPr>
          <w:rStyle w:val="ins"/>
          <w:bCs/>
          <w:iCs/>
          <w:lang w:val="en-GB"/>
        </w:rPr>
        <w:t>A</w:t>
      </w:r>
      <w:r w:rsidR="003704F2" w:rsidRPr="00953CD4">
        <w:rPr>
          <w:rStyle w:val="ins"/>
          <w:bCs/>
          <w:iCs/>
          <w:lang w:val="en-GB"/>
        </w:rPr>
        <w:t>'</w:t>
      </w:r>
      <w:proofErr w:type="gramEnd"/>
      <w:r w:rsidR="003704F2" w:rsidRPr="00953CD4">
        <w:rPr>
          <w:rStyle w:val="ins"/>
          <w:iCs/>
          <w:lang w:val="en-GB"/>
        </w:rPr>
        <w:t xml:space="preserve">) Parasagittal section through the cerebellar vermis of a p8 animal shows the distribution of EGFP-positive Pax2-cells (green) throughout all layers except the external granule cell layer (EGL). Purkinje cells are stained for calbindin 28K (magenta) and help to delineate the nascent molecular layer (ML) and the Purkinje cell layer (PCL). Deep nuclei (DN) are also magenta due to the presence of Purkinje cell axon terminals, as is the white matter (WM) traversed by Purkinje cell axons. Yellow box symbolizes how panels </w:t>
      </w:r>
      <w:r w:rsidR="00957346" w:rsidRPr="00953CD4">
        <w:rPr>
          <w:rStyle w:val="ins"/>
          <w:bCs/>
          <w:iCs/>
          <w:lang w:val="en-GB"/>
        </w:rPr>
        <w:t>A</w:t>
      </w:r>
      <w:r w:rsidR="003704F2" w:rsidRPr="00953CD4">
        <w:rPr>
          <w:rStyle w:val="ins"/>
          <w:bCs/>
          <w:iCs/>
          <w:lang w:val="en-GB"/>
        </w:rPr>
        <w:t>’</w:t>
      </w:r>
      <w:r w:rsidR="003704F2" w:rsidRPr="00953CD4">
        <w:rPr>
          <w:rStyle w:val="ins"/>
          <w:iCs/>
          <w:lang w:val="en-GB"/>
        </w:rPr>
        <w:t xml:space="preserve"> and </w:t>
      </w:r>
      <w:r w:rsidR="00957346" w:rsidRPr="00953CD4">
        <w:rPr>
          <w:rStyle w:val="ins"/>
          <w:bCs/>
          <w:iCs/>
          <w:lang w:val="en-GB"/>
        </w:rPr>
        <w:t>B</w:t>
      </w:r>
      <w:r w:rsidR="003704F2" w:rsidRPr="00953CD4">
        <w:rPr>
          <w:rStyle w:val="ins"/>
          <w:iCs/>
          <w:lang w:val="en-GB"/>
        </w:rPr>
        <w:t xml:space="preserve"> relate to this overview. Roman numerals indicate cerebellar lobules. (</w:t>
      </w:r>
      <w:r w:rsidR="00957346" w:rsidRPr="00953CD4">
        <w:rPr>
          <w:rStyle w:val="ins"/>
          <w:bCs/>
          <w:iCs/>
          <w:lang w:val="en-GB"/>
        </w:rPr>
        <w:t>A</w:t>
      </w:r>
      <w:r w:rsidR="003704F2" w:rsidRPr="00953CD4">
        <w:rPr>
          <w:rStyle w:val="ins"/>
          <w:bCs/>
          <w:iCs/>
          <w:lang w:val="en-GB"/>
        </w:rPr>
        <w:t>‘</w:t>
      </w:r>
      <w:r w:rsidR="003704F2" w:rsidRPr="00953CD4">
        <w:rPr>
          <w:rStyle w:val="ins"/>
          <w:iCs/>
          <w:lang w:val="en-GB"/>
        </w:rPr>
        <w:t xml:space="preserve">) </w:t>
      </w:r>
      <w:proofErr w:type="gramStart"/>
      <w:r w:rsidR="003704F2" w:rsidRPr="00953CD4">
        <w:rPr>
          <w:rStyle w:val="ins"/>
          <w:iCs/>
          <w:lang w:val="en-GB"/>
        </w:rPr>
        <w:t>Higher magnification focusing on the cerebellar cortex.</w:t>
      </w:r>
      <w:proofErr w:type="gramEnd"/>
      <w:r w:rsidR="003704F2" w:rsidRPr="00953CD4">
        <w:rPr>
          <w:rStyle w:val="ins"/>
          <w:iCs/>
          <w:lang w:val="en-GB"/>
        </w:rPr>
        <w:t xml:space="preserve"> </w:t>
      </w:r>
      <w:proofErr w:type="gramStart"/>
      <w:r w:rsidR="003704F2" w:rsidRPr="00953CD4">
        <w:rPr>
          <w:rStyle w:val="ins"/>
          <w:iCs/>
          <w:lang w:val="en-GB"/>
        </w:rPr>
        <w:t>IGL, internal granule cell layer.</w:t>
      </w:r>
      <w:proofErr w:type="gramEnd"/>
      <w:r w:rsidR="003704F2" w:rsidRPr="00953CD4">
        <w:rPr>
          <w:rStyle w:val="ins"/>
          <w:iCs/>
          <w:lang w:val="en-GB"/>
        </w:rPr>
        <w:t xml:space="preserve"> For separate </w:t>
      </w:r>
      <w:r w:rsidR="00C517DA" w:rsidRPr="00953CD4">
        <w:rPr>
          <w:rStyle w:val="ins"/>
          <w:iCs/>
          <w:lang w:val="en-GB"/>
        </w:rPr>
        <w:t>colour</w:t>
      </w:r>
      <w:r w:rsidR="003704F2" w:rsidRPr="00953CD4">
        <w:rPr>
          <w:rStyle w:val="ins"/>
          <w:iCs/>
          <w:lang w:val="en-GB"/>
        </w:rPr>
        <w:t xml:space="preserve"> channels of this panel, see </w:t>
      </w:r>
      <w:r w:rsidR="005E46DA" w:rsidRPr="00953CD4">
        <w:rPr>
          <w:u w:color="0070C0"/>
          <w:lang w:val="en-GB"/>
        </w:rPr>
        <w:t>Fig</w:t>
      </w:r>
      <w:r w:rsidR="002D3873" w:rsidRPr="00953CD4">
        <w:rPr>
          <w:rStyle w:val="ins"/>
          <w:iCs/>
          <w:lang w:val="en-GB"/>
        </w:rPr>
        <w:t>. </w:t>
      </w:r>
      <w:r w:rsidR="00F66E0E" w:rsidRPr="00953CD4">
        <w:rPr>
          <w:rStyle w:val="ins"/>
          <w:iCs/>
          <w:lang w:val="en-GB"/>
        </w:rPr>
        <w:t>2</w:t>
      </w:r>
      <w:r w:rsidR="00D60CC1" w:rsidRPr="00953CD4">
        <w:rPr>
          <w:rStyle w:val="ins"/>
          <w:bCs/>
          <w:iCs/>
          <w:lang w:val="en-GB"/>
        </w:rPr>
        <w:t>A</w:t>
      </w:r>
      <w:r w:rsidR="003704F2" w:rsidRPr="00953CD4">
        <w:rPr>
          <w:rStyle w:val="ins"/>
          <w:iCs/>
          <w:lang w:val="en-GB"/>
        </w:rPr>
        <w:t>. (</w:t>
      </w:r>
      <w:r w:rsidR="00957346" w:rsidRPr="00953CD4">
        <w:rPr>
          <w:rStyle w:val="ins"/>
          <w:bCs/>
          <w:iCs/>
          <w:lang w:val="en-GB"/>
        </w:rPr>
        <w:t>B</w:t>
      </w:r>
      <w:r w:rsidR="003704F2" w:rsidRPr="00953CD4">
        <w:rPr>
          <w:rStyle w:val="ins"/>
          <w:iCs/>
          <w:lang w:val="en-GB"/>
        </w:rPr>
        <w:t xml:space="preserve">) Staining for synaptic vesicles (synaptophysin, magenta). Boxes indicate areas shown at higher magnification in </w:t>
      </w:r>
      <w:r w:rsidR="00957346" w:rsidRPr="00953CD4">
        <w:rPr>
          <w:rStyle w:val="ins"/>
          <w:bCs/>
          <w:iCs/>
          <w:lang w:val="en-GB"/>
        </w:rPr>
        <w:t>B</w:t>
      </w:r>
      <w:r w:rsidR="003704F2" w:rsidRPr="00953CD4">
        <w:rPr>
          <w:rStyle w:val="ins"/>
          <w:bCs/>
          <w:iCs/>
          <w:lang w:val="en-GB"/>
        </w:rPr>
        <w:t>‘</w:t>
      </w:r>
      <w:r w:rsidR="003704F2" w:rsidRPr="00953CD4">
        <w:rPr>
          <w:rStyle w:val="ins"/>
          <w:iCs/>
          <w:lang w:val="en-GB"/>
        </w:rPr>
        <w:t>. (</w:t>
      </w:r>
      <w:r w:rsidR="00957346" w:rsidRPr="00953CD4">
        <w:rPr>
          <w:rStyle w:val="ins"/>
          <w:bCs/>
          <w:iCs/>
          <w:lang w:val="en-GB"/>
        </w:rPr>
        <w:t>B</w:t>
      </w:r>
      <w:r w:rsidR="003704F2" w:rsidRPr="00953CD4">
        <w:rPr>
          <w:rStyle w:val="ins"/>
          <w:bCs/>
          <w:iCs/>
          <w:lang w:val="en-GB"/>
        </w:rPr>
        <w:t>‘</w:t>
      </w:r>
      <w:r w:rsidR="003704F2" w:rsidRPr="00953CD4">
        <w:rPr>
          <w:rStyle w:val="ins"/>
          <w:iCs/>
          <w:lang w:val="en-GB"/>
        </w:rPr>
        <w:t>) Synaptophysin-positive puncta (examples indicated by arrows) can be found close to Pax2-cells (green) throughout the nascent cerebellar cortex (lobule IX; p8). (</w:t>
      </w:r>
      <w:r w:rsidR="00957346" w:rsidRPr="00953CD4">
        <w:rPr>
          <w:rStyle w:val="ins"/>
          <w:bCs/>
          <w:iCs/>
          <w:lang w:val="en-GB"/>
        </w:rPr>
        <w:t>C</w:t>
      </w:r>
      <w:r w:rsidR="003704F2" w:rsidRPr="00953CD4">
        <w:rPr>
          <w:rStyle w:val="ins"/>
          <w:iCs/>
          <w:lang w:val="en-GB"/>
        </w:rPr>
        <w:t>) Layer specific quantification of synaptophysin positive puncta. Staining density in the nascent ML is consistently higher than in all other layers and the WM (tests: Shapiro-Wilk p &gt; 0.05, ANOVA p = 5.5 10</w:t>
      </w:r>
      <w:r w:rsidR="003704F2" w:rsidRPr="00953CD4">
        <w:rPr>
          <w:rStyle w:val="ins"/>
          <w:iCs/>
          <w:vertAlign w:val="superscript"/>
          <w:lang w:val="en-GB"/>
        </w:rPr>
        <w:t>-5</w:t>
      </w:r>
      <w:r w:rsidR="003704F2" w:rsidRPr="00953CD4">
        <w:rPr>
          <w:rStyle w:val="ins"/>
          <w:iCs/>
          <w:lang w:val="en-GB"/>
        </w:rPr>
        <w:t xml:space="preserve"> followed by Tukey p &lt; 0.001. 4 slices were analy</w:t>
      </w:r>
      <w:r w:rsidR="008D76DD" w:rsidRPr="00953CD4">
        <w:rPr>
          <w:rStyle w:val="ins"/>
          <w:iCs/>
          <w:lang w:val="en-GB"/>
        </w:rPr>
        <w:t>s</w:t>
      </w:r>
      <w:r w:rsidR="003704F2" w:rsidRPr="00953CD4">
        <w:rPr>
          <w:rStyle w:val="ins"/>
          <w:iCs/>
          <w:lang w:val="en-GB"/>
        </w:rPr>
        <w:t>ed). (</w:t>
      </w:r>
      <w:r w:rsidR="00957346" w:rsidRPr="00953CD4">
        <w:rPr>
          <w:rStyle w:val="ins"/>
          <w:bCs/>
          <w:iCs/>
          <w:lang w:val="en-GB"/>
        </w:rPr>
        <w:t>D</w:t>
      </w:r>
      <w:r w:rsidR="003704F2" w:rsidRPr="00953CD4">
        <w:rPr>
          <w:rStyle w:val="ins"/>
          <w:iCs/>
          <w:lang w:val="en-GB"/>
        </w:rPr>
        <w:t xml:space="preserve">) Quantification of synaptophysin positive puncta over a mask defined by Pax2-cells shows how potential synaptic contacts close to Pax2-cells increase from the WM to the ML. Numbers of cells analysed are given in parenthesis (tests: Shapiro-Wilk p &lt; 0.003, </w:t>
      </w:r>
      <w:proofErr w:type="spellStart"/>
      <w:r w:rsidR="003704F2" w:rsidRPr="00953CD4">
        <w:rPr>
          <w:rStyle w:val="ins"/>
          <w:iCs/>
          <w:lang w:val="en-GB"/>
        </w:rPr>
        <w:t>Kruskal</w:t>
      </w:r>
      <w:proofErr w:type="spellEnd"/>
      <w:r w:rsidR="003704F2" w:rsidRPr="00953CD4">
        <w:rPr>
          <w:rStyle w:val="ins"/>
          <w:iCs/>
          <w:lang w:val="en-GB"/>
        </w:rPr>
        <w:t>-Wallis p ~ 10</w:t>
      </w:r>
      <w:r w:rsidR="003704F2" w:rsidRPr="00953CD4">
        <w:rPr>
          <w:rStyle w:val="ins"/>
          <w:iCs/>
          <w:vertAlign w:val="superscript"/>
          <w:lang w:val="en-GB"/>
        </w:rPr>
        <w:t>-30</w:t>
      </w:r>
      <w:r w:rsidR="003704F2" w:rsidRPr="00953CD4">
        <w:rPr>
          <w:rStyle w:val="ins"/>
          <w:iCs/>
          <w:lang w:val="en-GB"/>
        </w:rPr>
        <w:t xml:space="preserve">, followed by </w:t>
      </w:r>
      <w:bookmarkStart w:id="10" w:name="_Hlk465434703"/>
      <w:r w:rsidR="003704F2" w:rsidRPr="00953CD4">
        <w:rPr>
          <w:rStyle w:val="ins"/>
          <w:iCs/>
          <w:lang w:val="en-GB"/>
        </w:rPr>
        <w:t xml:space="preserve">Dunn-Holland-Wolfe </w:t>
      </w:r>
      <w:bookmarkEnd w:id="10"/>
      <w:r w:rsidR="003704F2" w:rsidRPr="00953CD4">
        <w:rPr>
          <w:rStyle w:val="ins"/>
          <w:iCs/>
          <w:lang w:val="en-GB"/>
        </w:rPr>
        <w:t xml:space="preserve">test, p &lt; 0.001, </w:t>
      </w:r>
      <w:r w:rsidR="00A44DAE" w:rsidRPr="00953CD4">
        <w:rPr>
          <w:rStyle w:val="ins"/>
          <w:iCs/>
          <w:color w:val="FF0000"/>
          <w:lang w:val="en-GB"/>
        </w:rPr>
        <w:t>n = </w:t>
      </w:r>
      <w:r w:rsidR="003704F2" w:rsidRPr="00953CD4">
        <w:rPr>
          <w:rStyle w:val="ins"/>
          <w:iCs/>
          <w:color w:val="FF0000"/>
          <w:lang w:val="en-GB"/>
        </w:rPr>
        <w:t>4 slices were analy</w:t>
      </w:r>
      <w:r w:rsidR="008D76DD" w:rsidRPr="00953CD4">
        <w:rPr>
          <w:rStyle w:val="ins"/>
          <w:iCs/>
          <w:color w:val="FF0000"/>
          <w:lang w:val="en-GB"/>
        </w:rPr>
        <w:t>s</w:t>
      </w:r>
      <w:r w:rsidR="003704F2" w:rsidRPr="00953CD4">
        <w:rPr>
          <w:rStyle w:val="ins"/>
          <w:iCs/>
          <w:color w:val="FF0000"/>
          <w:lang w:val="en-GB"/>
        </w:rPr>
        <w:t>ed</w:t>
      </w:r>
      <w:r w:rsidR="003704F2" w:rsidRPr="00953CD4">
        <w:rPr>
          <w:rStyle w:val="ins"/>
          <w:iCs/>
          <w:lang w:val="en-GB"/>
        </w:rPr>
        <w:t>).</w:t>
      </w:r>
    </w:p>
    <w:p w:rsidR="0012277E" w:rsidRPr="00953CD4" w:rsidRDefault="0012277E" w:rsidP="00DB6EAC">
      <w:pPr>
        <w:spacing w:line="360" w:lineRule="auto"/>
        <w:jc w:val="both"/>
        <w:rPr>
          <w:lang w:val="en-GB"/>
        </w:rPr>
      </w:pPr>
    </w:p>
    <w:p w:rsidR="003704F2" w:rsidRPr="00953CD4" w:rsidRDefault="00E735B0" w:rsidP="00DB6EAC">
      <w:pPr>
        <w:pStyle w:val="Paragraph"/>
        <w:spacing w:before="0" w:line="360" w:lineRule="auto"/>
        <w:ind w:firstLine="0"/>
        <w:jc w:val="both"/>
        <w:rPr>
          <w:iCs/>
          <w:lang w:val="en-GB"/>
        </w:rPr>
      </w:pPr>
      <w:r w:rsidRPr="00953CD4">
        <w:rPr>
          <w:b/>
          <w:bCs/>
          <w:lang w:val="en-GB"/>
        </w:rPr>
        <w:t>Fig.</w:t>
      </w:r>
      <w:r w:rsidR="00C75F8A" w:rsidRPr="00953CD4">
        <w:rPr>
          <w:b/>
          <w:bCs/>
          <w:lang w:val="en-GB"/>
        </w:rPr>
        <w:t> 5</w:t>
      </w:r>
      <w:r w:rsidR="003704F2" w:rsidRPr="00953CD4">
        <w:rPr>
          <w:b/>
          <w:bCs/>
          <w:lang w:val="en-GB"/>
        </w:rPr>
        <w:t xml:space="preserve">: </w:t>
      </w:r>
      <w:r w:rsidR="003704F2" w:rsidRPr="00953CD4">
        <w:rPr>
          <w:b/>
          <w:bCs/>
          <w:iCs/>
          <w:lang w:val="en-GB"/>
        </w:rPr>
        <w:t>Ultrastructural details of Pax2-positive cerebellar cells.</w:t>
      </w:r>
      <w:r w:rsidR="0012277E" w:rsidRPr="00953CD4">
        <w:rPr>
          <w:b/>
          <w:bCs/>
          <w:iCs/>
          <w:lang w:val="en-GB"/>
        </w:rPr>
        <w:t xml:space="preserve"> </w:t>
      </w:r>
      <w:r w:rsidR="003704F2" w:rsidRPr="00953CD4">
        <w:rPr>
          <w:iCs/>
          <w:lang w:val="en-GB"/>
        </w:rPr>
        <w:t>(</w:t>
      </w:r>
      <w:r w:rsidR="00957346" w:rsidRPr="00953CD4">
        <w:rPr>
          <w:bCs/>
          <w:iCs/>
          <w:lang w:val="en-GB"/>
        </w:rPr>
        <w:t>A</w:t>
      </w:r>
      <w:r w:rsidR="003704F2" w:rsidRPr="00953CD4">
        <w:rPr>
          <w:iCs/>
          <w:lang w:val="en-GB"/>
        </w:rPr>
        <w:t xml:space="preserve">) Cells immuno-positive for EGFP expressed from the Pax2-locus (termed Pax2-cells, outlined using the blue overlay) surrounded by neuropil characteristic for the molecular layer. A Purkinje cell perikaryon (pink) is nearby, confirming the position of the Pax2-cells in the lower molecular layer. Pax2-cells display several protrusions, and they are contacted by presynaptic elements. Such synapses are shown at higher magnification in </w:t>
      </w:r>
      <w:r w:rsidR="00957346" w:rsidRPr="00953CD4">
        <w:rPr>
          <w:bCs/>
          <w:iCs/>
          <w:lang w:val="en-GB"/>
        </w:rPr>
        <w:t>B</w:t>
      </w:r>
      <w:r w:rsidR="003704F2" w:rsidRPr="00953CD4">
        <w:rPr>
          <w:iCs/>
          <w:lang w:val="en-GB"/>
        </w:rPr>
        <w:t xml:space="preserve"> and </w:t>
      </w:r>
      <w:r w:rsidR="00957346" w:rsidRPr="00953CD4">
        <w:rPr>
          <w:bCs/>
          <w:iCs/>
          <w:lang w:val="en-GB"/>
        </w:rPr>
        <w:t>C</w:t>
      </w:r>
      <w:r w:rsidR="003704F2" w:rsidRPr="00953CD4">
        <w:rPr>
          <w:iCs/>
          <w:lang w:val="en-GB"/>
        </w:rPr>
        <w:t>. (</w:t>
      </w:r>
      <w:r w:rsidR="00957346" w:rsidRPr="00953CD4">
        <w:rPr>
          <w:bCs/>
          <w:iCs/>
          <w:lang w:val="en-GB"/>
        </w:rPr>
        <w:t>B</w:t>
      </w:r>
      <w:r w:rsidR="003704F2" w:rsidRPr="00953CD4">
        <w:rPr>
          <w:iCs/>
          <w:lang w:val="en-GB"/>
        </w:rPr>
        <w:t>) Higher power view of the upper boxed area from panel (</w:t>
      </w:r>
      <w:r w:rsidR="00957346" w:rsidRPr="00953CD4">
        <w:rPr>
          <w:bCs/>
          <w:iCs/>
          <w:lang w:val="en-GB"/>
        </w:rPr>
        <w:t>A</w:t>
      </w:r>
      <w:r w:rsidR="003704F2" w:rsidRPr="00953CD4">
        <w:rPr>
          <w:iCs/>
          <w:lang w:val="en-GB"/>
        </w:rPr>
        <w:t>) shows two presynaptic elements (T1, T2) contacting the Pax2-cell (P1). (</w:t>
      </w:r>
      <w:r w:rsidR="00957346" w:rsidRPr="00953CD4">
        <w:rPr>
          <w:bCs/>
          <w:iCs/>
          <w:lang w:val="en-GB"/>
        </w:rPr>
        <w:t>C</w:t>
      </w:r>
      <w:r w:rsidR="003704F2" w:rsidRPr="00953CD4">
        <w:rPr>
          <w:iCs/>
          <w:lang w:val="en-GB"/>
        </w:rPr>
        <w:t>) Higher power view of the lower boxed area from (</w:t>
      </w:r>
      <w:r w:rsidR="00957346" w:rsidRPr="00953CD4">
        <w:rPr>
          <w:bCs/>
          <w:iCs/>
          <w:lang w:val="en-GB"/>
        </w:rPr>
        <w:t>A</w:t>
      </w:r>
      <w:r w:rsidR="003704F2" w:rsidRPr="00953CD4">
        <w:rPr>
          <w:iCs/>
          <w:lang w:val="en-GB"/>
        </w:rPr>
        <w:t>) shows one broad synapse (T3) contacting the Pax2-cell (P2). Note post-synaptic densities on Pax2-cells (bordered by arrow heads) and clusters of synaptic vesicles in nerve terminals apposing them (asterisks). Arrows indicate peroxidase deposits. Scale bars: 10 µm</w:t>
      </w:r>
      <w:r w:rsidR="00166D7D" w:rsidRPr="00953CD4">
        <w:rPr>
          <w:iCs/>
          <w:lang w:val="en-GB"/>
        </w:rPr>
        <w:t xml:space="preserve"> in</w:t>
      </w:r>
      <w:r w:rsidR="003704F2" w:rsidRPr="00953CD4">
        <w:rPr>
          <w:iCs/>
          <w:lang w:val="en-GB"/>
        </w:rPr>
        <w:t xml:space="preserve"> </w:t>
      </w:r>
      <w:r w:rsidR="00957346" w:rsidRPr="00953CD4">
        <w:rPr>
          <w:bCs/>
          <w:iCs/>
          <w:lang w:val="en-GB"/>
        </w:rPr>
        <w:t>A</w:t>
      </w:r>
      <w:r w:rsidR="003704F2" w:rsidRPr="00953CD4">
        <w:rPr>
          <w:iCs/>
          <w:lang w:val="en-GB"/>
        </w:rPr>
        <w:t>, 0.5 µm</w:t>
      </w:r>
      <w:r w:rsidR="00166D7D" w:rsidRPr="00953CD4">
        <w:rPr>
          <w:iCs/>
          <w:lang w:val="en-GB"/>
        </w:rPr>
        <w:t xml:space="preserve"> in</w:t>
      </w:r>
      <w:r w:rsidR="003704F2" w:rsidRPr="00953CD4">
        <w:rPr>
          <w:iCs/>
          <w:lang w:val="en-GB"/>
        </w:rPr>
        <w:t xml:space="preserve"> </w:t>
      </w:r>
      <w:r w:rsidR="00957346" w:rsidRPr="00953CD4">
        <w:rPr>
          <w:bCs/>
          <w:iCs/>
          <w:lang w:val="en-GB"/>
        </w:rPr>
        <w:t>B</w:t>
      </w:r>
      <w:proofErr w:type="gramStart"/>
      <w:r w:rsidR="003704F2" w:rsidRPr="00953CD4">
        <w:rPr>
          <w:bCs/>
          <w:iCs/>
          <w:lang w:val="en-GB"/>
        </w:rPr>
        <w:t>,</w:t>
      </w:r>
      <w:r w:rsidR="00957346" w:rsidRPr="00953CD4">
        <w:rPr>
          <w:bCs/>
          <w:iCs/>
          <w:lang w:val="en-GB"/>
        </w:rPr>
        <w:t>C</w:t>
      </w:r>
      <w:proofErr w:type="gramEnd"/>
      <w:r w:rsidR="003704F2" w:rsidRPr="00953CD4">
        <w:rPr>
          <w:iCs/>
          <w:lang w:val="en-GB"/>
        </w:rPr>
        <w:t xml:space="preserve">. See also </w:t>
      </w:r>
      <w:r w:rsidR="005E46DA" w:rsidRPr="00953CD4">
        <w:rPr>
          <w:u w:color="0070C0"/>
          <w:lang w:val="en-GB"/>
        </w:rPr>
        <w:t>Fig</w:t>
      </w:r>
      <w:r w:rsidR="002D3873" w:rsidRPr="00953CD4">
        <w:rPr>
          <w:iCs/>
          <w:lang w:val="en-GB"/>
        </w:rPr>
        <w:t>. </w:t>
      </w:r>
      <w:r w:rsidR="00474CB6" w:rsidRPr="00953CD4">
        <w:rPr>
          <w:iCs/>
          <w:lang w:val="en-GB"/>
        </w:rPr>
        <w:t>S4</w:t>
      </w:r>
      <w:r w:rsidR="003704F2" w:rsidRPr="00953CD4">
        <w:rPr>
          <w:iCs/>
          <w:lang w:val="en-GB"/>
        </w:rPr>
        <w:t>.</w:t>
      </w:r>
    </w:p>
    <w:p w:rsidR="003704F2" w:rsidRPr="00953CD4" w:rsidRDefault="003704F2" w:rsidP="00DB6EAC">
      <w:pPr>
        <w:spacing w:line="360" w:lineRule="auto"/>
        <w:jc w:val="both"/>
        <w:rPr>
          <w:lang w:val="en-GB"/>
        </w:rPr>
      </w:pPr>
    </w:p>
    <w:p w:rsidR="003704F2" w:rsidRPr="00953CD4" w:rsidRDefault="00E735B0" w:rsidP="00DB6EAC">
      <w:pPr>
        <w:pStyle w:val="Paragraph"/>
        <w:spacing w:before="0" w:line="360" w:lineRule="auto"/>
        <w:ind w:firstLine="0"/>
        <w:jc w:val="both"/>
        <w:rPr>
          <w:iCs/>
          <w:lang w:val="en-GB"/>
        </w:rPr>
      </w:pPr>
      <w:r w:rsidRPr="00953CD4">
        <w:rPr>
          <w:b/>
          <w:bCs/>
          <w:lang w:val="en-GB"/>
        </w:rPr>
        <w:t>Fig.</w:t>
      </w:r>
      <w:r w:rsidR="00C75F8A" w:rsidRPr="00953CD4">
        <w:rPr>
          <w:b/>
          <w:bCs/>
          <w:lang w:val="en-GB"/>
        </w:rPr>
        <w:t> 6</w:t>
      </w:r>
      <w:r w:rsidR="003704F2" w:rsidRPr="00953CD4">
        <w:rPr>
          <w:b/>
          <w:bCs/>
          <w:lang w:val="en-GB"/>
        </w:rPr>
        <w:t xml:space="preserve">: </w:t>
      </w:r>
      <w:r w:rsidR="003704F2" w:rsidRPr="00953CD4">
        <w:rPr>
          <w:b/>
          <w:bCs/>
          <w:iCs/>
          <w:lang w:val="en-GB"/>
        </w:rPr>
        <w:t>Synaptic innervation directs the migration of Pax2-cells.</w:t>
      </w:r>
      <w:r w:rsidR="0012277E" w:rsidRPr="00953CD4">
        <w:rPr>
          <w:b/>
          <w:bCs/>
          <w:iCs/>
          <w:lang w:val="en-GB"/>
        </w:rPr>
        <w:t xml:space="preserve"> </w:t>
      </w:r>
      <w:r w:rsidR="003704F2" w:rsidRPr="00953CD4">
        <w:rPr>
          <w:iCs/>
          <w:lang w:val="en-GB"/>
        </w:rPr>
        <w:t>Block of pre-synaptic release with tetanus toxin (TeNT) or Co</w:t>
      </w:r>
      <w:r w:rsidR="003704F2" w:rsidRPr="00953CD4">
        <w:rPr>
          <w:iCs/>
          <w:vertAlign w:val="superscript"/>
          <w:lang w:val="en-GB"/>
        </w:rPr>
        <w:t>2+</w:t>
      </w:r>
      <w:r w:rsidR="003704F2" w:rsidRPr="00953CD4">
        <w:rPr>
          <w:iCs/>
          <w:lang w:val="en-GB"/>
        </w:rPr>
        <w:t xml:space="preserve"> consistently and reproducibly reduced cell displacement, directionality and speed. Shown are medians of effect sizes and their bootstrap-based 95% confidence intervals. For each condition, three slices derived from three animals were </w:t>
      </w:r>
      <w:r w:rsidR="00C517DA" w:rsidRPr="00953CD4">
        <w:rPr>
          <w:iCs/>
          <w:lang w:val="en-GB"/>
        </w:rPr>
        <w:t>analysed</w:t>
      </w:r>
      <w:r w:rsidR="003704F2" w:rsidRPr="00953CD4">
        <w:rPr>
          <w:iCs/>
          <w:lang w:val="en-GB"/>
        </w:rPr>
        <w:t>, comprising a total of 882 (TeNT) and 1130 (Co</w:t>
      </w:r>
      <w:r w:rsidR="003704F2" w:rsidRPr="00953CD4">
        <w:rPr>
          <w:iCs/>
          <w:vertAlign w:val="superscript"/>
          <w:lang w:val="en-GB"/>
        </w:rPr>
        <w:t>2+</w:t>
      </w:r>
      <w:r w:rsidR="003704F2" w:rsidRPr="00953CD4">
        <w:rPr>
          <w:iCs/>
          <w:lang w:val="en-GB"/>
        </w:rPr>
        <w:t>) cells, respectively. The sham slice documented was incubated for 2 hours (i.e., as TeNT-incubated slices, but omitting TeNT) in order to identify potential "run-down" effects due to protracted incubation. No such effects could be detected (total of 262 cells). In contrast, bath application of a cocktail of receptor antagonists blocking ionotropic and metabotropic receptors for glutamate and GABA, purines (P2) and also neurotrophin receptors affected migration only moderately and showed high intra- and inter-experimental variability. Data were obtained from six slices of six animals encompassing a total of 2069 cells.</w:t>
      </w:r>
      <w:r w:rsidR="000E7445" w:rsidRPr="00953CD4">
        <w:rPr>
          <w:iCs/>
          <w:lang w:val="en-GB"/>
        </w:rPr>
        <w:t xml:space="preserve"> </w:t>
      </w:r>
      <w:r w:rsidR="003704F2" w:rsidRPr="00953CD4">
        <w:rPr>
          <w:iCs/>
          <w:lang w:val="en-GB"/>
        </w:rPr>
        <w:t xml:space="preserve">Note: Effects are significant if their confidence interval does not include zero (dashed line). The </w:t>
      </w:r>
      <w:r w:rsidR="00C517DA" w:rsidRPr="00953CD4">
        <w:rPr>
          <w:iCs/>
          <w:lang w:val="en-GB"/>
        </w:rPr>
        <w:t>colour</w:t>
      </w:r>
      <w:r w:rsidR="003704F2" w:rsidRPr="00953CD4">
        <w:rPr>
          <w:iCs/>
          <w:lang w:val="en-GB"/>
        </w:rPr>
        <w:t xml:space="preserve"> code indicates whether treatment significantly reduced (green dots), increased (black dots), or did not change (magenta dots) the</w:t>
      </w:r>
      <w:r w:rsidR="00811BF2" w:rsidRPr="00953CD4">
        <w:rPr>
          <w:iCs/>
          <w:lang w:val="en-GB"/>
        </w:rPr>
        <w:t xml:space="preserve"> </w:t>
      </w:r>
      <w:r w:rsidR="003704F2" w:rsidRPr="00953CD4">
        <w:rPr>
          <w:iCs/>
          <w:lang w:val="en-GB"/>
        </w:rPr>
        <w:t xml:space="preserve">parameter </w:t>
      </w:r>
      <w:r w:rsidR="00C517DA" w:rsidRPr="00953CD4">
        <w:rPr>
          <w:iCs/>
          <w:lang w:val="en-GB"/>
        </w:rPr>
        <w:t>analysed</w:t>
      </w:r>
      <w:r w:rsidR="003704F2" w:rsidRPr="00953CD4">
        <w:rPr>
          <w:iCs/>
          <w:lang w:val="en-GB"/>
        </w:rPr>
        <w:t>.</w:t>
      </w:r>
      <w:r w:rsidR="000E7445" w:rsidRPr="00953CD4">
        <w:rPr>
          <w:iCs/>
          <w:lang w:val="en-GB"/>
        </w:rPr>
        <w:t xml:space="preserve"> </w:t>
      </w:r>
      <w:r w:rsidR="003704F2" w:rsidRPr="00953CD4">
        <w:rPr>
          <w:iCs/>
          <w:lang w:val="en-GB"/>
        </w:rPr>
        <w:t xml:space="preserve">See </w:t>
      </w:r>
      <w:r w:rsidR="005E46DA" w:rsidRPr="00953CD4">
        <w:rPr>
          <w:u w:color="0070C0"/>
          <w:lang w:val="en-GB"/>
        </w:rPr>
        <w:t>Fig</w:t>
      </w:r>
      <w:r w:rsidR="002D3873" w:rsidRPr="00953CD4">
        <w:rPr>
          <w:iCs/>
          <w:lang w:val="en-GB"/>
        </w:rPr>
        <w:t>. </w:t>
      </w:r>
      <w:proofErr w:type="gramStart"/>
      <w:r w:rsidR="00474CB6" w:rsidRPr="00953CD4">
        <w:rPr>
          <w:iCs/>
          <w:lang w:val="en-GB"/>
        </w:rPr>
        <w:t>S5</w:t>
      </w:r>
      <w:r w:rsidR="003704F2" w:rsidRPr="00953CD4">
        <w:rPr>
          <w:iCs/>
          <w:lang w:val="en-GB"/>
        </w:rPr>
        <w:t xml:space="preserve"> for additional data and methodological details.</w:t>
      </w:r>
      <w:proofErr w:type="gramEnd"/>
    </w:p>
    <w:p w:rsidR="000E7445" w:rsidRPr="00953CD4" w:rsidRDefault="000E7445" w:rsidP="00DB6EAC">
      <w:pPr>
        <w:spacing w:line="360" w:lineRule="auto"/>
        <w:jc w:val="both"/>
        <w:rPr>
          <w:lang w:val="en-GB"/>
        </w:rPr>
      </w:pPr>
    </w:p>
    <w:p w:rsidR="003704F2" w:rsidRPr="00953CD4" w:rsidRDefault="00E735B0" w:rsidP="00DB6EAC">
      <w:pPr>
        <w:spacing w:line="360" w:lineRule="auto"/>
        <w:jc w:val="both"/>
        <w:rPr>
          <w:iCs/>
          <w:lang w:val="en-GB"/>
        </w:rPr>
      </w:pPr>
      <w:r w:rsidRPr="00953CD4">
        <w:rPr>
          <w:b/>
          <w:bCs/>
          <w:lang w:val="en-GB"/>
        </w:rPr>
        <w:t>Fig.</w:t>
      </w:r>
      <w:r w:rsidR="00C75F8A" w:rsidRPr="00953CD4">
        <w:rPr>
          <w:b/>
          <w:bCs/>
          <w:lang w:val="en-GB"/>
        </w:rPr>
        <w:t> 7</w:t>
      </w:r>
      <w:r w:rsidR="003704F2" w:rsidRPr="00953CD4">
        <w:rPr>
          <w:b/>
          <w:bCs/>
          <w:lang w:val="en-GB"/>
        </w:rPr>
        <w:t xml:space="preserve">: </w:t>
      </w:r>
      <w:r w:rsidR="003704F2" w:rsidRPr="00953CD4">
        <w:rPr>
          <w:b/>
          <w:bCs/>
          <w:iCs/>
          <w:lang w:val="en-GB"/>
        </w:rPr>
        <w:t>Synaptic innervation enhances directional persistence of migrating Pax2-cells</w:t>
      </w:r>
      <w:r w:rsidR="0012277E" w:rsidRPr="00953CD4">
        <w:rPr>
          <w:b/>
          <w:bCs/>
          <w:iCs/>
          <w:lang w:val="en-GB"/>
        </w:rPr>
        <w:t xml:space="preserve">. </w:t>
      </w:r>
      <w:r w:rsidR="003704F2" w:rsidRPr="00953CD4">
        <w:rPr>
          <w:iCs/>
          <w:lang w:val="en-GB"/>
        </w:rPr>
        <w:t>Typical probability density maps of between-step turning angles (</w:t>
      </w:r>
      <w:proofErr w:type="spellStart"/>
      <w:proofErr w:type="gramStart"/>
      <w:r w:rsidR="003704F2" w:rsidRPr="00953CD4">
        <w:rPr>
          <w:iCs/>
          <w:lang w:val="en-GB"/>
        </w:rPr>
        <w:t>Δφ</w:t>
      </w:r>
      <w:proofErr w:type="spellEnd"/>
      <w:proofErr w:type="gramEnd"/>
      <w:r w:rsidR="003704F2" w:rsidRPr="00953CD4">
        <w:rPr>
          <w:iCs/>
          <w:lang w:val="en-GB"/>
        </w:rPr>
        <w:t xml:space="preserve">) of Pax2-cells migrating in acute slices of p8 cerebella. </w:t>
      </w:r>
      <w:proofErr w:type="spellStart"/>
      <w:proofErr w:type="gramStart"/>
      <w:r w:rsidR="003704F2" w:rsidRPr="00953CD4">
        <w:rPr>
          <w:iCs/>
          <w:lang w:val="en-GB"/>
        </w:rPr>
        <w:t>Δφ</w:t>
      </w:r>
      <w:proofErr w:type="spellEnd"/>
      <w:proofErr w:type="gramEnd"/>
      <w:r w:rsidR="003704F2" w:rsidRPr="00953CD4">
        <w:rPr>
          <w:iCs/>
          <w:lang w:val="en-GB"/>
        </w:rPr>
        <w:t xml:space="preserve"> values were determined as projections in the sagittal (</w:t>
      </w:r>
      <w:proofErr w:type="spellStart"/>
      <w:r w:rsidR="003704F2" w:rsidRPr="00953CD4">
        <w:rPr>
          <w:iCs/>
          <w:lang w:val="en-GB"/>
        </w:rPr>
        <w:t>Δφ</w:t>
      </w:r>
      <w:r w:rsidR="003704F2" w:rsidRPr="00953CD4">
        <w:rPr>
          <w:iCs/>
          <w:vertAlign w:val="subscript"/>
          <w:lang w:val="en-GB"/>
        </w:rPr>
        <w:t>x,y</w:t>
      </w:r>
      <w:proofErr w:type="spellEnd"/>
      <w:r w:rsidR="003704F2" w:rsidRPr="00953CD4">
        <w:rPr>
          <w:iCs/>
          <w:lang w:val="en-GB"/>
        </w:rPr>
        <w:t>) and coronal (</w:t>
      </w:r>
      <w:proofErr w:type="spellStart"/>
      <w:r w:rsidR="003704F2" w:rsidRPr="00953CD4">
        <w:rPr>
          <w:iCs/>
          <w:lang w:val="en-GB"/>
        </w:rPr>
        <w:t>Δφ</w:t>
      </w:r>
      <w:r w:rsidR="003704F2" w:rsidRPr="00953CD4">
        <w:rPr>
          <w:iCs/>
          <w:vertAlign w:val="subscript"/>
          <w:lang w:val="en-GB"/>
        </w:rPr>
        <w:t>x,z</w:t>
      </w:r>
      <w:proofErr w:type="spellEnd"/>
      <w:r w:rsidR="003704F2" w:rsidRPr="00953CD4">
        <w:rPr>
          <w:iCs/>
          <w:lang w:val="en-GB"/>
        </w:rPr>
        <w:t xml:space="preserve">) planes (see </w:t>
      </w:r>
      <w:r w:rsidR="005E46DA" w:rsidRPr="00953CD4">
        <w:rPr>
          <w:u w:color="0070C0"/>
          <w:lang w:val="en-GB"/>
        </w:rPr>
        <w:t>Fig</w:t>
      </w:r>
      <w:r w:rsidR="002D3873" w:rsidRPr="00953CD4">
        <w:rPr>
          <w:iCs/>
          <w:lang w:val="en-GB"/>
        </w:rPr>
        <w:t>. </w:t>
      </w:r>
      <w:proofErr w:type="gramStart"/>
      <w:r w:rsidR="00474CB6" w:rsidRPr="00953CD4">
        <w:rPr>
          <w:iCs/>
          <w:lang w:val="en-GB"/>
        </w:rPr>
        <w:t>S6</w:t>
      </w:r>
      <w:r w:rsidR="003704F2" w:rsidRPr="00953CD4">
        <w:rPr>
          <w:iCs/>
          <w:lang w:val="en-GB"/>
        </w:rPr>
        <w:t xml:space="preserve"> for details).</w:t>
      </w:r>
      <w:proofErr w:type="gramEnd"/>
      <w:r w:rsidR="003704F2" w:rsidRPr="00953CD4">
        <w:rPr>
          <w:iCs/>
          <w:lang w:val="en-GB"/>
        </w:rPr>
        <w:t xml:space="preserve"> The probability density of individual </w:t>
      </w:r>
      <w:proofErr w:type="spellStart"/>
      <w:proofErr w:type="gramStart"/>
      <w:r w:rsidR="003704F2" w:rsidRPr="00953CD4">
        <w:rPr>
          <w:iCs/>
          <w:lang w:val="en-GB"/>
        </w:rPr>
        <w:t>Δφ</w:t>
      </w:r>
      <w:proofErr w:type="spellEnd"/>
      <w:proofErr w:type="gramEnd"/>
      <w:r w:rsidR="003704F2" w:rsidRPr="00953CD4">
        <w:rPr>
          <w:iCs/>
          <w:lang w:val="en-GB"/>
        </w:rPr>
        <w:t xml:space="preserve"> values is displayed along the z-axis (inset: </w:t>
      </w:r>
      <w:r w:rsidR="00C517DA" w:rsidRPr="00953CD4">
        <w:rPr>
          <w:iCs/>
          <w:lang w:val="en-GB"/>
        </w:rPr>
        <w:t>colour</w:t>
      </w:r>
      <w:r w:rsidR="003704F2" w:rsidRPr="00953CD4">
        <w:rPr>
          <w:iCs/>
          <w:lang w:val="en-GB"/>
        </w:rPr>
        <w:t xml:space="preserve"> code). Under control conditions, many </w:t>
      </w:r>
      <w:proofErr w:type="spellStart"/>
      <w:proofErr w:type="gramStart"/>
      <w:r w:rsidR="003704F2" w:rsidRPr="00953CD4">
        <w:rPr>
          <w:iCs/>
          <w:lang w:val="en-GB"/>
        </w:rPr>
        <w:t>Δφ</w:t>
      </w:r>
      <w:proofErr w:type="spellEnd"/>
      <w:proofErr w:type="gramEnd"/>
      <w:r w:rsidR="003704F2" w:rsidRPr="00953CD4">
        <w:rPr>
          <w:iCs/>
          <w:lang w:val="en-GB"/>
        </w:rPr>
        <w:t xml:space="preserve"> values were close to 0 resulting in a central peak. (</w:t>
      </w:r>
      <w:r w:rsidR="00957346" w:rsidRPr="00953CD4">
        <w:rPr>
          <w:bCs/>
          <w:iCs/>
          <w:lang w:val="en-GB"/>
        </w:rPr>
        <w:t>A</w:t>
      </w:r>
      <w:proofErr w:type="gramStart"/>
      <w:r w:rsidR="003704F2" w:rsidRPr="00953CD4">
        <w:rPr>
          <w:bCs/>
          <w:iCs/>
          <w:lang w:val="en-GB"/>
        </w:rPr>
        <w:t>,</w:t>
      </w:r>
      <w:r w:rsidR="00957346" w:rsidRPr="00953CD4">
        <w:rPr>
          <w:bCs/>
          <w:iCs/>
          <w:lang w:val="en-GB"/>
        </w:rPr>
        <w:t>C</w:t>
      </w:r>
      <w:proofErr w:type="gramEnd"/>
      <w:r w:rsidR="003704F2" w:rsidRPr="00953CD4">
        <w:rPr>
          <w:iCs/>
          <w:lang w:val="en-GB"/>
        </w:rPr>
        <w:t>) Incubation with tetanus toxin (</w:t>
      </w:r>
      <w:r w:rsidR="00957346" w:rsidRPr="00953CD4">
        <w:rPr>
          <w:bCs/>
          <w:iCs/>
          <w:lang w:val="en-GB"/>
        </w:rPr>
        <w:t>A</w:t>
      </w:r>
      <w:r w:rsidR="003704F2" w:rsidRPr="00953CD4">
        <w:rPr>
          <w:iCs/>
          <w:lang w:val="en-GB"/>
        </w:rPr>
        <w:t>, 100 </w:t>
      </w:r>
      <w:proofErr w:type="spellStart"/>
      <w:r w:rsidR="003704F2" w:rsidRPr="00953CD4">
        <w:rPr>
          <w:iCs/>
          <w:lang w:val="en-GB"/>
        </w:rPr>
        <w:t>μg</w:t>
      </w:r>
      <w:proofErr w:type="spellEnd"/>
      <w:r w:rsidR="003704F2" w:rsidRPr="00953CD4">
        <w:rPr>
          <w:iCs/>
          <w:lang w:val="en-GB"/>
        </w:rPr>
        <w:t>/ml) or wash in of Co</w:t>
      </w:r>
      <w:r w:rsidR="003704F2" w:rsidRPr="00953CD4">
        <w:rPr>
          <w:iCs/>
          <w:vertAlign w:val="superscript"/>
          <w:lang w:val="en-GB"/>
        </w:rPr>
        <w:t>2+</w:t>
      </w:r>
      <w:r w:rsidR="003704F2" w:rsidRPr="00953CD4">
        <w:rPr>
          <w:iCs/>
          <w:lang w:val="en-GB"/>
        </w:rPr>
        <w:t xml:space="preserve"> (</w:t>
      </w:r>
      <w:r w:rsidR="00957346" w:rsidRPr="00953CD4">
        <w:rPr>
          <w:bCs/>
          <w:iCs/>
          <w:lang w:val="en-GB"/>
        </w:rPr>
        <w:t>C</w:t>
      </w:r>
      <w:r w:rsidR="003704F2" w:rsidRPr="00953CD4">
        <w:rPr>
          <w:iCs/>
          <w:lang w:val="en-GB"/>
        </w:rPr>
        <w:t>, 2 mM) abolished the central peak (</w:t>
      </w:r>
      <w:r w:rsidR="00957346" w:rsidRPr="00953CD4">
        <w:rPr>
          <w:bCs/>
          <w:iCs/>
          <w:lang w:val="en-GB"/>
        </w:rPr>
        <w:t>A</w:t>
      </w:r>
      <w:r w:rsidR="003704F2" w:rsidRPr="00953CD4">
        <w:rPr>
          <w:bCs/>
          <w:iCs/>
          <w:lang w:val="en-GB"/>
        </w:rPr>
        <w:t>‘</w:t>
      </w:r>
      <w:proofErr w:type="gramStart"/>
      <w:r w:rsidR="003704F2" w:rsidRPr="00953CD4">
        <w:rPr>
          <w:bCs/>
          <w:iCs/>
          <w:lang w:val="en-GB"/>
        </w:rPr>
        <w:t>,</w:t>
      </w:r>
      <w:r w:rsidR="00957346" w:rsidRPr="00953CD4">
        <w:rPr>
          <w:bCs/>
          <w:iCs/>
          <w:lang w:val="en-GB"/>
        </w:rPr>
        <w:t>C</w:t>
      </w:r>
      <w:r w:rsidR="003704F2" w:rsidRPr="00953CD4">
        <w:rPr>
          <w:bCs/>
          <w:iCs/>
          <w:lang w:val="en-GB"/>
        </w:rPr>
        <w:t>’</w:t>
      </w:r>
      <w:proofErr w:type="gramEnd"/>
      <w:r w:rsidR="003704F2" w:rsidRPr="00953CD4">
        <w:rPr>
          <w:iCs/>
          <w:lang w:val="en-GB"/>
        </w:rPr>
        <w:t>). This indicates decreased directional persistence. (</w:t>
      </w:r>
      <w:r w:rsidR="00957346" w:rsidRPr="00953CD4">
        <w:rPr>
          <w:bCs/>
          <w:iCs/>
          <w:lang w:val="en-GB"/>
        </w:rPr>
        <w:t>A</w:t>
      </w:r>
      <w:r w:rsidR="003704F2" w:rsidRPr="00953CD4">
        <w:rPr>
          <w:bCs/>
          <w:iCs/>
          <w:lang w:val="en-GB"/>
        </w:rPr>
        <w:t>‘‘</w:t>
      </w:r>
      <w:proofErr w:type="gramStart"/>
      <w:r w:rsidR="003704F2" w:rsidRPr="00953CD4">
        <w:rPr>
          <w:bCs/>
          <w:iCs/>
          <w:lang w:val="en-GB"/>
        </w:rPr>
        <w:t>,</w:t>
      </w:r>
      <w:r w:rsidR="00957346" w:rsidRPr="00953CD4">
        <w:rPr>
          <w:bCs/>
          <w:iCs/>
          <w:lang w:val="en-GB"/>
        </w:rPr>
        <w:t>C</w:t>
      </w:r>
      <w:r w:rsidR="003704F2" w:rsidRPr="00953CD4">
        <w:rPr>
          <w:bCs/>
          <w:iCs/>
          <w:lang w:val="en-GB"/>
        </w:rPr>
        <w:t>’’</w:t>
      </w:r>
      <w:proofErr w:type="gramEnd"/>
      <w:r w:rsidR="003704F2" w:rsidRPr="00953CD4">
        <w:rPr>
          <w:iCs/>
          <w:lang w:val="en-GB"/>
        </w:rPr>
        <w:t xml:space="preserve">) </w:t>
      </w:r>
      <w:proofErr w:type="spellStart"/>
      <w:proofErr w:type="gramStart"/>
      <w:r w:rsidR="003704F2" w:rsidRPr="00953CD4">
        <w:rPr>
          <w:iCs/>
          <w:lang w:val="en-GB"/>
        </w:rPr>
        <w:t>Δφ</w:t>
      </w:r>
      <w:r w:rsidR="003704F2" w:rsidRPr="00953CD4">
        <w:rPr>
          <w:iCs/>
          <w:vertAlign w:val="subscript"/>
          <w:lang w:val="en-GB"/>
        </w:rPr>
        <w:t>xyz</w:t>
      </w:r>
      <w:proofErr w:type="spellEnd"/>
      <w:r w:rsidR="003704F2" w:rsidRPr="00953CD4">
        <w:rPr>
          <w:iCs/>
          <w:lang w:val="en-GB"/>
        </w:rPr>
        <w:t xml:space="preserve"> angles, determined in 3D before (black traces) and after (magenta traces) incubation with TeNT (</w:t>
      </w:r>
      <w:r w:rsidR="00957346" w:rsidRPr="00953CD4">
        <w:rPr>
          <w:bCs/>
          <w:iCs/>
          <w:lang w:val="en-GB"/>
        </w:rPr>
        <w:t>A</w:t>
      </w:r>
      <w:r w:rsidR="003704F2" w:rsidRPr="00953CD4">
        <w:rPr>
          <w:bCs/>
          <w:iCs/>
          <w:lang w:val="en-GB"/>
        </w:rPr>
        <w:t>’’</w:t>
      </w:r>
      <w:r w:rsidR="003704F2" w:rsidRPr="00953CD4">
        <w:rPr>
          <w:iCs/>
          <w:lang w:val="en-GB"/>
        </w:rPr>
        <w:t>) or Co</w:t>
      </w:r>
      <w:r w:rsidR="003704F2" w:rsidRPr="00953CD4">
        <w:rPr>
          <w:iCs/>
          <w:vertAlign w:val="superscript"/>
          <w:lang w:val="en-GB"/>
        </w:rPr>
        <w:t>2+</w:t>
      </w:r>
      <w:r w:rsidR="003704F2" w:rsidRPr="00953CD4">
        <w:rPr>
          <w:iCs/>
          <w:lang w:val="en-GB"/>
        </w:rPr>
        <w:t xml:space="preserve"> (</w:t>
      </w:r>
      <w:r w:rsidR="00957346" w:rsidRPr="00953CD4">
        <w:rPr>
          <w:bCs/>
          <w:iCs/>
          <w:lang w:val="en-GB"/>
        </w:rPr>
        <w:t>C</w:t>
      </w:r>
      <w:r w:rsidR="003704F2" w:rsidRPr="00953CD4">
        <w:rPr>
          <w:bCs/>
          <w:iCs/>
          <w:lang w:val="en-GB"/>
        </w:rPr>
        <w:t>’’</w:t>
      </w:r>
      <w:r w:rsidR="002961F9" w:rsidRPr="00953CD4">
        <w:rPr>
          <w:iCs/>
          <w:lang w:val="en-GB"/>
        </w:rPr>
        <w:t>).</w:t>
      </w:r>
      <w:proofErr w:type="gramEnd"/>
      <w:r w:rsidR="002961F9" w:rsidRPr="00953CD4">
        <w:rPr>
          <w:iCs/>
          <w:lang w:val="en-GB"/>
        </w:rPr>
        <w:t xml:space="preserve"> Thu</w:t>
      </w:r>
      <w:r w:rsidR="003704F2" w:rsidRPr="00953CD4">
        <w:rPr>
          <w:iCs/>
          <w:lang w:val="en-GB"/>
        </w:rPr>
        <w:t>s</w:t>
      </w:r>
      <w:r w:rsidR="002961F9" w:rsidRPr="00953CD4">
        <w:rPr>
          <w:iCs/>
          <w:lang w:val="en-GB"/>
        </w:rPr>
        <w:t>,</w:t>
      </w:r>
      <w:r w:rsidR="003704F2" w:rsidRPr="00953CD4">
        <w:rPr>
          <w:iCs/>
          <w:lang w:val="en-GB"/>
        </w:rPr>
        <w:t xml:space="preserve"> blockade of synaptic release results in a clear-cut shift of turning angles towards higher values (Kuiper’s test, p &lt; 0.001). (</w:t>
      </w:r>
      <w:r w:rsidR="00957346" w:rsidRPr="00953CD4">
        <w:rPr>
          <w:bCs/>
          <w:iCs/>
          <w:lang w:val="en-GB"/>
        </w:rPr>
        <w:t>B</w:t>
      </w:r>
      <w:r w:rsidR="003704F2" w:rsidRPr="00953CD4">
        <w:rPr>
          <w:iCs/>
          <w:lang w:val="en-GB"/>
        </w:rPr>
        <w:t>) Sham incubation without TeNT had no substantive effect on the central peak (</w:t>
      </w:r>
      <w:r w:rsidR="00957346" w:rsidRPr="00953CD4">
        <w:rPr>
          <w:bCs/>
          <w:iCs/>
          <w:lang w:val="en-GB"/>
        </w:rPr>
        <w:t>B</w:t>
      </w:r>
      <w:r w:rsidR="003704F2" w:rsidRPr="00953CD4">
        <w:rPr>
          <w:bCs/>
          <w:iCs/>
          <w:lang w:val="en-GB"/>
        </w:rPr>
        <w:t>‘</w:t>
      </w:r>
      <w:r w:rsidR="003704F2" w:rsidRPr="00953CD4">
        <w:rPr>
          <w:iCs/>
          <w:lang w:val="en-GB"/>
        </w:rPr>
        <w:t xml:space="preserve">) or on the distribution of </w:t>
      </w:r>
      <w:proofErr w:type="spellStart"/>
      <w:r w:rsidR="003704F2" w:rsidRPr="00953CD4">
        <w:rPr>
          <w:iCs/>
          <w:lang w:val="en-GB"/>
        </w:rPr>
        <w:t>Δφ</w:t>
      </w:r>
      <w:r w:rsidR="003704F2" w:rsidRPr="00953CD4">
        <w:rPr>
          <w:iCs/>
          <w:vertAlign w:val="subscript"/>
          <w:lang w:val="en-GB"/>
        </w:rPr>
        <w:t>xyz</w:t>
      </w:r>
      <w:proofErr w:type="spellEnd"/>
      <w:r w:rsidR="003704F2" w:rsidRPr="00953CD4">
        <w:rPr>
          <w:iCs/>
          <w:lang w:val="en-GB"/>
        </w:rPr>
        <w:t xml:space="preserve"> angles (</w:t>
      </w:r>
      <w:r w:rsidR="00957346" w:rsidRPr="00953CD4">
        <w:rPr>
          <w:bCs/>
          <w:iCs/>
          <w:lang w:val="en-GB"/>
        </w:rPr>
        <w:t>B</w:t>
      </w:r>
      <w:r w:rsidR="003704F2" w:rsidRPr="00953CD4">
        <w:rPr>
          <w:bCs/>
          <w:iCs/>
          <w:lang w:val="en-GB"/>
        </w:rPr>
        <w:t>‘‘</w:t>
      </w:r>
      <w:r w:rsidR="003704F2" w:rsidRPr="00953CD4">
        <w:rPr>
          <w:iCs/>
          <w:lang w:val="en-GB"/>
        </w:rPr>
        <w:t>) (Kuiper’s test, p =</w:t>
      </w:r>
      <w:r w:rsidR="006F349D" w:rsidRPr="00953CD4">
        <w:rPr>
          <w:iCs/>
          <w:lang w:val="en-GB"/>
        </w:rPr>
        <w:t> 0.221). B</w:t>
      </w:r>
      <w:r w:rsidR="003704F2" w:rsidRPr="00953CD4">
        <w:rPr>
          <w:iCs/>
          <w:lang w:val="en-GB"/>
        </w:rPr>
        <w:t xml:space="preserve">etween 7510 and 12740 </w:t>
      </w:r>
      <w:proofErr w:type="spellStart"/>
      <w:proofErr w:type="gramStart"/>
      <w:r w:rsidR="003704F2" w:rsidRPr="00953CD4">
        <w:rPr>
          <w:iCs/>
          <w:lang w:val="en-GB"/>
        </w:rPr>
        <w:t>Δφ</w:t>
      </w:r>
      <w:proofErr w:type="spellEnd"/>
      <w:proofErr w:type="gramEnd"/>
      <w:r w:rsidR="003704F2" w:rsidRPr="00953CD4">
        <w:rPr>
          <w:iCs/>
          <w:lang w:val="en-GB"/>
        </w:rPr>
        <w:t xml:space="preserve"> values were</w:t>
      </w:r>
      <w:r w:rsidR="005536F7" w:rsidRPr="00953CD4">
        <w:rPr>
          <w:iCs/>
          <w:lang w:val="en-GB"/>
        </w:rPr>
        <w:t xml:space="preserve"> analys</w:t>
      </w:r>
      <w:r w:rsidR="003704F2" w:rsidRPr="00953CD4">
        <w:rPr>
          <w:iCs/>
          <w:lang w:val="en-GB"/>
        </w:rPr>
        <w:t>ed per condition.</w:t>
      </w:r>
    </w:p>
    <w:p w:rsidR="0012277E" w:rsidRPr="00953CD4" w:rsidRDefault="0012277E" w:rsidP="00DB6EAC">
      <w:pPr>
        <w:spacing w:line="360" w:lineRule="auto"/>
        <w:jc w:val="both"/>
        <w:rPr>
          <w:iCs/>
          <w:lang w:val="en-GB"/>
        </w:rPr>
      </w:pPr>
    </w:p>
    <w:p w:rsidR="00935D51" w:rsidRPr="00953CD4" w:rsidRDefault="00E735B0" w:rsidP="00E17407">
      <w:pPr>
        <w:spacing w:line="360" w:lineRule="auto"/>
        <w:jc w:val="both"/>
        <w:rPr>
          <w:iCs/>
          <w:lang w:val="en-GB" w:eastAsia="en-US"/>
        </w:rPr>
      </w:pPr>
      <w:r w:rsidRPr="00953CD4">
        <w:rPr>
          <w:b/>
          <w:bCs/>
          <w:lang w:val="en-GB"/>
        </w:rPr>
        <w:t>Fig.</w:t>
      </w:r>
      <w:r w:rsidR="00C75F8A" w:rsidRPr="00953CD4">
        <w:rPr>
          <w:b/>
          <w:bCs/>
          <w:lang w:val="en-GB"/>
        </w:rPr>
        <w:t> 8</w:t>
      </w:r>
      <w:r w:rsidR="003704F2" w:rsidRPr="00953CD4">
        <w:rPr>
          <w:b/>
          <w:bCs/>
          <w:lang w:val="en-GB"/>
        </w:rPr>
        <w:t>:</w:t>
      </w:r>
      <w:r w:rsidR="00811BF2" w:rsidRPr="00953CD4">
        <w:rPr>
          <w:b/>
          <w:bCs/>
          <w:lang w:val="en-GB"/>
        </w:rPr>
        <w:t xml:space="preserve"> </w:t>
      </w:r>
      <w:r w:rsidR="003704F2" w:rsidRPr="00953CD4">
        <w:rPr>
          <w:b/>
          <w:bCs/>
          <w:iCs/>
          <w:lang w:val="en-GB"/>
        </w:rPr>
        <w:t>schematic view how transmitters might impinge on the mobility of neuronal precursors.</w:t>
      </w:r>
      <w:r w:rsidR="0012277E" w:rsidRPr="00953CD4">
        <w:rPr>
          <w:b/>
          <w:bCs/>
          <w:iCs/>
          <w:lang w:val="en-GB"/>
        </w:rPr>
        <w:t xml:space="preserve"> </w:t>
      </w:r>
      <w:r w:rsidR="00C517DA" w:rsidRPr="00953CD4">
        <w:rPr>
          <w:iCs/>
          <w:lang w:val="en-GB" w:eastAsia="en-US"/>
        </w:rPr>
        <w:t>Grey</w:t>
      </w:r>
      <w:r w:rsidR="003704F2" w:rsidRPr="00953CD4">
        <w:rPr>
          <w:iCs/>
          <w:lang w:val="en-GB" w:eastAsia="en-US"/>
        </w:rPr>
        <w:t xml:space="preserve"> arrows symbolize transmitter action – effect size is symbolized by arrow size. Under physiologic conditions, and also with TeNT, isotropic, paracrine input keeps the cell in a "receptive" state, i.e. its internal machinery is plastic and responsive to directive signals (which may come from synaptic input). In contrast, in the absence of all input, this plasticity is lost, and the cell initially persists in the state it had immediately before receptor blockade. Eventually, this internal state decays, and cell movement also becomes erratic.</w:t>
      </w:r>
    </w:p>
    <w:sectPr w:rsidR="00935D51" w:rsidRPr="00953CD4" w:rsidSect="0060088C">
      <w:headerReference w:type="even" r:id="rId8"/>
      <w:headerReference w:type="default" r:id="rId9"/>
      <w:footerReference w:type="even" r:id="rId10"/>
      <w:footerReference w:type="default" r:id="rId11"/>
      <w:headerReference w:type="first" r:id="rId12"/>
      <w:footerReference w:type="first" r:id="rId13"/>
      <w:pgSz w:w="12240" w:h="15840" w:code="1"/>
      <w:pgMar w:top="5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EF" w:rsidRDefault="00FF7BEF">
      <w:r>
        <w:separator/>
      </w:r>
    </w:p>
  </w:endnote>
  <w:endnote w:type="continuationSeparator" w:id="0">
    <w:p w:rsidR="00FF7BEF" w:rsidRDefault="00FF7BEF">
      <w:r>
        <w:continuationSeparator/>
      </w:r>
    </w:p>
  </w:endnote>
  <w:endnote w:type="continuationNotice" w:id="1">
    <w:p w:rsidR="00FF7BEF" w:rsidRDefault="00FF7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onsolas">
    <w:panose1 w:val="020B0609020204030204"/>
    <w:charset w:val="00"/>
    <w:family w:val="roman"/>
    <w:notTrueType/>
    <w:pitch w:val="default"/>
  </w:font>
  <w:font w:name="BlissRegular">
    <w:panose1 w:val="00000000000000000000"/>
    <w:charset w:val="00"/>
    <w:family w:val="roman"/>
    <w:notTrueType/>
    <w:pitch w:val="variable"/>
    <w:sig w:usb0="00000003" w:usb1="00000000" w:usb2="00000000" w:usb3="00000000" w:csb0="00000001" w:csb1="00000000"/>
  </w:font>
  <w:font w:name="BlissMedium">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24" w:rsidRDefault="009642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F51" w:rsidRPr="00964224" w:rsidRDefault="00882F51" w:rsidP="0096422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24" w:rsidRDefault="009642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EF" w:rsidRDefault="00FF7BEF">
      <w:r>
        <w:separator/>
      </w:r>
    </w:p>
  </w:footnote>
  <w:footnote w:type="continuationSeparator" w:id="0">
    <w:p w:rsidR="00FF7BEF" w:rsidRDefault="00FF7BEF">
      <w:r>
        <w:continuationSeparator/>
      </w:r>
    </w:p>
  </w:footnote>
  <w:footnote w:type="continuationNotice" w:id="1">
    <w:p w:rsidR="00FF7BEF" w:rsidRDefault="00FF7B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24" w:rsidRDefault="009642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24" w:rsidRDefault="0096422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24" w:rsidRDefault="009642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6874B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60C804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7323E3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019C31C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F9A6A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646A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C875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06CD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B06BF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90EE4CE"/>
    <w:lvl w:ilvl="0">
      <w:start w:val="1"/>
      <w:numFmt w:val="bullet"/>
      <w:lvlText w:val=""/>
      <w:lvlJc w:val="left"/>
      <w:pPr>
        <w:tabs>
          <w:tab w:val="num" w:pos="360"/>
        </w:tabs>
        <w:ind w:left="360" w:hanging="360"/>
      </w:pPr>
      <w:rPr>
        <w:rFonts w:ascii="Symbol" w:hAnsi="Symbol" w:hint="default"/>
      </w:rPr>
    </w:lvl>
  </w:abstractNum>
  <w:abstractNum w:abstractNumId="10">
    <w:nsid w:val="10D44F29"/>
    <w:multiLevelType w:val="hybridMultilevel"/>
    <w:tmpl w:val="8C647A1E"/>
    <w:lvl w:ilvl="0" w:tplc="27648AAC">
      <w:start w:val="1"/>
      <w:numFmt w:val="lowerLetter"/>
      <w:lvlText w:val="(%1)"/>
      <w:lvlJc w:val="left"/>
      <w:pPr>
        <w:ind w:left="720" w:hanging="360"/>
      </w:pPr>
      <w:rPr>
        <w:rFonts w:cs="Times New Roman" w:hint="default"/>
        <w:b/>
        <w:bCs/>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1">
    <w:nsid w:val="1478067D"/>
    <w:multiLevelType w:val="hybridMultilevel"/>
    <w:tmpl w:val="9FB67F7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1B85676C"/>
    <w:multiLevelType w:val="hybridMultilevel"/>
    <w:tmpl w:val="FE12AF9C"/>
    <w:lvl w:ilvl="0" w:tplc="FF2CCD34">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nsid w:val="37D76FC6"/>
    <w:multiLevelType w:val="hybridMultilevel"/>
    <w:tmpl w:val="8DEAD296"/>
    <w:lvl w:ilvl="0" w:tplc="99943D3C">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4">
    <w:nsid w:val="4DF50588"/>
    <w:multiLevelType w:val="hybridMultilevel"/>
    <w:tmpl w:val="68B0B426"/>
    <w:lvl w:ilvl="0" w:tplc="58807C48">
      <w:start w:val="14"/>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5">
    <w:nsid w:val="515739E5"/>
    <w:multiLevelType w:val="hybridMultilevel"/>
    <w:tmpl w:val="BD02A45C"/>
    <w:lvl w:ilvl="0" w:tplc="596CE8E8">
      <w:start w:val="1"/>
      <w:numFmt w:val="lowerLetter"/>
      <w:lvlText w:val="(%1)"/>
      <w:lvlJc w:val="left"/>
      <w:pPr>
        <w:ind w:left="720" w:hanging="360"/>
      </w:pPr>
      <w:rPr>
        <w:rFonts w:cs="Times New Roman" w:hint="default"/>
        <w:b/>
        <w:bCs/>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6">
    <w:nsid w:val="57CF764F"/>
    <w:multiLevelType w:val="hybridMultilevel"/>
    <w:tmpl w:val="BBFC51A8"/>
    <w:lvl w:ilvl="0" w:tplc="F56494B0">
      <w:start w:val="1"/>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s>
  <w:rsids>
    <w:rsidRoot w:val="00E00CAB"/>
    <w:rsid w:val="0000085B"/>
    <w:rsid w:val="00001512"/>
    <w:rsid w:val="00001763"/>
    <w:rsid w:val="000033F4"/>
    <w:rsid w:val="00004183"/>
    <w:rsid w:val="00005855"/>
    <w:rsid w:val="00011FC6"/>
    <w:rsid w:val="00014288"/>
    <w:rsid w:val="00015CF4"/>
    <w:rsid w:val="000225EA"/>
    <w:rsid w:val="00026C92"/>
    <w:rsid w:val="00031C39"/>
    <w:rsid w:val="00032D6E"/>
    <w:rsid w:val="00035AB2"/>
    <w:rsid w:val="00041773"/>
    <w:rsid w:val="00042BA4"/>
    <w:rsid w:val="000431B2"/>
    <w:rsid w:val="00043E50"/>
    <w:rsid w:val="000440FB"/>
    <w:rsid w:val="000442CF"/>
    <w:rsid w:val="00045626"/>
    <w:rsid w:val="00045766"/>
    <w:rsid w:val="00045AA6"/>
    <w:rsid w:val="00045D58"/>
    <w:rsid w:val="000460F9"/>
    <w:rsid w:val="0004700A"/>
    <w:rsid w:val="00050A9D"/>
    <w:rsid w:val="000512D7"/>
    <w:rsid w:val="00051B8A"/>
    <w:rsid w:val="00051F4F"/>
    <w:rsid w:val="000520B3"/>
    <w:rsid w:val="00054427"/>
    <w:rsid w:val="000552F7"/>
    <w:rsid w:val="00056E99"/>
    <w:rsid w:val="00057A98"/>
    <w:rsid w:val="00057F73"/>
    <w:rsid w:val="00060B65"/>
    <w:rsid w:val="000640FE"/>
    <w:rsid w:val="00066A95"/>
    <w:rsid w:val="00066EF1"/>
    <w:rsid w:val="00067B1E"/>
    <w:rsid w:val="000706B7"/>
    <w:rsid w:val="000712D1"/>
    <w:rsid w:val="00073DFE"/>
    <w:rsid w:val="000756A3"/>
    <w:rsid w:val="00076A4A"/>
    <w:rsid w:val="00076D9C"/>
    <w:rsid w:val="00077C69"/>
    <w:rsid w:val="00080EF9"/>
    <w:rsid w:val="000828F5"/>
    <w:rsid w:val="000845BB"/>
    <w:rsid w:val="00086AB8"/>
    <w:rsid w:val="00090691"/>
    <w:rsid w:val="00090800"/>
    <w:rsid w:val="000924EF"/>
    <w:rsid w:val="00094BEE"/>
    <w:rsid w:val="00094D9F"/>
    <w:rsid w:val="00096418"/>
    <w:rsid w:val="00096A52"/>
    <w:rsid w:val="000A2978"/>
    <w:rsid w:val="000A3373"/>
    <w:rsid w:val="000A409C"/>
    <w:rsid w:val="000A4740"/>
    <w:rsid w:val="000A5E5C"/>
    <w:rsid w:val="000A7283"/>
    <w:rsid w:val="000A749A"/>
    <w:rsid w:val="000B1E70"/>
    <w:rsid w:val="000B2BA1"/>
    <w:rsid w:val="000B2EB5"/>
    <w:rsid w:val="000B4B38"/>
    <w:rsid w:val="000B6175"/>
    <w:rsid w:val="000C0B7A"/>
    <w:rsid w:val="000C147E"/>
    <w:rsid w:val="000C1A47"/>
    <w:rsid w:val="000C2DA2"/>
    <w:rsid w:val="000C4AD2"/>
    <w:rsid w:val="000C5804"/>
    <w:rsid w:val="000C5E9F"/>
    <w:rsid w:val="000D5986"/>
    <w:rsid w:val="000D6571"/>
    <w:rsid w:val="000D7A40"/>
    <w:rsid w:val="000D7C2D"/>
    <w:rsid w:val="000E18A9"/>
    <w:rsid w:val="000E271E"/>
    <w:rsid w:val="000E6836"/>
    <w:rsid w:val="000E6CE4"/>
    <w:rsid w:val="000E7445"/>
    <w:rsid w:val="000E7816"/>
    <w:rsid w:val="000F4264"/>
    <w:rsid w:val="000F7689"/>
    <w:rsid w:val="000F7B00"/>
    <w:rsid w:val="000F7BC2"/>
    <w:rsid w:val="00101AB4"/>
    <w:rsid w:val="001030FE"/>
    <w:rsid w:val="001032F3"/>
    <w:rsid w:val="00110A58"/>
    <w:rsid w:val="001114FA"/>
    <w:rsid w:val="00111BC0"/>
    <w:rsid w:val="0011352E"/>
    <w:rsid w:val="0011694C"/>
    <w:rsid w:val="00117741"/>
    <w:rsid w:val="00117AD3"/>
    <w:rsid w:val="001218E9"/>
    <w:rsid w:val="0012277E"/>
    <w:rsid w:val="001248E9"/>
    <w:rsid w:val="001249D4"/>
    <w:rsid w:val="00124E6B"/>
    <w:rsid w:val="0012587F"/>
    <w:rsid w:val="00130F68"/>
    <w:rsid w:val="00131FF0"/>
    <w:rsid w:val="0013488C"/>
    <w:rsid w:val="001349AC"/>
    <w:rsid w:val="00141C9F"/>
    <w:rsid w:val="001426A0"/>
    <w:rsid w:val="00143AFE"/>
    <w:rsid w:val="00144BD4"/>
    <w:rsid w:val="00145A25"/>
    <w:rsid w:val="00146F92"/>
    <w:rsid w:val="0015389F"/>
    <w:rsid w:val="00156C04"/>
    <w:rsid w:val="00160BAB"/>
    <w:rsid w:val="0016403E"/>
    <w:rsid w:val="00164BD6"/>
    <w:rsid w:val="00166D7D"/>
    <w:rsid w:val="0016737A"/>
    <w:rsid w:val="0016764D"/>
    <w:rsid w:val="001676E1"/>
    <w:rsid w:val="00170EDC"/>
    <w:rsid w:val="00171154"/>
    <w:rsid w:val="00173EBF"/>
    <w:rsid w:val="00174E26"/>
    <w:rsid w:val="001761AA"/>
    <w:rsid w:val="00176F5F"/>
    <w:rsid w:val="00180416"/>
    <w:rsid w:val="00180872"/>
    <w:rsid w:val="00184134"/>
    <w:rsid w:val="00186460"/>
    <w:rsid w:val="00195A0F"/>
    <w:rsid w:val="00195BD1"/>
    <w:rsid w:val="00195BD4"/>
    <w:rsid w:val="001967FB"/>
    <w:rsid w:val="001A41A1"/>
    <w:rsid w:val="001A566F"/>
    <w:rsid w:val="001A58E8"/>
    <w:rsid w:val="001B4D44"/>
    <w:rsid w:val="001B68E0"/>
    <w:rsid w:val="001B69C4"/>
    <w:rsid w:val="001B6D98"/>
    <w:rsid w:val="001C0924"/>
    <w:rsid w:val="001C267C"/>
    <w:rsid w:val="001C2B34"/>
    <w:rsid w:val="001C3E5A"/>
    <w:rsid w:val="001C4BEE"/>
    <w:rsid w:val="001C617C"/>
    <w:rsid w:val="001C6263"/>
    <w:rsid w:val="001C7811"/>
    <w:rsid w:val="001D0D19"/>
    <w:rsid w:val="001D3915"/>
    <w:rsid w:val="001D3E43"/>
    <w:rsid w:val="001D450D"/>
    <w:rsid w:val="001D76D6"/>
    <w:rsid w:val="001D7E6D"/>
    <w:rsid w:val="001E3CE8"/>
    <w:rsid w:val="001E5019"/>
    <w:rsid w:val="001E5782"/>
    <w:rsid w:val="001E6499"/>
    <w:rsid w:val="001E7E79"/>
    <w:rsid w:val="001F019B"/>
    <w:rsid w:val="001F0607"/>
    <w:rsid w:val="001F1988"/>
    <w:rsid w:val="001F396C"/>
    <w:rsid w:val="001F4C91"/>
    <w:rsid w:val="001F56C3"/>
    <w:rsid w:val="001F6944"/>
    <w:rsid w:val="001F7DE2"/>
    <w:rsid w:val="00201796"/>
    <w:rsid w:val="0020371C"/>
    <w:rsid w:val="00204DBC"/>
    <w:rsid w:val="002058F6"/>
    <w:rsid w:val="00206747"/>
    <w:rsid w:val="0021161C"/>
    <w:rsid w:val="00212CD6"/>
    <w:rsid w:val="002158C0"/>
    <w:rsid w:val="00215AEC"/>
    <w:rsid w:val="00216E51"/>
    <w:rsid w:val="00220DE2"/>
    <w:rsid w:val="00221A52"/>
    <w:rsid w:val="002229E6"/>
    <w:rsid w:val="00222EFF"/>
    <w:rsid w:val="00224DB7"/>
    <w:rsid w:val="002255D4"/>
    <w:rsid w:val="00225A14"/>
    <w:rsid w:val="002272F5"/>
    <w:rsid w:val="00227B33"/>
    <w:rsid w:val="0023150F"/>
    <w:rsid w:val="0023178B"/>
    <w:rsid w:val="00231E34"/>
    <w:rsid w:val="00232A1F"/>
    <w:rsid w:val="0023381E"/>
    <w:rsid w:val="002350C0"/>
    <w:rsid w:val="00235BAB"/>
    <w:rsid w:val="00235BFC"/>
    <w:rsid w:val="00236883"/>
    <w:rsid w:val="00236FB9"/>
    <w:rsid w:val="00240026"/>
    <w:rsid w:val="002411AB"/>
    <w:rsid w:val="00242D69"/>
    <w:rsid w:val="00243162"/>
    <w:rsid w:val="002431F4"/>
    <w:rsid w:val="002460AB"/>
    <w:rsid w:val="0024694E"/>
    <w:rsid w:val="00246B98"/>
    <w:rsid w:val="002476B0"/>
    <w:rsid w:val="002476D7"/>
    <w:rsid w:val="00251CF0"/>
    <w:rsid w:val="00255AAA"/>
    <w:rsid w:val="002607A5"/>
    <w:rsid w:val="0026096E"/>
    <w:rsid w:val="002610A9"/>
    <w:rsid w:val="00262A2B"/>
    <w:rsid w:val="002658D6"/>
    <w:rsid w:val="0026691A"/>
    <w:rsid w:val="00266BBF"/>
    <w:rsid w:val="00270DFC"/>
    <w:rsid w:val="00277AFA"/>
    <w:rsid w:val="0028186F"/>
    <w:rsid w:val="0028188C"/>
    <w:rsid w:val="002839D2"/>
    <w:rsid w:val="002864EB"/>
    <w:rsid w:val="00287822"/>
    <w:rsid w:val="00291DFE"/>
    <w:rsid w:val="00292C74"/>
    <w:rsid w:val="00293D17"/>
    <w:rsid w:val="002946CA"/>
    <w:rsid w:val="00294ACA"/>
    <w:rsid w:val="00294D6F"/>
    <w:rsid w:val="00294DAF"/>
    <w:rsid w:val="002961F9"/>
    <w:rsid w:val="00297461"/>
    <w:rsid w:val="00297AED"/>
    <w:rsid w:val="00297FD7"/>
    <w:rsid w:val="002A0840"/>
    <w:rsid w:val="002A0E2F"/>
    <w:rsid w:val="002A3882"/>
    <w:rsid w:val="002A3C18"/>
    <w:rsid w:val="002A5AAF"/>
    <w:rsid w:val="002A63E6"/>
    <w:rsid w:val="002B03C4"/>
    <w:rsid w:val="002B4A24"/>
    <w:rsid w:val="002B4BBE"/>
    <w:rsid w:val="002B4CA2"/>
    <w:rsid w:val="002B522E"/>
    <w:rsid w:val="002B547D"/>
    <w:rsid w:val="002B74E5"/>
    <w:rsid w:val="002C1533"/>
    <w:rsid w:val="002C5379"/>
    <w:rsid w:val="002C5C8F"/>
    <w:rsid w:val="002C728C"/>
    <w:rsid w:val="002D2A5B"/>
    <w:rsid w:val="002D3873"/>
    <w:rsid w:val="002D3A41"/>
    <w:rsid w:val="002D3ADE"/>
    <w:rsid w:val="002D4BCF"/>
    <w:rsid w:val="002D5B7F"/>
    <w:rsid w:val="002D664B"/>
    <w:rsid w:val="002D733F"/>
    <w:rsid w:val="002D7DA7"/>
    <w:rsid w:val="002E0837"/>
    <w:rsid w:val="002E246E"/>
    <w:rsid w:val="002E3DC9"/>
    <w:rsid w:val="002E55FC"/>
    <w:rsid w:val="002F0F49"/>
    <w:rsid w:val="002F6573"/>
    <w:rsid w:val="00300D01"/>
    <w:rsid w:val="00301C27"/>
    <w:rsid w:val="003028BD"/>
    <w:rsid w:val="003050A0"/>
    <w:rsid w:val="003055B3"/>
    <w:rsid w:val="003066F2"/>
    <w:rsid w:val="00312C70"/>
    <w:rsid w:val="003130F6"/>
    <w:rsid w:val="00314279"/>
    <w:rsid w:val="00314551"/>
    <w:rsid w:val="00314776"/>
    <w:rsid w:val="003150C1"/>
    <w:rsid w:val="0031664B"/>
    <w:rsid w:val="00317C07"/>
    <w:rsid w:val="003208A4"/>
    <w:rsid w:val="00321CD6"/>
    <w:rsid w:val="00322317"/>
    <w:rsid w:val="00322B7F"/>
    <w:rsid w:val="00322DB9"/>
    <w:rsid w:val="00324247"/>
    <w:rsid w:val="00324328"/>
    <w:rsid w:val="003254CE"/>
    <w:rsid w:val="00325FDB"/>
    <w:rsid w:val="003268FA"/>
    <w:rsid w:val="00326B88"/>
    <w:rsid w:val="00330206"/>
    <w:rsid w:val="00331721"/>
    <w:rsid w:val="00332489"/>
    <w:rsid w:val="00332F77"/>
    <w:rsid w:val="00333D66"/>
    <w:rsid w:val="00334919"/>
    <w:rsid w:val="003376E7"/>
    <w:rsid w:val="00337873"/>
    <w:rsid w:val="0034220D"/>
    <w:rsid w:val="00342F2F"/>
    <w:rsid w:val="00344325"/>
    <w:rsid w:val="00345AB3"/>
    <w:rsid w:val="00345FF0"/>
    <w:rsid w:val="00350C30"/>
    <w:rsid w:val="00351C07"/>
    <w:rsid w:val="0035201A"/>
    <w:rsid w:val="0035387F"/>
    <w:rsid w:val="003542B4"/>
    <w:rsid w:val="00356F6F"/>
    <w:rsid w:val="00357DA6"/>
    <w:rsid w:val="00361F8C"/>
    <w:rsid w:val="00362274"/>
    <w:rsid w:val="003635F8"/>
    <w:rsid w:val="003641FE"/>
    <w:rsid w:val="00364C06"/>
    <w:rsid w:val="003658E3"/>
    <w:rsid w:val="003704F2"/>
    <w:rsid w:val="00371CA7"/>
    <w:rsid w:val="003727F0"/>
    <w:rsid w:val="00376213"/>
    <w:rsid w:val="0038574F"/>
    <w:rsid w:val="00386017"/>
    <w:rsid w:val="00386457"/>
    <w:rsid w:val="00386AAD"/>
    <w:rsid w:val="0039173A"/>
    <w:rsid w:val="003927F2"/>
    <w:rsid w:val="00392F1E"/>
    <w:rsid w:val="0039333F"/>
    <w:rsid w:val="003934E9"/>
    <w:rsid w:val="00393D5A"/>
    <w:rsid w:val="0039405D"/>
    <w:rsid w:val="0039459A"/>
    <w:rsid w:val="00395846"/>
    <w:rsid w:val="00396AAD"/>
    <w:rsid w:val="00396BCF"/>
    <w:rsid w:val="003A326F"/>
    <w:rsid w:val="003A33E2"/>
    <w:rsid w:val="003A7474"/>
    <w:rsid w:val="003B0AEB"/>
    <w:rsid w:val="003B17FB"/>
    <w:rsid w:val="003B2704"/>
    <w:rsid w:val="003B2C28"/>
    <w:rsid w:val="003B3567"/>
    <w:rsid w:val="003B36A1"/>
    <w:rsid w:val="003B49E3"/>
    <w:rsid w:val="003C1548"/>
    <w:rsid w:val="003C1DF3"/>
    <w:rsid w:val="003C1E5A"/>
    <w:rsid w:val="003C251C"/>
    <w:rsid w:val="003C3121"/>
    <w:rsid w:val="003C385C"/>
    <w:rsid w:val="003C4F2A"/>
    <w:rsid w:val="003C64EA"/>
    <w:rsid w:val="003C7430"/>
    <w:rsid w:val="003D0CC7"/>
    <w:rsid w:val="003D1566"/>
    <w:rsid w:val="003E3C69"/>
    <w:rsid w:val="003E3F31"/>
    <w:rsid w:val="003E423A"/>
    <w:rsid w:val="003E4256"/>
    <w:rsid w:val="003F075E"/>
    <w:rsid w:val="003F3712"/>
    <w:rsid w:val="003F372E"/>
    <w:rsid w:val="003F5500"/>
    <w:rsid w:val="003F6460"/>
    <w:rsid w:val="003F69A3"/>
    <w:rsid w:val="003F6E14"/>
    <w:rsid w:val="004004D2"/>
    <w:rsid w:val="00401602"/>
    <w:rsid w:val="004021FC"/>
    <w:rsid w:val="004043DC"/>
    <w:rsid w:val="00404A4B"/>
    <w:rsid w:val="00404A74"/>
    <w:rsid w:val="004052ED"/>
    <w:rsid w:val="00405466"/>
    <w:rsid w:val="004058E0"/>
    <w:rsid w:val="004100B5"/>
    <w:rsid w:val="0041117F"/>
    <w:rsid w:val="00412822"/>
    <w:rsid w:val="00413245"/>
    <w:rsid w:val="0041478F"/>
    <w:rsid w:val="00417828"/>
    <w:rsid w:val="00420620"/>
    <w:rsid w:val="00420AEE"/>
    <w:rsid w:val="0042217A"/>
    <w:rsid w:val="0042444B"/>
    <w:rsid w:val="00426068"/>
    <w:rsid w:val="00426F49"/>
    <w:rsid w:val="00430CF9"/>
    <w:rsid w:val="00431248"/>
    <w:rsid w:val="00432058"/>
    <w:rsid w:val="00432442"/>
    <w:rsid w:val="00432644"/>
    <w:rsid w:val="00437F50"/>
    <w:rsid w:val="0044189F"/>
    <w:rsid w:val="004437CA"/>
    <w:rsid w:val="00443969"/>
    <w:rsid w:val="00444B8E"/>
    <w:rsid w:val="00444F7C"/>
    <w:rsid w:val="00445126"/>
    <w:rsid w:val="00446191"/>
    <w:rsid w:val="004463C0"/>
    <w:rsid w:val="00450695"/>
    <w:rsid w:val="00451C10"/>
    <w:rsid w:val="00451E04"/>
    <w:rsid w:val="00452F7C"/>
    <w:rsid w:val="0045430B"/>
    <w:rsid w:val="00454B4E"/>
    <w:rsid w:val="0046149A"/>
    <w:rsid w:val="0046177D"/>
    <w:rsid w:val="0046643E"/>
    <w:rsid w:val="00471089"/>
    <w:rsid w:val="0047461F"/>
    <w:rsid w:val="00474CB6"/>
    <w:rsid w:val="0047529B"/>
    <w:rsid w:val="0047551D"/>
    <w:rsid w:val="00477051"/>
    <w:rsid w:val="0048387C"/>
    <w:rsid w:val="004910D1"/>
    <w:rsid w:val="00492AEA"/>
    <w:rsid w:val="00493A34"/>
    <w:rsid w:val="00493CE7"/>
    <w:rsid w:val="00494974"/>
    <w:rsid w:val="00494991"/>
    <w:rsid w:val="00494BF1"/>
    <w:rsid w:val="00494DA7"/>
    <w:rsid w:val="004A0991"/>
    <w:rsid w:val="004A1A06"/>
    <w:rsid w:val="004A286E"/>
    <w:rsid w:val="004A3D64"/>
    <w:rsid w:val="004A3F7C"/>
    <w:rsid w:val="004A47B2"/>
    <w:rsid w:val="004A5B2B"/>
    <w:rsid w:val="004A6542"/>
    <w:rsid w:val="004B145B"/>
    <w:rsid w:val="004B1AD1"/>
    <w:rsid w:val="004B3D6A"/>
    <w:rsid w:val="004B6E3E"/>
    <w:rsid w:val="004B7D6C"/>
    <w:rsid w:val="004C01A3"/>
    <w:rsid w:val="004C0D02"/>
    <w:rsid w:val="004C0ED3"/>
    <w:rsid w:val="004C4FFD"/>
    <w:rsid w:val="004C6AF9"/>
    <w:rsid w:val="004C6E40"/>
    <w:rsid w:val="004C7C4E"/>
    <w:rsid w:val="004D0E2F"/>
    <w:rsid w:val="004D0F9E"/>
    <w:rsid w:val="004D1152"/>
    <w:rsid w:val="004D11C7"/>
    <w:rsid w:val="004D21B4"/>
    <w:rsid w:val="004D234A"/>
    <w:rsid w:val="004D2E94"/>
    <w:rsid w:val="004D3193"/>
    <w:rsid w:val="004D73FF"/>
    <w:rsid w:val="004E2A7E"/>
    <w:rsid w:val="004E2E1B"/>
    <w:rsid w:val="004F0D4C"/>
    <w:rsid w:val="004F1D78"/>
    <w:rsid w:val="00500874"/>
    <w:rsid w:val="00502F63"/>
    <w:rsid w:val="00505210"/>
    <w:rsid w:val="00507E7F"/>
    <w:rsid w:val="00510225"/>
    <w:rsid w:val="00510980"/>
    <w:rsid w:val="0051180C"/>
    <w:rsid w:val="00513A6E"/>
    <w:rsid w:val="005140B4"/>
    <w:rsid w:val="00514790"/>
    <w:rsid w:val="00516F79"/>
    <w:rsid w:val="005203C5"/>
    <w:rsid w:val="0052378D"/>
    <w:rsid w:val="00525703"/>
    <w:rsid w:val="00525A1A"/>
    <w:rsid w:val="00527834"/>
    <w:rsid w:val="005303D3"/>
    <w:rsid w:val="0053111D"/>
    <w:rsid w:val="00532F9C"/>
    <w:rsid w:val="00534D06"/>
    <w:rsid w:val="00536F9E"/>
    <w:rsid w:val="00546AC2"/>
    <w:rsid w:val="00547494"/>
    <w:rsid w:val="00552863"/>
    <w:rsid w:val="00553013"/>
    <w:rsid w:val="0055344A"/>
    <w:rsid w:val="005536F7"/>
    <w:rsid w:val="0055473E"/>
    <w:rsid w:val="00554DFA"/>
    <w:rsid w:val="00554F34"/>
    <w:rsid w:val="00557273"/>
    <w:rsid w:val="00560D35"/>
    <w:rsid w:val="00561D43"/>
    <w:rsid w:val="00564855"/>
    <w:rsid w:val="00566473"/>
    <w:rsid w:val="005669FC"/>
    <w:rsid w:val="00571FDC"/>
    <w:rsid w:val="00573126"/>
    <w:rsid w:val="00575C9F"/>
    <w:rsid w:val="00580787"/>
    <w:rsid w:val="00580FCA"/>
    <w:rsid w:val="005812F3"/>
    <w:rsid w:val="00581A54"/>
    <w:rsid w:val="00582812"/>
    <w:rsid w:val="00582E5E"/>
    <w:rsid w:val="00583440"/>
    <w:rsid w:val="005835D7"/>
    <w:rsid w:val="00584005"/>
    <w:rsid w:val="0058521A"/>
    <w:rsid w:val="00585E76"/>
    <w:rsid w:val="00586026"/>
    <w:rsid w:val="00586029"/>
    <w:rsid w:val="005941F8"/>
    <w:rsid w:val="00595016"/>
    <w:rsid w:val="005A059E"/>
    <w:rsid w:val="005A11FB"/>
    <w:rsid w:val="005A14F0"/>
    <w:rsid w:val="005A42E7"/>
    <w:rsid w:val="005A5CC9"/>
    <w:rsid w:val="005A73C6"/>
    <w:rsid w:val="005B1DA1"/>
    <w:rsid w:val="005B3290"/>
    <w:rsid w:val="005B34E5"/>
    <w:rsid w:val="005B3C17"/>
    <w:rsid w:val="005B41E4"/>
    <w:rsid w:val="005B45ED"/>
    <w:rsid w:val="005B469C"/>
    <w:rsid w:val="005B592E"/>
    <w:rsid w:val="005B5E4D"/>
    <w:rsid w:val="005B62D2"/>
    <w:rsid w:val="005B70B5"/>
    <w:rsid w:val="005C0C26"/>
    <w:rsid w:val="005C134E"/>
    <w:rsid w:val="005C18AD"/>
    <w:rsid w:val="005C1943"/>
    <w:rsid w:val="005C272E"/>
    <w:rsid w:val="005C2AD2"/>
    <w:rsid w:val="005C314F"/>
    <w:rsid w:val="005C51DD"/>
    <w:rsid w:val="005C5499"/>
    <w:rsid w:val="005C6211"/>
    <w:rsid w:val="005D0057"/>
    <w:rsid w:val="005D1717"/>
    <w:rsid w:val="005D1E39"/>
    <w:rsid w:val="005D22D9"/>
    <w:rsid w:val="005D30C8"/>
    <w:rsid w:val="005D712D"/>
    <w:rsid w:val="005E0BAB"/>
    <w:rsid w:val="005E0DCA"/>
    <w:rsid w:val="005E46DA"/>
    <w:rsid w:val="005E6166"/>
    <w:rsid w:val="005F13FD"/>
    <w:rsid w:val="005F1AA0"/>
    <w:rsid w:val="005F2815"/>
    <w:rsid w:val="005F397C"/>
    <w:rsid w:val="005F4E17"/>
    <w:rsid w:val="0060088C"/>
    <w:rsid w:val="00603B4A"/>
    <w:rsid w:val="006146F9"/>
    <w:rsid w:val="006157A9"/>
    <w:rsid w:val="00616D0E"/>
    <w:rsid w:val="00621709"/>
    <w:rsid w:val="00621AAE"/>
    <w:rsid w:val="006224E5"/>
    <w:rsid w:val="0062321E"/>
    <w:rsid w:val="00625181"/>
    <w:rsid w:val="006272E5"/>
    <w:rsid w:val="0063107F"/>
    <w:rsid w:val="006314E0"/>
    <w:rsid w:val="00631DA0"/>
    <w:rsid w:val="00633FBA"/>
    <w:rsid w:val="00634029"/>
    <w:rsid w:val="0063419F"/>
    <w:rsid w:val="0063494C"/>
    <w:rsid w:val="00634980"/>
    <w:rsid w:val="00637779"/>
    <w:rsid w:val="00642C27"/>
    <w:rsid w:val="00642D3C"/>
    <w:rsid w:val="00644133"/>
    <w:rsid w:val="00645A0D"/>
    <w:rsid w:val="00650E7E"/>
    <w:rsid w:val="00652F96"/>
    <w:rsid w:val="006549E7"/>
    <w:rsid w:val="00662EBA"/>
    <w:rsid w:val="0066392C"/>
    <w:rsid w:val="00663D20"/>
    <w:rsid w:val="0066498F"/>
    <w:rsid w:val="00665DA5"/>
    <w:rsid w:val="00666672"/>
    <w:rsid w:val="00667387"/>
    <w:rsid w:val="00667863"/>
    <w:rsid w:val="0067020C"/>
    <w:rsid w:val="0067189B"/>
    <w:rsid w:val="00672173"/>
    <w:rsid w:val="006742DF"/>
    <w:rsid w:val="00682B53"/>
    <w:rsid w:val="00683C41"/>
    <w:rsid w:val="00684C6C"/>
    <w:rsid w:val="00686430"/>
    <w:rsid w:val="006906F6"/>
    <w:rsid w:val="006918A6"/>
    <w:rsid w:val="00691B7D"/>
    <w:rsid w:val="00693F42"/>
    <w:rsid w:val="006956DF"/>
    <w:rsid w:val="00696157"/>
    <w:rsid w:val="006A0E57"/>
    <w:rsid w:val="006A323B"/>
    <w:rsid w:val="006A3883"/>
    <w:rsid w:val="006A4944"/>
    <w:rsid w:val="006A7A9B"/>
    <w:rsid w:val="006B0100"/>
    <w:rsid w:val="006B01E4"/>
    <w:rsid w:val="006B1391"/>
    <w:rsid w:val="006B2356"/>
    <w:rsid w:val="006B451E"/>
    <w:rsid w:val="006B4999"/>
    <w:rsid w:val="006B56B8"/>
    <w:rsid w:val="006B7748"/>
    <w:rsid w:val="006B7DC3"/>
    <w:rsid w:val="006C0F72"/>
    <w:rsid w:val="006C1B94"/>
    <w:rsid w:val="006C297C"/>
    <w:rsid w:val="006C682F"/>
    <w:rsid w:val="006C7DCE"/>
    <w:rsid w:val="006C7F41"/>
    <w:rsid w:val="006D051B"/>
    <w:rsid w:val="006D05C3"/>
    <w:rsid w:val="006D1698"/>
    <w:rsid w:val="006D20CC"/>
    <w:rsid w:val="006D3B65"/>
    <w:rsid w:val="006D3D77"/>
    <w:rsid w:val="006D553D"/>
    <w:rsid w:val="006D7321"/>
    <w:rsid w:val="006E2553"/>
    <w:rsid w:val="006E2797"/>
    <w:rsid w:val="006E776C"/>
    <w:rsid w:val="006F0518"/>
    <w:rsid w:val="006F2726"/>
    <w:rsid w:val="006F30EC"/>
    <w:rsid w:val="006F349D"/>
    <w:rsid w:val="006F3E45"/>
    <w:rsid w:val="006F3F27"/>
    <w:rsid w:val="006F4B0B"/>
    <w:rsid w:val="006F7DE5"/>
    <w:rsid w:val="00700277"/>
    <w:rsid w:val="007015F2"/>
    <w:rsid w:val="00703F5C"/>
    <w:rsid w:val="007044B7"/>
    <w:rsid w:val="007055EE"/>
    <w:rsid w:val="00707157"/>
    <w:rsid w:val="00707E16"/>
    <w:rsid w:val="0071204D"/>
    <w:rsid w:val="00712E62"/>
    <w:rsid w:val="00713EC3"/>
    <w:rsid w:val="00715794"/>
    <w:rsid w:val="00715B21"/>
    <w:rsid w:val="00717FE9"/>
    <w:rsid w:val="00720C52"/>
    <w:rsid w:val="00721570"/>
    <w:rsid w:val="0072354B"/>
    <w:rsid w:val="00724174"/>
    <w:rsid w:val="007244D9"/>
    <w:rsid w:val="00724B01"/>
    <w:rsid w:val="00727753"/>
    <w:rsid w:val="00730587"/>
    <w:rsid w:val="00730A4C"/>
    <w:rsid w:val="007330B2"/>
    <w:rsid w:val="00734502"/>
    <w:rsid w:val="00734943"/>
    <w:rsid w:val="00735E62"/>
    <w:rsid w:val="00746DFF"/>
    <w:rsid w:val="00750907"/>
    <w:rsid w:val="00752975"/>
    <w:rsid w:val="00755AA4"/>
    <w:rsid w:val="00755FEF"/>
    <w:rsid w:val="007617D1"/>
    <w:rsid w:val="00762EA8"/>
    <w:rsid w:val="00763D08"/>
    <w:rsid w:val="007707E9"/>
    <w:rsid w:val="00775C53"/>
    <w:rsid w:val="00777A03"/>
    <w:rsid w:val="00777D9F"/>
    <w:rsid w:val="007821C3"/>
    <w:rsid w:val="00782331"/>
    <w:rsid w:val="00782DF5"/>
    <w:rsid w:val="00784087"/>
    <w:rsid w:val="00785349"/>
    <w:rsid w:val="00785EF9"/>
    <w:rsid w:val="00786F0F"/>
    <w:rsid w:val="00787177"/>
    <w:rsid w:val="00791887"/>
    <w:rsid w:val="00791C91"/>
    <w:rsid w:val="00795559"/>
    <w:rsid w:val="0079555F"/>
    <w:rsid w:val="00795890"/>
    <w:rsid w:val="007A00D8"/>
    <w:rsid w:val="007A0A2F"/>
    <w:rsid w:val="007A1095"/>
    <w:rsid w:val="007A233B"/>
    <w:rsid w:val="007A2A46"/>
    <w:rsid w:val="007B211B"/>
    <w:rsid w:val="007B597E"/>
    <w:rsid w:val="007B5E23"/>
    <w:rsid w:val="007C2D6D"/>
    <w:rsid w:val="007C337B"/>
    <w:rsid w:val="007C3414"/>
    <w:rsid w:val="007D1124"/>
    <w:rsid w:val="007D1D3E"/>
    <w:rsid w:val="007D1E03"/>
    <w:rsid w:val="007D21A3"/>
    <w:rsid w:val="007D33DF"/>
    <w:rsid w:val="007D3E5F"/>
    <w:rsid w:val="007D5536"/>
    <w:rsid w:val="007D75E8"/>
    <w:rsid w:val="007E4B4E"/>
    <w:rsid w:val="007E4C08"/>
    <w:rsid w:val="007E64D4"/>
    <w:rsid w:val="007E6C8A"/>
    <w:rsid w:val="007E6F9B"/>
    <w:rsid w:val="007E7624"/>
    <w:rsid w:val="007F24C2"/>
    <w:rsid w:val="007F3660"/>
    <w:rsid w:val="007F3BAB"/>
    <w:rsid w:val="007F472B"/>
    <w:rsid w:val="007F4934"/>
    <w:rsid w:val="007F4CC6"/>
    <w:rsid w:val="007F4D41"/>
    <w:rsid w:val="0080037E"/>
    <w:rsid w:val="00802170"/>
    <w:rsid w:val="00803628"/>
    <w:rsid w:val="008038A2"/>
    <w:rsid w:val="0080470C"/>
    <w:rsid w:val="00807723"/>
    <w:rsid w:val="0081055C"/>
    <w:rsid w:val="00810C64"/>
    <w:rsid w:val="00811BF2"/>
    <w:rsid w:val="008145B9"/>
    <w:rsid w:val="00815617"/>
    <w:rsid w:val="00821135"/>
    <w:rsid w:val="00823C8A"/>
    <w:rsid w:val="008244C9"/>
    <w:rsid w:val="00825034"/>
    <w:rsid w:val="00825D2C"/>
    <w:rsid w:val="008263D0"/>
    <w:rsid w:val="008266A3"/>
    <w:rsid w:val="008274FA"/>
    <w:rsid w:val="0083015A"/>
    <w:rsid w:val="008309A1"/>
    <w:rsid w:val="00831AF3"/>
    <w:rsid w:val="00835BD4"/>
    <w:rsid w:val="00836BB4"/>
    <w:rsid w:val="00836C4C"/>
    <w:rsid w:val="00840973"/>
    <w:rsid w:val="00843C5C"/>
    <w:rsid w:val="008457AC"/>
    <w:rsid w:val="00846D69"/>
    <w:rsid w:val="00847C4D"/>
    <w:rsid w:val="00852088"/>
    <w:rsid w:val="00855C02"/>
    <w:rsid w:val="008565F6"/>
    <w:rsid w:val="00856FE9"/>
    <w:rsid w:val="00857236"/>
    <w:rsid w:val="00857C3A"/>
    <w:rsid w:val="00861DAD"/>
    <w:rsid w:val="00861E00"/>
    <w:rsid w:val="00861F2C"/>
    <w:rsid w:val="00863A9E"/>
    <w:rsid w:val="00863F70"/>
    <w:rsid w:val="00863FE3"/>
    <w:rsid w:val="00864033"/>
    <w:rsid w:val="00864DE4"/>
    <w:rsid w:val="00867C95"/>
    <w:rsid w:val="00871E35"/>
    <w:rsid w:val="00872125"/>
    <w:rsid w:val="00872253"/>
    <w:rsid w:val="008729ED"/>
    <w:rsid w:val="008740F6"/>
    <w:rsid w:val="008828C0"/>
    <w:rsid w:val="00882F51"/>
    <w:rsid w:val="0088321A"/>
    <w:rsid w:val="00884208"/>
    <w:rsid w:val="00886953"/>
    <w:rsid w:val="0089095A"/>
    <w:rsid w:val="00890F59"/>
    <w:rsid w:val="00892074"/>
    <w:rsid w:val="00892809"/>
    <w:rsid w:val="00892ABC"/>
    <w:rsid w:val="008A1979"/>
    <w:rsid w:val="008A19FB"/>
    <w:rsid w:val="008A1A07"/>
    <w:rsid w:val="008A694A"/>
    <w:rsid w:val="008B07E7"/>
    <w:rsid w:val="008B0BBF"/>
    <w:rsid w:val="008B41E9"/>
    <w:rsid w:val="008B4567"/>
    <w:rsid w:val="008C02EB"/>
    <w:rsid w:val="008C2B98"/>
    <w:rsid w:val="008C3D65"/>
    <w:rsid w:val="008C3EB0"/>
    <w:rsid w:val="008C481E"/>
    <w:rsid w:val="008C5250"/>
    <w:rsid w:val="008C5BD3"/>
    <w:rsid w:val="008C66CF"/>
    <w:rsid w:val="008D1B73"/>
    <w:rsid w:val="008D2600"/>
    <w:rsid w:val="008D76DD"/>
    <w:rsid w:val="008D7C3F"/>
    <w:rsid w:val="008D7CF1"/>
    <w:rsid w:val="008E1C57"/>
    <w:rsid w:val="008E56BB"/>
    <w:rsid w:val="008E74F1"/>
    <w:rsid w:val="008E7657"/>
    <w:rsid w:val="008F2395"/>
    <w:rsid w:val="008F3F50"/>
    <w:rsid w:val="008F4935"/>
    <w:rsid w:val="008F62E5"/>
    <w:rsid w:val="008F650B"/>
    <w:rsid w:val="00900D55"/>
    <w:rsid w:val="009022CA"/>
    <w:rsid w:val="0090342B"/>
    <w:rsid w:val="009036F6"/>
    <w:rsid w:val="00911748"/>
    <w:rsid w:val="00911FB8"/>
    <w:rsid w:val="00912221"/>
    <w:rsid w:val="00912873"/>
    <w:rsid w:val="00914815"/>
    <w:rsid w:val="00921B07"/>
    <w:rsid w:val="009242EA"/>
    <w:rsid w:val="00925775"/>
    <w:rsid w:val="00926101"/>
    <w:rsid w:val="00926C75"/>
    <w:rsid w:val="00927D3D"/>
    <w:rsid w:val="00930BCA"/>
    <w:rsid w:val="009314F0"/>
    <w:rsid w:val="00932C5B"/>
    <w:rsid w:val="0093315E"/>
    <w:rsid w:val="00933960"/>
    <w:rsid w:val="00933D56"/>
    <w:rsid w:val="00935D51"/>
    <w:rsid w:val="00943A7D"/>
    <w:rsid w:val="009536F7"/>
    <w:rsid w:val="00953CD4"/>
    <w:rsid w:val="0095433C"/>
    <w:rsid w:val="0095470C"/>
    <w:rsid w:val="00957218"/>
    <w:rsid w:val="00957346"/>
    <w:rsid w:val="00962F26"/>
    <w:rsid w:val="00962FD6"/>
    <w:rsid w:val="00963878"/>
    <w:rsid w:val="00964224"/>
    <w:rsid w:val="00967B36"/>
    <w:rsid w:val="00971C21"/>
    <w:rsid w:val="0097364D"/>
    <w:rsid w:val="00975FAC"/>
    <w:rsid w:val="00980CCC"/>
    <w:rsid w:val="00983803"/>
    <w:rsid w:val="009843B5"/>
    <w:rsid w:val="00985B27"/>
    <w:rsid w:val="009873CF"/>
    <w:rsid w:val="0099055A"/>
    <w:rsid w:val="0099331E"/>
    <w:rsid w:val="009933A9"/>
    <w:rsid w:val="009949DE"/>
    <w:rsid w:val="00996B26"/>
    <w:rsid w:val="00997735"/>
    <w:rsid w:val="009A15F8"/>
    <w:rsid w:val="009A181B"/>
    <w:rsid w:val="009A389C"/>
    <w:rsid w:val="009A5C40"/>
    <w:rsid w:val="009A6156"/>
    <w:rsid w:val="009A6B05"/>
    <w:rsid w:val="009B19DC"/>
    <w:rsid w:val="009B3FE0"/>
    <w:rsid w:val="009B6925"/>
    <w:rsid w:val="009C0BBD"/>
    <w:rsid w:val="009C1B7F"/>
    <w:rsid w:val="009C27BF"/>
    <w:rsid w:val="009C2DB1"/>
    <w:rsid w:val="009C3DC8"/>
    <w:rsid w:val="009C5349"/>
    <w:rsid w:val="009C5D2A"/>
    <w:rsid w:val="009C68B8"/>
    <w:rsid w:val="009D0D02"/>
    <w:rsid w:val="009D1FA6"/>
    <w:rsid w:val="009D6300"/>
    <w:rsid w:val="009E0B60"/>
    <w:rsid w:val="009E1ACE"/>
    <w:rsid w:val="009E2E3B"/>
    <w:rsid w:val="009E425C"/>
    <w:rsid w:val="009E532E"/>
    <w:rsid w:val="009E63C4"/>
    <w:rsid w:val="009F0239"/>
    <w:rsid w:val="009F14BD"/>
    <w:rsid w:val="009F1AAD"/>
    <w:rsid w:val="009F270D"/>
    <w:rsid w:val="009F32BE"/>
    <w:rsid w:val="009F4050"/>
    <w:rsid w:val="009F5F99"/>
    <w:rsid w:val="009F7C7C"/>
    <w:rsid w:val="00A0314D"/>
    <w:rsid w:val="00A050FE"/>
    <w:rsid w:val="00A05A0F"/>
    <w:rsid w:val="00A06566"/>
    <w:rsid w:val="00A07CFC"/>
    <w:rsid w:val="00A117DC"/>
    <w:rsid w:val="00A12601"/>
    <w:rsid w:val="00A13EBC"/>
    <w:rsid w:val="00A15664"/>
    <w:rsid w:val="00A1788F"/>
    <w:rsid w:val="00A200AE"/>
    <w:rsid w:val="00A20485"/>
    <w:rsid w:val="00A22DC6"/>
    <w:rsid w:val="00A24DAA"/>
    <w:rsid w:val="00A252A1"/>
    <w:rsid w:val="00A31979"/>
    <w:rsid w:val="00A33609"/>
    <w:rsid w:val="00A33906"/>
    <w:rsid w:val="00A35A2D"/>
    <w:rsid w:val="00A36CD7"/>
    <w:rsid w:val="00A41623"/>
    <w:rsid w:val="00A419D6"/>
    <w:rsid w:val="00A431FF"/>
    <w:rsid w:val="00A4332D"/>
    <w:rsid w:val="00A438DB"/>
    <w:rsid w:val="00A44132"/>
    <w:rsid w:val="00A44DAE"/>
    <w:rsid w:val="00A463D1"/>
    <w:rsid w:val="00A500D5"/>
    <w:rsid w:val="00A50BE9"/>
    <w:rsid w:val="00A50E05"/>
    <w:rsid w:val="00A51526"/>
    <w:rsid w:val="00A52AE1"/>
    <w:rsid w:val="00A52F31"/>
    <w:rsid w:val="00A53F46"/>
    <w:rsid w:val="00A5441A"/>
    <w:rsid w:val="00A63820"/>
    <w:rsid w:val="00A64DCF"/>
    <w:rsid w:val="00A650C8"/>
    <w:rsid w:val="00A70D7C"/>
    <w:rsid w:val="00A71D97"/>
    <w:rsid w:val="00A73452"/>
    <w:rsid w:val="00A74573"/>
    <w:rsid w:val="00A753A8"/>
    <w:rsid w:val="00A800D4"/>
    <w:rsid w:val="00A801B2"/>
    <w:rsid w:val="00A80360"/>
    <w:rsid w:val="00A821B1"/>
    <w:rsid w:val="00A82AAD"/>
    <w:rsid w:val="00A86280"/>
    <w:rsid w:val="00A91B54"/>
    <w:rsid w:val="00A9286D"/>
    <w:rsid w:val="00A92D62"/>
    <w:rsid w:val="00A969EE"/>
    <w:rsid w:val="00AA0FE6"/>
    <w:rsid w:val="00AA2925"/>
    <w:rsid w:val="00AA31F4"/>
    <w:rsid w:val="00AA41DB"/>
    <w:rsid w:val="00AA6C81"/>
    <w:rsid w:val="00AA73E1"/>
    <w:rsid w:val="00AA7529"/>
    <w:rsid w:val="00AB13BC"/>
    <w:rsid w:val="00AB39BC"/>
    <w:rsid w:val="00AB5C60"/>
    <w:rsid w:val="00AC1AF8"/>
    <w:rsid w:val="00AC2D74"/>
    <w:rsid w:val="00AC4547"/>
    <w:rsid w:val="00AC4746"/>
    <w:rsid w:val="00AC4E33"/>
    <w:rsid w:val="00AC560C"/>
    <w:rsid w:val="00AC561E"/>
    <w:rsid w:val="00AC6D70"/>
    <w:rsid w:val="00AC7935"/>
    <w:rsid w:val="00AD0591"/>
    <w:rsid w:val="00AD4997"/>
    <w:rsid w:val="00AE022E"/>
    <w:rsid w:val="00AE0252"/>
    <w:rsid w:val="00AE0281"/>
    <w:rsid w:val="00AE26FE"/>
    <w:rsid w:val="00AE2CAE"/>
    <w:rsid w:val="00AE3361"/>
    <w:rsid w:val="00AE3ABC"/>
    <w:rsid w:val="00AE74DE"/>
    <w:rsid w:val="00AF27CF"/>
    <w:rsid w:val="00AF27ED"/>
    <w:rsid w:val="00AF3097"/>
    <w:rsid w:val="00AF42AF"/>
    <w:rsid w:val="00AF50B8"/>
    <w:rsid w:val="00AF53D7"/>
    <w:rsid w:val="00AF7A70"/>
    <w:rsid w:val="00B02386"/>
    <w:rsid w:val="00B02F59"/>
    <w:rsid w:val="00B12AF5"/>
    <w:rsid w:val="00B154F0"/>
    <w:rsid w:val="00B171F8"/>
    <w:rsid w:val="00B20645"/>
    <w:rsid w:val="00B217DD"/>
    <w:rsid w:val="00B226CA"/>
    <w:rsid w:val="00B232CC"/>
    <w:rsid w:val="00B237CF"/>
    <w:rsid w:val="00B27657"/>
    <w:rsid w:val="00B27709"/>
    <w:rsid w:val="00B31590"/>
    <w:rsid w:val="00B3234E"/>
    <w:rsid w:val="00B32923"/>
    <w:rsid w:val="00B33303"/>
    <w:rsid w:val="00B34251"/>
    <w:rsid w:val="00B36913"/>
    <w:rsid w:val="00B40386"/>
    <w:rsid w:val="00B415EC"/>
    <w:rsid w:val="00B4362D"/>
    <w:rsid w:val="00B45020"/>
    <w:rsid w:val="00B4507F"/>
    <w:rsid w:val="00B45AB8"/>
    <w:rsid w:val="00B45DEE"/>
    <w:rsid w:val="00B46CE8"/>
    <w:rsid w:val="00B5076A"/>
    <w:rsid w:val="00B50F79"/>
    <w:rsid w:val="00B513DB"/>
    <w:rsid w:val="00B5585C"/>
    <w:rsid w:val="00B562D7"/>
    <w:rsid w:val="00B56539"/>
    <w:rsid w:val="00B56E01"/>
    <w:rsid w:val="00B57A0F"/>
    <w:rsid w:val="00B62170"/>
    <w:rsid w:val="00B634A6"/>
    <w:rsid w:val="00B637CB"/>
    <w:rsid w:val="00B64636"/>
    <w:rsid w:val="00B65D98"/>
    <w:rsid w:val="00B678E8"/>
    <w:rsid w:val="00B7053A"/>
    <w:rsid w:val="00B71AEB"/>
    <w:rsid w:val="00B73012"/>
    <w:rsid w:val="00B770D3"/>
    <w:rsid w:val="00B77264"/>
    <w:rsid w:val="00B80988"/>
    <w:rsid w:val="00B80D81"/>
    <w:rsid w:val="00B823D1"/>
    <w:rsid w:val="00B8403B"/>
    <w:rsid w:val="00B871F4"/>
    <w:rsid w:val="00B875A6"/>
    <w:rsid w:val="00B876A2"/>
    <w:rsid w:val="00B879C5"/>
    <w:rsid w:val="00B915FE"/>
    <w:rsid w:val="00B92698"/>
    <w:rsid w:val="00B94C68"/>
    <w:rsid w:val="00B95018"/>
    <w:rsid w:val="00B96A98"/>
    <w:rsid w:val="00BA1B2C"/>
    <w:rsid w:val="00BA1BBD"/>
    <w:rsid w:val="00BA24E5"/>
    <w:rsid w:val="00BA2998"/>
    <w:rsid w:val="00BA3364"/>
    <w:rsid w:val="00BA5FAD"/>
    <w:rsid w:val="00BA6888"/>
    <w:rsid w:val="00BA6DF1"/>
    <w:rsid w:val="00BB07D6"/>
    <w:rsid w:val="00BB0F94"/>
    <w:rsid w:val="00BB2C31"/>
    <w:rsid w:val="00BB3397"/>
    <w:rsid w:val="00BB3844"/>
    <w:rsid w:val="00BB4788"/>
    <w:rsid w:val="00BB536A"/>
    <w:rsid w:val="00BC1B4A"/>
    <w:rsid w:val="00BC6FE6"/>
    <w:rsid w:val="00BD0751"/>
    <w:rsid w:val="00BD3B65"/>
    <w:rsid w:val="00BD4B70"/>
    <w:rsid w:val="00BD4FFA"/>
    <w:rsid w:val="00BD55B0"/>
    <w:rsid w:val="00BD6A5F"/>
    <w:rsid w:val="00BE1E23"/>
    <w:rsid w:val="00BE7859"/>
    <w:rsid w:val="00BF6824"/>
    <w:rsid w:val="00BF7D79"/>
    <w:rsid w:val="00C0080F"/>
    <w:rsid w:val="00C0637E"/>
    <w:rsid w:val="00C06E3C"/>
    <w:rsid w:val="00C075A8"/>
    <w:rsid w:val="00C07AE7"/>
    <w:rsid w:val="00C10AC1"/>
    <w:rsid w:val="00C11800"/>
    <w:rsid w:val="00C11A5A"/>
    <w:rsid w:val="00C12620"/>
    <w:rsid w:val="00C12AB8"/>
    <w:rsid w:val="00C142B7"/>
    <w:rsid w:val="00C174FB"/>
    <w:rsid w:val="00C17D15"/>
    <w:rsid w:val="00C215B7"/>
    <w:rsid w:val="00C222E7"/>
    <w:rsid w:val="00C22E74"/>
    <w:rsid w:val="00C242C3"/>
    <w:rsid w:val="00C244F2"/>
    <w:rsid w:val="00C26632"/>
    <w:rsid w:val="00C26962"/>
    <w:rsid w:val="00C306EA"/>
    <w:rsid w:val="00C32637"/>
    <w:rsid w:val="00C35CAF"/>
    <w:rsid w:val="00C36294"/>
    <w:rsid w:val="00C41575"/>
    <w:rsid w:val="00C41997"/>
    <w:rsid w:val="00C420C4"/>
    <w:rsid w:val="00C42AA3"/>
    <w:rsid w:val="00C42D97"/>
    <w:rsid w:val="00C4582F"/>
    <w:rsid w:val="00C517DA"/>
    <w:rsid w:val="00C52083"/>
    <w:rsid w:val="00C526E1"/>
    <w:rsid w:val="00C54DC9"/>
    <w:rsid w:val="00C5505F"/>
    <w:rsid w:val="00C55D5B"/>
    <w:rsid w:val="00C575CF"/>
    <w:rsid w:val="00C575E1"/>
    <w:rsid w:val="00C5796F"/>
    <w:rsid w:val="00C60917"/>
    <w:rsid w:val="00C60C2E"/>
    <w:rsid w:val="00C66C5F"/>
    <w:rsid w:val="00C70BDA"/>
    <w:rsid w:val="00C70CCA"/>
    <w:rsid w:val="00C71E26"/>
    <w:rsid w:val="00C72903"/>
    <w:rsid w:val="00C73474"/>
    <w:rsid w:val="00C75F8A"/>
    <w:rsid w:val="00C8062A"/>
    <w:rsid w:val="00C80D29"/>
    <w:rsid w:val="00C8152C"/>
    <w:rsid w:val="00C820DE"/>
    <w:rsid w:val="00C878CA"/>
    <w:rsid w:val="00C91111"/>
    <w:rsid w:val="00C921CF"/>
    <w:rsid w:val="00C92B60"/>
    <w:rsid w:val="00C9350E"/>
    <w:rsid w:val="00C94B77"/>
    <w:rsid w:val="00C94C95"/>
    <w:rsid w:val="00C955C2"/>
    <w:rsid w:val="00CA17BE"/>
    <w:rsid w:val="00CA1AB9"/>
    <w:rsid w:val="00CA3447"/>
    <w:rsid w:val="00CA492C"/>
    <w:rsid w:val="00CA77B6"/>
    <w:rsid w:val="00CB3D28"/>
    <w:rsid w:val="00CB3F20"/>
    <w:rsid w:val="00CB574D"/>
    <w:rsid w:val="00CB5F84"/>
    <w:rsid w:val="00CB6DB9"/>
    <w:rsid w:val="00CC5678"/>
    <w:rsid w:val="00CC5978"/>
    <w:rsid w:val="00CC6BF7"/>
    <w:rsid w:val="00CC6C40"/>
    <w:rsid w:val="00CD170F"/>
    <w:rsid w:val="00CD1DCA"/>
    <w:rsid w:val="00CD273A"/>
    <w:rsid w:val="00CD42A8"/>
    <w:rsid w:val="00CD5396"/>
    <w:rsid w:val="00CD6E8E"/>
    <w:rsid w:val="00CD6FD0"/>
    <w:rsid w:val="00CD7881"/>
    <w:rsid w:val="00CE3649"/>
    <w:rsid w:val="00CE3FD7"/>
    <w:rsid w:val="00CF07D0"/>
    <w:rsid w:val="00CF1238"/>
    <w:rsid w:val="00CF1B1C"/>
    <w:rsid w:val="00CF1C6A"/>
    <w:rsid w:val="00CF7170"/>
    <w:rsid w:val="00D012AA"/>
    <w:rsid w:val="00D014D9"/>
    <w:rsid w:val="00D01952"/>
    <w:rsid w:val="00D03838"/>
    <w:rsid w:val="00D04A87"/>
    <w:rsid w:val="00D06316"/>
    <w:rsid w:val="00D06E8A"/>
    <w:rsid w:val="00D07EA9"/>
    <w:rsid w:val="00D108F2"/>
    <w:rsid w:val="00D11FCE"/>
    <w:rsid w:val="00D129D5"/>
    <w:rsid w:val="00D13062"/>
    <w:rsid w:val="00D15647"/>
    <w:rsid w:val="00D20A9E"/>
    <w:rsid w:val="00D21C91"/>
    <w:rsid w:val="00D2699B"/>
    <w:rsid w:val="00D278D5"/>
    <w:rsid w:val="00D317FA"/>
    <w:rsid w:val="00D31A96"/>
    <w:rsid w:val="00D352F1"/>
    <w:rsid w:val="00D35BC0"/>
    <w:rsid w:val="00D3649C"/>
    <w:rsid w:val="00D37AA4"/>
    <w:rsid w:val="00D37F69"/>
    <w:rsid w:val="00D4004D"/>
    <w:rsid w:val="00D40754"/>
    <w:rsid w:val="00D407F5"/>
    <w:rsid w:val="00D42097"/>
    <w:rsid w:val="00D43EA2"/>
    <w:rsid w:val="00D4454F"/>
    <w:rsid w:val="00D476F0"/>
    <w:rsid w:val="00D47916"/>
    <w:rsid w:val="00D50B16"/>
    <w:rsid w:val="00D52671"/>
    <w:rsid w:val="00D55FBE"/>
    <w:rsid w:val="00D564D3"/>
    <w:rsid w:val="00D56AEC"/>
    <w:rsid w:val="00D57684"/>
    <w:rsid w:val="00D60B13"/>
    <w:rsid w:val="00D60CC1"/>
    <w:rsid w:val="00D633A5"/>
    <w:rsid w:val="00D67BC4"/>
    <w:rsid w:val="00D67DF4"/>
    <w:rsid w:val="00D70925"/>
    <w:rsid w:val="00D77472"/>
    <w:rsid w:val="00D7796B"/>
    <w:rsid w:val="00D811F5"/>
    <w:rsid w:val="00D837D3"/>
    <w:rsid w:val="00D85107"/>
    <w:rsid w:val="00D8529D"/>
    <w:rsid w:val="00D86693"/>
    <w:rsid w:val="00D90DA9"/>
    <w:rsid w:val="00D90F97"/>
    <w:rsid w:val="00D923B0"/>
    <w:rsid w:val="00D92BE5"/>
    <w:rsid w:val="00D950EE"/>
    <w:rsid w:val="00DA5ACB"/>
    <w:rsid w:val="00DB0A8F"/>
    <w:rsid w:val="00DB31D6"/>
    <w:rsid w:val="00DB5B71"/>
    <w:rsid w:val="00DB6EAC"/>
    <w:rsid w:val="00DB7FEC"/>
    <w:rsid w:val="00DC09ED"/>
    <w:rsid w:val="00DC68B6"/>
    <w:rsid w:val="00DD0A79"/>
    <w:rsid w:val="00DD1397"/>
    <w:rsid w:val="00DD13A1"/>
    <w:rsid w:val="00DD16A8"/>
    <w:rsid w:val="00DD1AE8"/>
    <w:rsid w:val="00DD355B"/>
    <w:rsid w:val="00DD3D04"/>
    <w:rsid w:val="00DD465D"/>
    <w:rsid w:val="00DD47A6"/>
    <w:rsid w:val="00DD788C"/>
    <w:rsid w:val="00DE1A6E"/>
    <w:rsid w:val="00DE1DEC"/>
    <w:rsid w:val="00DE239E"/>
    <w:rsid w:val="00DE3428"/>
    <w:rsid w:val="00DE4E7E"/>
    <w:rsid w:val="00DE54A1"/>
    <w:rsid w:val="00DE7BEC"/>
    <w:rsid w:val="00DF605D"/>
    <w:rsid w:val="00E00CAB"/>
    <w:rsid w:val="00E01979"/>
    <w:rsid w:val="00E03A08"/>
    <w:rsid w:val="00E07AB4"/>
    <w:rsid w:val="00E1257D"/>
    <w:rsid w:val="00E17407"/>
    <w:rsid w:val="00E20E86"/>
    <w:rsid w:val="00E21A2D"/>
    <w:rsid w:val="00E22159"/>
    <w:rsid w:val="00E22384"/>
    <w:rsid w:val="00E232A1"/>
    <w:rsid w:val="00E23C64"/>
    <w:rsid w:val="00E256D5"/>
    <w:rsid w:val="00E25D75"/>
    <w:rsid w:val="00E26A67"/>
    <w:rsid w:val="00E27400"/>
    <w:rsid w:val="00E31C83"/>
    <w:rsid w:val="00E32D3A"/>
    <w:rsid w:val="00E335F3"/>
    <w:rsid w:val="00E336FB"/>
    <w:rsid w:val="00E34036"/>
    <w:rsid w:val="00E350A9"/>
    <w:rsid w:val="00E374D6"/>
    <w:rsid w:val="00E3776B"/>
    <w:rsid w:val="00E42A4F"/>
    <w:rsid w:val="00E52C44"/>
    <w:rsid w:val="00E573FA"/>
    <w:rsid w:val="00E57A95"/>
    <w:rsid w:val="00E61115"/>
    <w:rsid w:val="00E63057"/>
    <w:rsid w:val="00E63B44"/>
    <w:rsid w:val="00E668EF"/>
    <w:rsid w:val="00E73191"/>
    <w:rsid w:val="00E734B3"/>
    <w:rsid w:val="00E735B0"/>
    <w:rsid w:val="00E736B0"/>
    <w:rsid w:val="00E73EB1"/>
    <w:rsid w:val="00E77C69"/>
    <w:rsid w:val="00E8012D"/>
    <w:rsid w:val="00E801E3"/>
    <w:rsid w:val="00E81653"/>
    <w:rsid w:val="00E84001"/>
    <w:rsid w:val="00E84482"/>
    <w:rsid w:val="00E8505A"/>
    <w:rsid w:val="00E90612"/>
    <w:rsid w:val="00E90B51"/>
    <w:rsid w:val="00E95866"/>
    <w:rsid w:val="00EA0825"/>
    <w:rsid w:val="00EA0A3A"/>
    <w:rsid w:val="00EA0D26"/>
    <w:rsid w:val="00EA1317"/>
    <w:rsid w:val="00EA457C"/>
    <w:rsid w:val="00EA4FF1"/>
    <w:rsid w:val="00EA5125"/>
    <w:rsid w:val="00EA578D"/>
    <w:rsid w:val="00EA711A"/>
    <w:rsid w:val="00EB039A"/>
    <w:rsid w:val="00EB4177"/>
    <w:rsid w:val="00EB5288"/>
    <w:rsid w:val="00EB5666"/>
    <w:rsid w:val="00EB5D06"/>
    <w:rsid w:val="00EB66FA"/>
    <w:rsid w:val="00EC11FC"/>
    <w:rsid w:val="00EC451F"/>
    <w:rsid w:val="00ED0632"/>
    <w:rsid w:val="00ED284E"/>
    <w:rsid w:val="00ED2F55"/>
    <w:rsid w:val="00ED3BD6"/>
    <w:rsid w:val="00ED44BE"/>
    <w:rsid w:val="00ED4EBE"/>
    <w:rsid w:val="00ED509F"/>
    <w:rsid w:val="00ED7EE1"/>
    <w:rsid w:val="00EE2280"/>
    <w:rsid w:val="00EE4168"/>
    <w:rsid w:val="00EE5DAE"/>
    <w:rsid w:val="00EF3155"/>
    <w:rsid w:val="00F01EC3"/>
    <w:rsid w:val="00F03678"/>
    <w:rsid w:val="00F04959"/>
    <w:rsid w:val="00F06931"/>
    <w:rsid w:val="00F07A41"/>
    <w:rsid w:val="00F118F4"/>
    <w:rsid w:val="00F130AE"/>
    <w:rsid w:val="00F13DF2"/>
    <w:rsid w:val="00F13FBC"/>
    <w:rsid w:val="00F14335"/>
    <w:rsid w:val="00F14E44"/>
    <w:rsid w:val="00F20F75"/>
    <w:rsid w:val="00F21D03"/>
    <w:rsid w:val="00F23FDB"/>
    <w:rsid w:val="00F24514"/>
    <w:rsid w:val="00F2466A"/>
    <w:rsid w:val="00F251CB"/>
    <w:rsid w:val="00F33D53"/>
    <w:rsid w:val="00F34757"/>
    <w:rsid w:val="00F34AD3"/>
    <w:rsid w:val="00F353C4"/>
    <w:rsid w:val="00F36000"/>
    <w:rsid w:val="00F3774D"/>
    <w:rsid w:val="00F4320D"/>
    <w:rsid w:val="00F467E9"/>
    <w:rsid w:val="00F4734C"/>
    <w:rsid w:val="00F51471"/>
    <w:rsid w:val="00F51FC6"/>
    <w:rsid w:val="00F6112B"/>
    <w:rsid w:val="00F62420"/>
    <w:rsid w:val="00F62CA6"/>
    <w:rsid w:val="00F62D90"/>
    <w:rsid w:val="00F62DF4"/>
    <w:rsid w:val="00F6509B"/>
    <w:rsid w:val="00F66E0E"/>
    <w:rsid w:val="00F67B45"/>
    <w:rsid w:val="00F71259"/>
    <w:rsid w:val="00F73CD4"/>
    <w:rsid w:val="00F76D0F"/>
    <w:rsid w:val="00F77C3C"/>
    <w:rsid w:val="00F85D33"/>
    <w:rsid w:val="00F85F42"/>
    <w:rsid w:val="00F86B1A"/>
    <w:rsid w:val="00F87462"/>
    <w:rsid w:val="00F90AAA"/>
    <w:rsid w:val="00F91EB4"/>
    <w:rsid w:val="00F93355"/>
    <w:rsid w:val="00F94448"/>
    <w:rsid w:val="00F95CF3"/>
    <w:rsid w:val="00F95FAF"/>
    <w:rsid w:val="00F963E8"/>
    <w:rsid w:val="00F9648B"/>
    <w:rsid w:val="00F96F9F"/>
    <w:rsid w:val="00F976B0"/>
    <w:rsid w:val="00FA13CE"/>
    <w:rsid w:val="00FA2B26"/>
    <w:rsid w:val="00FA2B28"/>
    <w:rsid w:val="00FA3F07"/>
    <w:rsid w:val="00FA45A5"/>
    <w:rsid w:val="00FB119F"/>
    <w:rsid w:val="00FB3614"/>
    <w:rsid w:val="00FB3B91"/>
    <w:rsid w:val="00FB4002"/>
    <w:rsid w:val="00FB5356"/>
    <w:rsid w:val="00FB5E71"/>
    <w:rsid w:val="00FB7800"/>
    <w:rsid w:val="00FC0759"/>
    <w:rsid w:val="00FC1093"/>
    <w:rsid w:val="00FC435E"/>
    <w:rsid w:val="00FC577F"/>
    <w:rsid w:val="00FD1E7A"/>
    <w:rsid w:val="00FD350E"/>
    <w:rsid w:val="00FD3BEF"/>
    <w:rsid w:val="00FD4180"/>
    <w:rsid w:val="00FD503F"/>
    <w:rsid w:val="00FD6B00"/>
    <w:rsid w:val="00FD748B"/>
    <w:rsid w:val="00FD74D6"/>
    <w:rsid w:val="00FE2800"/>
    <w:rsid w:val="00FE5826"/>
    <w:rsid w:val="00FE59F4"/>
    <w:rsid w:val="00FE66DC"/>
    <w:rsid w:val="00FF0E76"/>
    <w:rsid w:val="00FF153B"/>
    <w:rsid w:val="00FF2172"/>
    <w:rsid w:val="00FF5540"/>
    <w:rsid w:val="00FF5BC0"/>
    <w:rsid w:val="00FF5F20"/>
    <w:rsid w:val="00FF73D9"/>
    <w:rsid w:val="00FF7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42A8"/>
    <w:rPr>
      <w:sz w:val="24"/>
      <w:szCs w:val="24"/>
    </w:rPr>
  </w:style>
  <w:style w:type="paragraph" w:styleId="berschrift1">
    <w:name w:val="heading 1"/>
    <w:basedOn w:val="Standard"/>
    <w:next w:val="Standard"/>
    <w:link w:val="berschrift1Zchn"/>
    <w:qFormat/>
    <w:rsid w:val="00855C02"/>
    <w:pPr>
      <w:keepNext/>
      <w:keepLines/>
      <w:spacing w:before="480"/>
      <w:outlineLvl w:val="0"/>
    </w:pPr>
    <w:rPr>
      <w:rFonts w:ascii="Cambria" w:hAnsi="Cambria" w:cs="Cambria"/>
      <w:b/>
      <w:bCs/>
      <w:color w:val="365F91"/>
      <w:sz w:val="28"/>
      <w:szCs w:val="28"/>
    </w:rPr>
  </w:style>
  <w:style w:type="paragraph" w:styleId="berschrift3">
    <w:name w:val="heading 3"/>
    <w:basedOn w:val="Standard"/>
    <w:next w:val="Standard"/>
    <w:link w:val="berschrift3Zchn"/>
    <w:qFormat/>
    <w:rsid w:val="003F69A3"/>
    <w:pPr>
      <w:keepNext/>
      <w:keepLines/>
      <w:spacing w:before="200"/>
      <w:outlineLvl w:val="2"/>
    </w:pPr>
    <w:rPr>
      <w:rFonts w:ascii="Cambria" w:hAnsi="Cambria" w:cs="Cambria"/>
      <w:b/>
      <w:bCs/>
      <w:color w:val="4F81BD"/>
    </w:rPr>
  </w:style>
  <w:style w:type="paragraph" w:styleId="berschrift4">
    <w:name w:val="heading 4"/>
    <w:basedOn w:val="Standard"/>
    <w:next w:val="Standard"/>
    <w:link w:val="berschrift4Zchn"/>
    <w:qFormat/>
    <w:rsid w:val="00D3649C"/>
    <w:pPr>
      <w:keepNext/>
      <w:keepLines/>
      <w:spacing w:before="200"/>
      <w:outlineLvl w:val="3"/>
    </w:pPr>
    <w:rPr>
      <w:rFonts w:ascii="Cambria" w:hAnsi="Cambria" w:cs="Cambria"/>
      <w:b/>
      <w:bCs/>
      <w:i/>
      <w:iCs/>
      <w:color w:val="4F81BD"/>
    </w:rPr>
  </w:style>
  <w:style w:type="paragraph" w:styleId="berschrift6">
    <w:name w:val="heading 6"/>
    <w:basedOn w:val="Standard"/>
    <w:next w:val="Standard"/>
    <w:link w:val="berschrift6Zchn"/>
    <w:qFormat/>
    <w:rsid w:val="00E00CAB"/>
    <w:pPr>
      <w:keepNext/>
      <w:spacing w:line="480" w:lineRule="auto"/>
      <w:jc w:val="both"/>
      <w:outlineLvl w:val="5"/>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855C02"/>
    <w:rPr>
      <w:rFonts w:ascii="Cambria" w:hAnsi="Cambria" w:cs="Cambria"/>
      <w:b/>
      <w:bCs/>
      <w:color w:val="365F91"/>
      <w:sz w:val="28"/>
      <w:szCs w:val="28"/>
    </w:rPr>
  </w:style>
  <w:style w:type="character" w:customStyle="1" w:styleId="berschrift3Zchn">
    <w:name w:val="Überschrift 3 Zchn"/>
    <w:link w:val="berschrift3"/>
    <w:semiHidden/>
    <w:locked/>
    <w:rsid w:val="003F69A3"/>
    <w:rPr>
      <w:rFonts w:ascii="Cambria" w:hAnsi="Cambria" w:cs="Cambria"/>
      <w:b/>
      <w:bCs/>
      <w:color w:val="4F81BD"/>
      <w:sz w:val="24"/>
      <w:szCs w:val="24"/>
    </w:rPr>
  </w:style>
  <w:style w:type="character" w:customStyle="1" w:styleId="berschrift4Zchn">
    <w:name w:val="Überschrift 4 Zchn"/>
    <w:link w:val="berschrift4"/>
    <w:semiHidden/>
    <w:locked/>
    <w:rsid w:val="00D3649C"/>
    <w:rPr>
      <w:rFonts w:ascii="Cambria" w:hAnsi="Cambria" w:cs="Cambria"/>
      <w:b/>
      <w:bCs/>
      <w:i/>
      <w:iCs/>
      <w:color w:val="4F81BD"/>
      <w:sz w:val="24"/>
      <w:szCs w:val="24"/>
    </w:rPr>
  </w:style>
  <w:style w:type="character" w:customStyle="1" w:styleId="berschrift6Zchn">
    <w:name w:val="Überschrift 6 Zchn"/>
    <w:link w:val="berschrift6"/>
    <w:locked/>
    <w:rsid w:val="00E00CAB"/>
    <w:rPr>
      <w:rFonts w:cs="Times New Roman"/>
      <w:b/>
      <w:bCs/>
      <w:sz w:val="24"/>
      <w:szCs w:val="24"/>
      <w:lang w:val="en-GB" w:eastAsia="de-DE"/>
    </w:rPr>
  </w:style>
  <w:style w:type="paragraph" w:customStyle="1" w:styleId="BaseText">
    <w:name w:val="Base_Text"/>
    <w:rsid w:val="00E00CAB"/>
    <w:pPr>
      <w:spacing w:before="120"/>
    </w:pPr>
    <w:rPr>
      <w:sz w:val="24"/>
      <w:szCs w:val="24"/>
      <w:lang w:val="en-US" w:eastAsia="en-US"/>
    </w:rPr>
  </w:style>
  <w:style w:type="paragraph" w:customStyle="1" w:styleId="1stparatext">
    <w:name w:val="1st para text"/>
    <w:basedOn w:val="BaseText"/>
    <w:rsid w:val="00E00CAB"/>
  </w:style>
  <w:style w:type="paragraph" w:customStyle="1" w:styleId="BaseHeading">
    <w:name w:val="Base_Heading"/>
    <w:rsid w:val="00E00CAB"/>
    <w:pPr>
      <w:keepNext/>
      <w:spacing w:before="240"/>
      <w:outlineLvl w:val="0"/>
    </w:pPr>
    <w:rPr>
      <w:kern w:val="28"/>
      <w:sz w:val="28"/>
      <w:szCs w:val="28"/>
      <w:lang w:val="en-US" w:eastAsia="en-US"/>
    </w:rPr>
  </w:style>
  <w:style w:type="paragraph" w:customStyle="1" w:styleId="AbstractHead">
    <w:name w:val="Abstract Head"/>
    <w:basedOn w:val="BaseHeading"/>
    <w:rsid w:val="00E00CAB"/>
  </w:style>
  <w:style w:type="paragraph" w:customStyle="1" w:styleId="AbstractSummary">
    <w:name w:val="Abstract/Summary"/>
    <w:basedOn w:val="BaseText"/>
    <w:rsid w:val="00E00CAB"/>
  </w:style>
  <w:style w:type="paragraph" w:customStyle="1" w:styleId="Referencesandnotes">
    <w:name w:val="References and notes"/>
    <w:basedOn w:val="BaseText"/>
    <w:rsid w:val="00E00CAB"/>
    <w:pPr>
      <w:ind w:left="720" w:hanging="720"/>
    </w:pPr>
  </w:style>
  <w:style w:type="paragraph" w:customStyle="1" w:styleId="Acknowledgement">
    <w:name w:val="Acknowledgement"/>
    <w:basedOn w:val="Referencesandnotes"/>
    <w:rsid w:val="00E00CAB"/>
  </w:style>
  <w:style w:type="paragraph" w:customStyle="1" w:styleId="Subhead">
    <w:name w:val="Subhead"/>
    <w:basedOn w:val="BaseHeading"/>
    <w:rsid w:val="00E00CAB"/>
    <w:rPr>
      <w:b/>
      <w:bCs/>
      <w:sz w:val="24"/>
      <w:szCs w:val="24"/>
    </w:rPr>
  </w:style>
  <w:style w:type="paragraph" w:customStyle="1" w:styleId="AppendixHead">
    <w:name w:val="AppendixHead"/>
    <w:basedOn w:val="Subhead"/>
    <w:rsid w:val="00E00CAB"/>
  </w:style>
  <w:style w:type="paragraph" w:customStyle="1" w:styleId="AppendixSubhead">
    <w:name w:val="AppendixSubhead"/>
    <w:basedOn w:val="Subhead"/>
    <w:rsid w:val="00E00CAB"/>
  </w:style>
  <w:style w:type="paragraph" w:customStyle="1" w:styleId="Articletype">
    <w:name w:val="Article type"/>
    <w:basedOn w:val="BaseText"/>
    <w:rsid w:val="00E00CAB"/>
  </w:style>
  <w:style w:type="character" w:customStyle="1" w:styleId="aubase">
    <w:name w:val="au_base"/>
    <w:rsid w:val="00E00CAB"/>
    <w:rPr>
      <w:sz w:val="24"/>
    </w:rPr>
  </w:style>
  <w:style w:type="character" w:customStyle="1" w:styleId="aucollab">
    <w:name w:val="au_collab"/>
    <w:rsid w:val="00E00CAB"/>
    <w:rPr>
      <w:sz w:val="24"/>
      <w:shd w:val="clear" w:color="auto" w:fill="C0C0C0"/>
    </w:rPr>
  </w:style>
  <w:style w:type="character" w:customStyle="1" w:styleId="audeg">
    <w:name w:val="au_deg"/>
    <w:rsid w:val="00E00CAB"/>
    <w:rPr>
      <w:sz w:val="24"/>
      <w:shd w:val="clear" w:color="auto" w:fill="FFFF00"/>
    </w:rPr>
  </w:style>
  <w:style w:type="character" w:customStyle="1" w:styleId="aufname">
    <w:name w:val="au_fname"/>
    <w:rsid w:val="00E00CAB"/>
    <w:rPr>
      <w:sz w:val="24"/>
      <w:shd w:val="clear" w:color="auto" w:fill="00FFFF"/>
    </w:rPr>
  </w:style>
  <w:style w:type="character" w:customStyle="1" w:styleId="aurole">
    <w:name w:val="au_role"/>
    <w:rsid w:val="00E00CAB"/>
    <w:rPr>
      <w:sz w:val="24"/>
      <w:shd w:val="clear" w:color="auto" w:fill="808000"/>
    </w:rPr>
  </w:style>
  <w:style w:type="character" w:customStyle="1" w:styleId="ausuffix">
    <w:name w:val="au_suffix"/>
    <w:rsid w:val="00E00CAB"/>
    <w:rPr>
      <w:sz w:val="24"/>
      <w:shd w:val="clear" w:color="auto" w:fill="FF00FF"/>
    </w:rPr>
  </w:style>
  <w:style w:type="character" w:customStyle="1" w:styleId="ausurname">
    <w:name w:val="au_surname"/>
    <w:rsid w:val="00E00CAB"/>
    <w:rPr>
      <w:sz w:val="24"/>
      <w:shd w:val="clear" w:color="auto" w:fill="00FF00"/>
    </w:rPr>
  </w:style>
  <w:style w:type="paragraph" w:customStyle="1" w:styleId="AuthorAttribute">
    <w:name w:val="Author Attribute"/>
    <w:basedOn w:val="BaseText"/>
    <w:rsid w:val="00E00CAB"/>
    <w:pPr>
      <w:spacing w:before="480"/>
    </w:pPr>
  </w:style>
  <w:style w:type="paragraph" w:customStyle="1" w:styleId="Footnote">
    <w:name w:val="Footnote"/>
    <w:basedOn w:val="BaseText"/>
    <w:rsid w:val="00E00CAB"/>
  </w:style>
  <w:style w:type="paragraph" w:customStyle="1" w:styleId="AuthorFootnote">
    <w:name w:val="AuthorFootnote"/>
    <w:basedOn w:val="Footnote"/>
    <w:rsid w:val="00E00CAB"/>
    <w:pPr>
      <w:autoSpaceDE w:val="0"/>
      <w:autoSpaceDN w:val="0"/>
      <w:adjustRightInd w:val="0"/>
    </w:pPr>
  </w:style>
  <w:style w:type="paragraph" w:customStyle="1" w:styleId="Authors">
    <w:name w:val="Authors"/>
    <w:basedOn w:val="BaseText"/>
    <w:rsid w:val="00E00CAB"/>
    <w:pPr>
      <w:spacing w:after="360"/>
      <w:jc w:val="center"/>
    </w:pPr>
  </w:style>
  <w:style w:type="paragraph" w:styleId="Sprechblasentext">
    <w:name w:val="Balloon Text"/>
    <w:basedOn w:val="Standard"/>
    <w:link w:val="SprechblasentextZchn"/>
    <w:semiHidden/>
    <w:rsid w:val="00E00CAB"/>
    <w:rPr>
      <w:rFonts w:ascii="Lucida Grande" w:hAnsi="Lucida Grande" w:cs="Lucida Grande"/>
      <w:sz w:val="18"/>
      <w:szCs w:val="18"/>
      <w:lang w:val="en-US" w:eastAsia="en-US"/>
    </w:rPr>
  </w:style>
  <w:style w:type="character" w:customStyle="1" w:styleId="SprechblasentextZchn">
    <w:name w:val="Sprechblasentext Zchn"/>
    <w:link w:val="Sprechblasentext"/>
    <w:semiHidden/>
    <w:locked/>
    <w:rsid w:val="00E00CAB"/>
    <w:rPr>
      <w:rFonts w:ascii="Lucida Grande" w:hAnsi="Lucida Grande" w:cs="Lucida Grande"/>
      <w:sz w:val="18"/>
      <w:szCs w:val="18"/>
      <w:lang w:val="en-US" w:eastAsia="en-US"/>
    </w:rPr>
  </w:style>
  <w:style w:type="character" w:customStyle="1" w:styleId="bibarticle">
    <w:name w:val="bib_article"/>
    <w:rsid w:val="00E00CAB"/>
    <w:rPr>
      <w:sz w:val="24"/>
      <w:shd w:val="clear" w:color="auto" w:fill="00FFFF"/>
    </w:rPr>
  </w:style>
  <w:style w:type="character" w:customStyle="1" w:styleId="bibbase">
    <w:name w:val="bib_base"/>
    <w:rsid w:val="00E00CAB"/>
    <w:rPr>
      <w:sz w:val="24"/>
    </w:rPr>
  </w:style>
  <w:style w:type="character" w:customStyle="1" w:styleId="bibcomment">
    <w:name w:val="bib_comment"/>
    <w:rsid w:val="00E00CAB"/>
    <w:rPr>
      <w:sz w:val="24"/>
    </w:rPr>
  </w:style>
  <w:style w:type="character" w:customStyle="1" w:styleId="bibdeg">
    <w:name w:val="bib_deg"/>
    <w:rsid w:val="00E00CAB"/>
    <w:rPr>
      <w:sz w:val="24"/>
    </w:rPr>
  </w:style>
  <w:style w:type="character" w:customStyle="1" w:styleId="bibdoi">
    <w:name w:val="bib_doi"/>
    <w:rsid w:val="00E00CAB"/>
    <w:rPr>
      <w:sz w:val="24"/>
      <w:shd w:val="clear" w:color="auto" w:fill="00FF00"/>
    </w:rPr>
  </w:style>
  <w:style w:type="character" w:customStyle="1" w:styleId="bibetal">
    <w:name w:val="bib_etal"/>
    <w:rsid w:val="00E00CAB"/>
    <w:rPr>
      <w:sz w:val="24"/>
      <w:shd w:val="clear" w:color="auto" w:fill="008080"/>
    </w:rPr>
  </w:style>
  <w:style w:type="character" w:customStyle="1" w:styleId="bibfname">
    <w:name w:val="bib_fname"/>
    <w:rsid w:val="00E00CAB"/>
    <w:rPr>
      <w:sz w:val="24"/>
      <w:shd w:val="clear" w:color="auto" w:fill="FFFF00"/>
    </w:rPr>
  </w:style>
  <w:style w:type="character" w:customStyle="1" w:styleId="bibfpage">
    <w:name w:val="bib_fpage"/>
    <w:rsid w:val="00E00CAB"/>
    <w:rPr>
      <w:sz w:val="24"/>
      <w:shd w:val="clear" w:color="auto" w:fill="808080"/>
    </w:rPr>
  </w:style>
  <w:style w:type="character" w:customStyle="1" w:styleId="bibissue">
    <w:name w:val="bib_issue"/>
    <w:rsid w:val="00E00CAB"/>
    <w:rPr>
      <w:sz w:val="24"/>
      <w:shd w:val="clear" w:color="auto" w:fill="FFFF00"/>
    </w:rPr>
  </w:style>
  <w:style w:type="character" w:customStyle="1" w:styleId="bibjournal">
    <w:name w:val="bib_journal"/>
    <w:rsid w:val="00E00CAB"/>
    <w:rPr>
      <w:sz w:val="24"/>
      <w:shd w:val="clear" w:color="auto" w:fill="808000"/>
    </w:rPr>
  </w:style>
  <w:style w:type="character" w:customStyle="1" w:styleId="biblpage">
    <w:name w:val="bib_lpage"/>
    <w:rsid w:val="00E00CAB"/>
    <w:rPr>
      <w:sz w:val="24"/>
      <w:shd w:val="clear" w:color="auto" w:fill="808080"/>
    </w:rPr>
  </w:style>
  <w:style w:type="character" w:customStyle="1" w:styleId="bibmedline">
    <w:name w:val="bib_medline"/>
    <w:rsid w:val="00E00CAB"/>
    <w:rPr>
      <w:sz w:val="24"/>
    </w:rPr>
  </w:style>
  <w:style w:type="character" w:customStyle="1" w:styleId="bibnumber">
    <w:name w:val="bib_number"/>
    <w:rsid w:val="00E00CAB"/>
    <w:rPr>
      <w:sz w:val="24"/>
    </w:rPr>
  </w:style>
  <w:style w:type="character" w:customStyle="1" w:styleId="biborganization">
    <w:name w:val="bib_organization"/>
    <w:rsid w:val="00E00CAB"/>
    <w:rPr>
      <w:sz w:val="24"/>
      <w:shd w:val="clear" w:color="auto" w:fill="808000"/>
    </w:rPr>
  </w:style>
  <w:style w:type="character" w:customStyle="1" w:styleId="bibsuffix">
    <w:name w:val="bib_suffix"/>
    <w:rsid w:val="00E00CAB"/>
    <w:rPr>
      <w:sz w:val="24"/>
    </w:rPr>
  </w:style>
  <w:style w:type="character" w:customStyle="1" w:styleId="bibsuppl">
    <w:name w:val="bib_suppl"/>
    <w:rsid w:val="00E00CAB"/>
    <w:rPr>
      <w:sz w:val="24"/>
      <w:shd w:val="clear" w:color="auto" w:fill="FFFF00"/>
    </w:rPr>
  </w:style>
  <w:style w:type="character" w:customStyle="1" w:styleId="bibsurname">
    <w:name w:val="bib_surname"/>
    <w:rsid w:val="00E00CAB"/>
    <w:rPr>
      <w:sz w:val="24"/>
      <w:shd w:val="clear" w:color="auto" w:fill="FFFF00"/>
    </w:rPr>
  </w:style>
  <w:style w:type="character" w:customStyle="1" w:styleId="bibunpubl">
    <w:name w:val="bib_unpubl"/>
    <w:rsid w:val="00E00CAB"/>
    <w:rPr>
      <w:sz w:val="24"/>
    </w:rPr>
  </w:style>
  <w:style w:type="character" w:customStyle="1" w:styleId="biburl">
    <w:name w:val="bib_url"/>
    <w:rsid w:val="00E00CAB"/>
    <w:rPr>
      <w:sz w:val="24"/>
      <w:shd w:val="clear" w:color="auto" w:fill="00FF00"/>
    </w:rPr>
  </w:style>
  <w:style w:type="character" w:customStyle="1" w:styleId="bibvolume">
    <w:name w:val="bib_volume"/>
    <w:rsid w:val="00E00CAB"/>
    <w:rPr>
      <w:sz w:val="24"/>
      <w:shd w:val="clear" w:color="auto" w:fill="00FF00"/>
    </w:rPr>
  </w:style>
  <w:style w:type="character" w:customStyle="1" w:styleId="bibyear">
    <w:name w:val="bib_year"/>
    <w:rsid w:val="00E00CAB"/>
    <w:rPr>
      <w:sz w:val="24"/>
      <w:shd w:val="clear" w:color="auto" w:fill="FF00FF"/>
    </w:rPr>
  </w:style>
  <w:style w:type="paragraph" w:customStyle="1" w:styleId="BookorMeetingInformation">
    <w:name w:val="Book or Meeting Information"/>
    <w:basedOn w:val="BaseText"/>
    <w:rsid w:val="00E00CAB"/>
  </w:style>
  <w:style w:type="paragraph" w:customStyle="1" w:styleId="BookInformation">
    <w:name w:val="BookInformation"/>
    <w:basedOn w:val="BaseText"/>
    <w:rsid w:val="00E00CAB"/>
  </w:style>
  <w:style w:type="paragraph" w:customStyle="1" w:styleId="Level2Head">
    <w:name w:val="Level 2 Head"/>
    <w:basedOn w:val="BaseHeading"/>
    <w:rsid w:val="00E00CAB"/>
    <w:pPr>
      <w:outlineLvl w:val="1"/>
    </w:pPr>
    <w:rPr>
      <w:i/>
      <w:iCs/>
      <w:sz w:val="24"/>
      <w:szCs w:val="24"/>
    </w:rPr>
  </w:style>
  <w:style w:type="paragraph" w:customStyle="1" w:styleId="BoxLevel2Head">
    <w:name w:val="BoxLevel 2 Head"/>
    <w:basedOn w:val="Level2Head"/>
    <w:rsid w:val="00E00CAB"/>
    <w:pPr>
      <w:shd w:val="clear" w:color="auto" w:fill="E6E6E6"/>
    </w:pPr>
  </w:style>
  <w:style w:type="paragraph" w:customStyle="1" w:styleId="BoxListUnnumbered">
    <w:name w:val="BoxListUnnumbered"/>
    <w:basedOn w:val="BaseText"/>
    <w:rsid w:val="00E00CAB"/>
    <w:pPr>
      <w:shd w:val="clear" w:color="auto" w:fill="E6E6E6"/>
      <w:ind w:left="1080" w:hanging="360"/>
    </w:pPr>
  </w:style>
  <w:style w:type="paragraph" w:customStyle="1" w:styleId="BoxList">
    <w:name w:val="BoxList"/>
    <w:basedOn w:val="BoxListUnnumbered"/>
    <w:rsid w:val="00E00CAB"/>
  </w:style>
  <w:style w:type="paragraph" w:customStyle="1" w:styleId="BoxSubhead">
    <w:name w:val="BoxSubhead"/>
    <w:basedOn w:val="Subhead"/>
    <w:rsid w:val="00E00CAB"/>
    <w:pPr>
      <w:shd w:val="clear" w:color="auto" w:fill="E6E6E6"/>
    </w:pPr>
  </w:style>
  <w:style w:type="paragraph" w:customStyle="1" w:styleId="Paragraph">
    <w:name w:val="Paragraph"/>
    <w:basedOn w:val="BaseText"/>
    <w:rsid w:val="00E00CAB"/>
    <w:pPr>
      <w:ind w:firstLine="720"/>
    </w:pPr>
  </w:style>
  <w:style w:type="paragraph" w:customStyle="1" w:styleId="BoxText">
    <w:name w:val="BoxText"/>
    <w:basedOn w:val="Paragraph"/>
    <w:rsid w:val="00E00CAB"/>
    <w:pPr>
      <w:shd w:val="clear" w:color="auto" w:fill="E6E6E6"/>
    </w:pPr>
  </w:style>
  <w:style w:type="paragraph" w:customStyle="1" w:styleId="BoxTitle">
    <w:name w:val="BoxTitle"/>
    <w:basedOn w:val="BaseHeading"/>
    <w:rsid w:val="00E00CAB"/>
    <w:pPr>
      <w:shd w:val="clear" w:color="auto" w:fill="E6E6E6"/>
    </w:pPr>
    <w:rPr>
      <w:b/>
      <w:bCs/>
      <w:sz w:val="24"/>
      <w:szCs w:val="24"/>
    </w:rPr>
  </w:style>
  <w:style w:type="paragraph" w:customStyle="1" w:styleId="BulletedText">
    <w:name w:val="Bulleted Text"/>
    <w:basedOn w:val="BaseText"/>
    <w:rsid w:val="00E00CAB"/>
    <w:pPr>
      <w:ind w:left="720" w:hanging="720"/>
    </w:pPr>
  </w:style>
  <w:style w:type="paragraph" w:customStyle="1" w:styleId="career-magazine">
    <w:name w:val="career-magazine"/>
    <w:basedOn w:val="BaseText"/>
    <w:rsid w:val="00E00CAB"/>
    <w:pPr>
      <w:jc w:val="right"/>
    </w:pPr>
    <w:rPr>
      <w:color w:val="FF0000"/>
    </w:rPr>
  </w:style>
  <w:style w:type="paragraph" w:customStyle="1" w:styleId="career-stage">
    <w:name w:val="career-stage"/>
    <w:basedOn w:val="BaseText"/>
    <w:rsid w:val="00E00CAB"/>
    <w:pPr>
      <w:jc w:val="right"/>
    </w:pPr>
    <w:rPr>
      <w:color w:val="339966"/>
    </w:rPr>
  </w:style>
  <w:style w:type="character" w:customStyle="1" w:styleId="citebase">
    <w:name w:val="cite_base"/>
    <w:rsid w:val="00E00CAB"/>
    <w:rPr>
      <w:sz w:val="24"/>
    </w:rPr>
  </w:style>
  <w:style w:type="character" w:customStyle="1" w:styleId="citebib">
    <w:name w:val="cite_bib"/>
    <w:rsid w:val="00E00CAB"/>
    <w:rPr>
      <w:sz w:val="24"/>
      <w:shd w:val="clear" w:color="auto" w:fill="00FFFF"/>
    </w:rPr>
  </w:style>
  <w:style w:type="character" w:customStyle="1" w:styleId="citebox">
    <w:name w:val="cite_box"/>
    <w:rsid w:val="00E00CAB"/>
    <w:rPr>
      <w:sz w:val="24"/>
    </w:rPr>
  </w:style>
  <w:style w:type="character" w:customStyle="1" w:styleId="citeen">
    <w:name w:val="cite_en"/>
    <w:rsid w:val="00E00CAB"/>
    <w:rPr>
      <w:sz w:val="24"/>
      <w:shd w:val="clear" w:color="auto" w:fill="FFFF00"/>
      <w:vertAlign w:val="superscript"/>
    </w:rPr>
  </w:style>
  <w:style w:type="character" w:customStyle="1" w:styleId="citeeq">
    <w:name w:val="cite_eq"/>
    <w:rsid w:val="00E00CAB"/>
    <w:rPr>
      <w:sz w:val="24"/>
      <w:shd w:val="clear" w:color="auto" w:fill="auto"/>
    </w:rPr>
  </w:style>
  <w:style w:type="character" w:customStyle="1" w:styleId="citefig">
    <w:name w:val="cite_fig"/>
    <w:rsid w:val="00E00CAB"/>
    <w:rPr>
      <w:color w:val="000000"/>
      <w:sz w:val="24"/>
      <w:shd w:val="clear" w:color="auto" w:fill="00FF00"/>
    </w:rPr>
  </w:style>
  <w:style w:type="character" w:customStyle="1" w:styleId="citefn">
    <w:name w:val="cite_fn"/>
    <w:rsid w:val="00E00CAB"/>
    <w:rPr>
      <w:sz w:val="24"/>
      <w:shd w:val="clear" w:color="auto" w:fill="FF0000"/>
    </w:rPr>
  </w:style>
  <w:style w:type="character" w:customStyle="1" w:styleId="citetbl">
    <w:name w:val="cite_tbl"/>
    <w:rsid w:val="00E00CAB"/>
    <w:rPr>
      <w:color w:val="000000"/>
      <w:sz w:val="24"/>
      <w:shd w:val="clear" w:color="auto" w:fill="FF00FF"/>
    </w:rPr>
  </w:style>
  <w:style w:type="character" w:styleId="Kommentarzeichen">
    <w:name w:val="annotation reference"/>
    <w:semiHidden/>
    <w:rsid w:val="00E00CAB"/>
    <w:rPr>
      <w:rFonts w:cs="Times New Roman"/>
      <w:sz w:val="18"/>
      <w:szCs w:val="18"/>
    </w:rPr>
  </w:style>
  <w:style w:type="paragraph" w:styleId="Kommentartext">
    <w:name w:val="annotation text"/>
    <w:basedOn w:val="Standard"/>
    <w:link w:val="KommentartextZchn"/>
    <w:semiHidden/>
    <w:rsid w:val="00E00CAB"/>
    <w:rPr>
      <w:sz w:val="20"/>
      <w:szCs w:val="20"/>
      <w:lang w:val="en-US" w:eastAsia="en-US"/>
    </w:rPr>
  </w:style>
  <w:style w:type="character" w:customStyle="1" w:styleId="KommentartextZchn">
    <w:name w:val="Kommentartext Zchn"/>
    <w:link w:val="Kommentartext"/>
    <w:semiHidden/>
    <w:locked/>
    <w:rsid w:val="00E00CAB"/>
    <w:rPr>
      <w:rFonts w:cs="Times New Roman"/>
      <w:lang w:val="en-US" w:eastAsia="en-US"/>
    </w:rPr>
  </w:style>
  <w:style w:type="paragraph" w:styleId="Kommentarthema">
    <w:name w:val="annotation subject"/>
    <w:basedOn w:val="Kommentartext"/>
    <w:next w:val="Kommentartext"/>
    <w:link w:val="KommentarthemaZchn"/>
    <w:semiHidden/>
    <w:rsid w:val="00E00CAB"/>
    <w:rPr>
      <w:b/>
      <w:bCs/>
    </w:rPr>
  </w:style>
  <w:style w:type="character" w:customStyle="1" w:styleId="KommentarthemaZchn">
    <w:name w:val="Kommentarthema Zchn"/>
    <w:link w:val="Kommentarthema"/>
    <w:semiHidden/>
    <w:locked/>
    <w:rsid w:val="00E00CAB"/>
    <w:rPr>
      <w:rFonts w:cs="Times New Roman"/>
      <w:b/>
      <w:bCs/>
      <w:lang w:val="en-US" w:eastAsia="en-US"/>
    </w:rPr>
  </w:style>
  <w:style w:type="paragraph" w:customStyle="1" w:styleId="ContinuedParagraph">
    <w:name w:val="ContinuedParagraph"/>
    <w:basedOn w:val="Paragraph"/>
    <w:rsid w:val="00E00CAB"/>
    <w:pPr>
      <w:ind w:firstLine="0"/>
    </w:pPr>
  </w:style>
  <w:style w:type="character" w:customStyle="1" w:styleId="ContractNumber">
    <w:name w:val="Contract Number"/>
    <w:rsid w:val="00E00CAB"/>
    <w:rPr>
      <w:sz w:val="24"/>
      <w:shd w:val="clear" w:color="auto" w:fill="auto"/>
    </w:rPr>
  </w:style>
  <w:style w:type="character" w:customStyle="1" w:styleId="ContractSponsor">
    <w:name w:val="Contract Sponsor"/>
    <w:rsid w:val="00E00CAB"/>
    <w:rPr>
      <w:sz w:val="24"/>
      <w:shd w:val="clear" w:color="auto" w:fill="auto"/>
    </w:rPr>
  </w:style>
  <w:style w:type="paragraph" w:customStyle="1" w:styleId="Correspondence">
    <w:name w:val="Correspondence"/>
    <w:basedOn w:val="BaseText"/>
    <w:rsid w:val="00E00CAB"/>
    <w:pPr>
      <w:spacing w:before="0" w:after="240"/>
    </w:pPr>
  </w:style>
  <w:style w:type="paragraph" w:customStyle="1" w:styleId="DateAccepted">
    <w:name w:val="Date Accepted"/>
    <w:basedOn w:val="BaseText"/>
    <w:rsid w:val="00E00CAB"/>
    <w:pPr>
      <w:spacing w:before="360"/>
    </w:pPr>
  </w:style>
  <w:style w:type="paragraph" w:customStyle="1" w:styleId="Deck">
    <w:name w:val="Deck"/>
    <w:basedOn w:val="BaseHeading"/>
    <w:rsid w:val="00E00CAB"/>
    <w:pPr>
      <w:outlineLvl w:val="1"/>
    </w:pPr>
  </w:style>
  <w:style w:type="paragraph" w:customStyle="1" w:styleId="DefTerm">
    <w:name w:val="DefTerm"/>
    <w:basedOn w:val="BaseText"/>
    <w:rsid w:val="00E00CAB"/>
    <w:pPr>
      <w:ind w:left="720"/>
    </w:pPr>
  </w:style>
  <w:style w:type="paragraph" w:customStyle="1" w:styleId="Definition">
    <w:name w:val="Definition"/>
    <w:basedOn w:val="DefTerm"/>
    <w:rsid w:val="00E00CAB"/>
    <w:pPr>
      <w:ind w:left="1080" w:hanging="360"/>
    </w:pPr>
  </w:style>
  <w:style w:type="paragraph" w:customStyle="1" w:styleId="DefListTitle">
    <w:name w:val="DefListTitle"/>
    <w:basedOn w:val="BaseHeading"/>
    <w:rsid w:val="00E00CAB"/>
  </w:style>
  <w:style w:type="paragraph" w:customStyle="1" w:styleId="discipline">
    <w:name w:val="discipline"/>
    <w:basedOn w:val="BaseText"/>
    <w:rsid w:val="00E00CAB"/>
    <w:pPr>
      <w:jc w:val="right"/>
    </w:pPr>
    <w:rPr>
      <w:color w:val="993366"/>
    </w:rPr>
  </w:style>
  <w:style w:type="paragraph" w:customStyle="1" w:styleId="Editors">
    <w:name w:val="Editors"/>
    <w:basedOn w:val="Authors"/>
    <w:rsid w:val="00E00CAB"/>
  </w:style>
  <w:style w:type="character" w:styleId="Hervorhebung">
    <w:name w:val="Emphasis"/>
    <w:qFormat/>
    <w:rsid w:val="00E00CAB"/>
    <w:rPr>
      <w:rFonts w:cs="Times New Roman"/>
      <w:i/>
      <w:iCs/>
    </w:rPr>
  </w:style>
  <w:style w:type="paragraph" w:styleId="Endnotentext">
    <w:name w:val="endnote text"/>
    <w:basedOn w:val="Standard"/>
    <w:link w:val="EndnotentextZchn"/>
    <w:semiHidden/>
    <w:rsid w:val="00E00CAB"/>
    <w:rPr>
      <w:rFonts w:ascii="Cambria" w:hAnsi="Cambria" w:cs="Cambria"/>
      <w:sz w:val="20"/>
      <w:szCs w:val="20"/>
      <w:lang w:val="en-US" w:eastAsia="en-US"/>
    </w:rPr>
  </w:style>
  <w:style w:type="character" w:customStyle="1" w:styleId="EndnotentextZchn">
    <w:name w:val="Endnotentext Zchn"/>
    <w:link w:val="Endnotentext"/>
    <w:semiHidden/>
    <w:locked/>
    <w:rsid w:val="00E00CAB"/>
    <w:rPr>
      <w:rFonts w:ascii="Cambria" w:hAnsi="Cambria" w:cs="Cambria"/>
      <w:lang w:val="en-US" w:eastAsia="en-US"/>
    </w:rPr>
  </w:style>
  <w:style w:type="character" w:customStyle="1" w:styleId="eqno">
    <w:name w:val="eq_no"/>
    <w:rsid w:val="00E00CAB"/>
    <w:rPr>
      <w:sz w:val="24"/>
    </w:rPr>
  </w:style>
  <w:style w:type="paragraph" w:customStyle="1" w:styleId="Equation">
    <w:name w:val="Equation"/>
    <w:basedOn w:val="BaseText"/>
    <w:rsid w:val="00E00CAB"/>
    <w:pPr>
      <w:jc w:val="center"/>
    </w:pPr>
  </w:style>
  <w:style w:type="paragraph" w:customStyle="1" w:styleId="FieldCodes">
    <w:name w:val="FieldCodes"/>
    <w:basedOn w:val="BaseText"/>
    <w:rsid w:val="00E00CAB"/>
  </w:style>
  <w:style w:type="paragraph" w:customStyle="1" w:styleId="Legend">
    <w:name w:val="Legend"/>
    <w:basedOn w:val="BaseHeading"/>
    <w:rsid w:val="00E00CAB"/>
    <w:rPr>
      <w:sz w:val="24"/>
      <w:szCs w:val="24"/>
    </w:rPr>
  </w:style>
  <w:style w:type="paragraph" w:customStyle="1" w:styleId="FigureCopyright">
    <w:name w:val="FigureCopyright"/>
    <w:basedOn w:val="Legend"/>
    <w:rsid w:val="00E00CAB"/>
    <w:pPr>
      <w:autoSpaceDE w:val="0"/>
      <w:autoSpaceDN w:val="0"/>
      <w:adjustRightInd w:val="0"/>
      <w:spacing w:before="80"/>
    </w:pPr>
  </w:style>
  <w:style w:type="paragraph" w:customStyle="1" w:styleId="FigureCredit">
    <w:name w:val="FigureCredit"/>
    <w:basedOn w:val="FigureCopyright"/>
    <w:rsid w:val="00E00CAB"/>
  </w:style>
  <w:style w:type="character" w:styleId="BesuchterHyperlink">
    <w:name w:val="FollowedHyperlink"/>
    <w:rsid w:val="00E00CAB"/>
    <w:rPr>
      <w:rFonts w:cs="Times New Roman"/>
      <w:color w:val="800080"/>
      <w:u w:val="single"/>
    </w:rPr>
  </w:style>
  <w:style w:type="paragraph" w:styleId="Fuzeile">
    <w:name w:val="footer"/>
    <w:basedOn w:val="Standard"/>
    <w:link w:val="FuzeileZchn"/>
    <w:rsid w:val="00E00CAB"/>
    <w:pPr>
      <w:tabs>
        <w:tab w:val="center" w:pos="4320"/>
        <w:tab w:val="right" w:pos="8640"/>
      </w:tabs>
    </w:pPr>
    <w:rPr>
      <w:sz w:val="20"/>
      <w:szCs w:val="20"/>
      <w:lang w:val="en-US" w:eastAsia="en-US"/>
    </w:rPr>
  </w:style>
  <w:style w:type="character" w:customStyle="1" w:styleId="FuzeileZchn">
    <w:name w:val="Fußzeile Zchn"/>
    <w:link w:val="Fuzeile"/>
    <w:locked/>
    <w:rsid w:val="00E00CAB"/>
    <w:rPr>
      <w:rFonts w:cs="Times New Roman"/>
      <w:lang w:val="en-US" w:eastAsia="en-US"/>
    </w:rPr>
  </w:style>
  <w:style w:type="paragraph" w:customStyle="1" w:styleId="Gloss">
    <w:name w:val="Gloss"/>
    <w:basedOn w:val="AbstractSummary"/>
    <w:rsid w:val="00E00CAB"/>
  </w:style>
  <w:style w:type="paragraph" w:customStyle="1" w:styleId="Glossary">
    <w:name w:val="Glossary"/>
    <w:basedOn w:val="BaseText"/>
    <w:rsid w:val="00E00CAB"/>
  </w:style>
  <w:style w:type="paragraph" w:customStyle="1" w:styleId="GlossHead">
    <w:name w:val="GlossHead"/>
    <w:basedOn w:val="AbstractHead"/>
    <w:rsid w:val="00E00CAB"/>
  </w:style>
  <w:style w:type="paragraph" w:customStyle="1" w:styleId="GraphicAltText">
    <w:name w:val="GraphicAltText"/>
    <w:basedOn w:val="Legend"/>
    <w:rsid w:val="00E00CAB"/>
    <w:pPr>
      <w:autoSpaceDE w:val="0"/>
      <w:autoSpaceDN w:val="0"/>
      <w:adjustRightInd w:val="0"/>
    </w:pPr>
  </w:style>
  <w:style w:type="paragraph" w:customStyle="1" w:styleId="GraphicCredit">
    <w:name w:val="GraphicCredit"/>
    <w:basedOn w:val="FigureCredit"/>
    <w:rsid w:val="00E00CAB"/>
  </w:style>
  <w:style w:type="paragraph" w:customStyle="1" w:styleId="Head">
    <w:name w:val="Head"/>
    <w:basedOn w:val="BaseHeading"/>
    <w:rsid w:val="00E00CAB"/>
    <w:pPr>
      <w:spacing w:before="120" w:after="120"/>
      <w:jc w:val="center"/>
    </w:pPr>
    <w:rPr>
      <w:b/>
      <w:bCs/>
    </w:rPr>
  </w:style>
  <w:style w:type="paragraph" w:styleId="Kopfzeile">
    <w:name w:val="header"/>
    <w:basedOn w:val="Standard"/>
    <w:link w:val="KopfzeileZchn"/>
    <w:rsid w:val="00E00CAB"/>
    <w:pPr>
      <w:tabs>
        <w:tab w:val="center" w:pos="4320"/>
        <w:tab w:val="right" w:pos="8640"/>
      </w:tabs>
    </w:pPr>
    <w:rPr>
      <w:sz w:val="20"/>
      <w:szCs w:val="20"/>
      <w:lang w:val="en-US" w:eastAsia="en-US"/>
    </w:rPr>
  </w:style>
  <w:style w:type="character" w:customStyle="1" w:styleId="KopfzeileZchn">
    <w:name w:val="Kopfzeile Zchn"/>
    <w:link w:val="Kopfzeile"/>
    <w:locked/>
    <w:rsid w:val="00E00CAB"/>
    <w:rPr>
      <w:rFonts w:cs="Times New Roman"/>
      <w:lang w:val="en-US" w:eastAsia="en-US"/>
    </w:rPr>
  </w:style>
  <w:style w:type="character" w:styleId="HTMLAkronym">
    <w:name w:val="HTML Acronym"/>
    <w:rsid w:val="00E00CAB"/>
    <w:rPr>
      <w:rFonts w:cs="Times New Roman"/>
    </w:rPr>
  </w:style>
  <w:style w:type="character" w:styleId="HTMLZitat">
    <w:name w:val="HTML Cite"/>
    <w:rsid w:val="00E00CAB"/>
    <w:rPr>
      <w:rFonts w:cs="Times New Roman"/>
      <w:i/>
      <w:iCs/>
    </w:rPr>
  </w:style>
  <w:style w:type="character" w:styleId="HTMLCode">
    <w:name w:val="HTML Code"/>
    <w:rsid w:val="00E00CAB"/>
    <w:rPr>
      <w:rFonts w:ascii="Courier New" w:hAnsi="Courier New" w:cs="Courier New"/>
      <w:sz w:val="20"/>
      <w:szCs w:val="20"/>
    </w:rPr>
  </w:style>
  <w:style w:type="character" w:styleId="HTMLDefinition">
    <w:name w:val="HTML Definition"/>
    <w:rsid w:val="00E00CAB"/>
    <w:rPr>
      <w:rFonts w:cs="Times New Roman"/>
      <w:i/>
      <w:iCs/>
    </w:rPr>
  </w:style>
  <w:style w:type="character" w:styleId="HTMLTastatur">
    <w:name w:val="HTML Keyboard"/>
    <w:rsid w:val="00E00CAB"/>
    <w:rPr>
      <w:rFonts w:ascii="Courier New" w:hAnsi="Courier New" w:cs="Courier New"/>
      <w:sz w:val="20"/>
      <w:szCs w:val="20"/>
    </w:rPr>
  </w:style>
  <w:style w:type="paragraph" w:styleId="HTMLVorformatiert">
    <w:name w:val="HTML Preformatted"/>
    <w:basedOn w:val="Standard"/>
    <w:link w:val="HTMLVorformatiertZchn"/>
    <w:rsid w:val="00E00CAB"/>
    <w:rPr>
      <w:rFonts w:ascii="Consolas" w:hAnsi="Consolas" w:cs="Consolas"/>
      <w:sz w:val="20"/>
      <w:szCs w:val="20"/>
      <w:lang w:val="en-US" w:eastAsia="en-US"/>
    </w:rPr>
  </w:style>
  <w:style w:type="character" w:customStyle="1" w:styleId="HTMLVorformatiertZchn">
    <w:name w:val="HTML Vorformatiert Zchn"/>
    <w:link w:val="HTMLVorformatiert"/>
    <w:locked/>
    <w:rsid w:val="00E00CAB"/>
    <w:rPr>
      <w:rFonts w:ascii="Consolas" w:hAnsi="Consolas" w:cs="Consolas"/>
      <w:lang w:val="en-US" w:eastAsia="en-US"/>
    </w:rPr>
  </w:style>
  <w:style w:type="character" w:styleId="HTMLBeispiel">
    <w:name w:val="HTML Sample"/>
    <w:rsid w:val="00E00CAB"/>
    <w:rPr>
      <w:rFonts w:ascii="Courier New" w:hAnsi="Courier New" w:cs="Courier New"/>
    </w:rPr>
  </w:style>
  <w:style w:type="character" w:styleId="HTMLSchreibmaschine">
    <w:name w:val="HTML Typewriter"/>
    <w:rsid w:val="00E00CAB"/>
    <w:rPr>
      <w:rFonts w:ascii="Courier New" w:hAnsi="Courier New" w:cs="Courier New"/>
      <w:sz w:val="20"/>
      <w:szCs w:val="20"/>
    </w:rPr>
  </w:style>
  <w:style w:type="character" w:styleId="HTMLVariable">
    <w:name w:val="HTML Variable"/>
    <w:rsid w:val="00E00CAB"/>
    <w:rPr>
      <w:rFonts w:cs="Times New Roman"/>
      <w:i/>
      <w:iCs/>
    </w:rPr>
  </w:style>
  <w:style w:type="character" w:styleId="Hyperlink">
    <w:name w:val="Hyperlink"/>
    <w:rsid w:val="00E00CAB"/>
    <w:rPr>
      <w:rFonts w:cs="Times New Roman"/>
      <w:color w:val="0000FF"/>
      <w:u w:val="single"/>
    </w:rPr>
  </w:style>
  <w:style w:type="paragraph" w:customStyle="1" w:styleId="InstructionsText">
    <w:name w:val="Instructions Text"/>
    <w:basedOn w:val="BaseText"/>
    <w:rsid w:val="00E00CAB"/>
  </w:style>
  <w:style w:type="paragraph" w:customStyle="1" w:styleId="Overline">
    <w:name w:val="Overline"/>
    <w:basedOn w:val="BaseText"/>
    <w:rsid w:val="00E00CAB"/>
  </w:style>
  <w:style w:type="paragraph" w:customStyle="1" w:styleId="IssueName">
    <w:name w:val="IssueName"/>
    <w:basedOn w:val="Overline"/>
    <w:rsid w:val="00E00CAB"/>
  </w:style>
  <w:style w:type="paragraph" w:customStyle="1" w:styleId="Keywords">
    <w:name w:val="Keywords"/>
    <w:basedOn w:val="BaseText"/>
    <w:rsid w:val="00E00CAB"/>
  </w:style>
  <w:style w:type="paragraph" w:customStyle="1" w:styleId="Level3Head">
    <w:name w:val="Level 3 Head"/>
    <w:basedOn w:val="BaseHeading"/>
    <w:rsid w:val="00E00CAB"/>
    <w:pPr>
      <w:outlineLvl w:val="2"/>
    </w:pPr>
    <w:rPr>
      <w:sz w:val="24"/>
      <w:szCs w:val="24"/>
      <w:u w:val="single"/>
    </w:rPr>
  </w:style>
  <w:style w:type="paragraph" w:customStyle="1" w:styleId="Level4Head">
    <w:name w:val="Level 4 Head"/>
    <w:basedOn w:val="BaseHeading"/>
    <w:rsid w:val="00E00CAB"/>
    <w:pPr>
      <w:ind w:left="346"/>
    </w:pPr>
    <w:rPr>
      <w:sz w:val="24"/>
      <w:szCs w:val="24"/>
    </w:rPr>
  </w:style>
  <w:style w:type="character" w:styleId="Zeilennummer">
    <w:name w:val="line number"/>
    <w:rsid w:val="00E00CAB"/>
    <w:rPr>
      <w:rFonts w:cs="Times New Roman"/>
    </w:rPr>
  </w:style>
  <w:style w:type="paragraph" w:customStyle="1" w:styleId="Literaryquote">
    <w:name w:val="Literary quote"/>
    <w:basedOn w:val="BaseText"/>
    <w:rsid w:val="00E00CAB"/>
    <w:pPr>
      <w:ind w:left="1440" w:right="1440"/>
    </w:pPr>
  </w:style>
  <w:style w:type="paragraph" w:customStyle="1" w:styleId="MaterialsText">
    <w:name w:val="Materials Text"/>
    <w:basedOn w:val="BaseText"/>
    <w:rsid w:val="00E00CAB"/>
  </w:style>
  <w:style w:type="paragraph" w:customStyle="1" w:styleId="NoteInProof">
    <w:name w:val="NoteInProof"/>
    <w:basedOn w:val="BaseText"/>
    <w:rsid w:val="00E00CAB"/>
  </w:style>
  <w:style w:type="paragraph" w:customStyle="1" w:styleId="Notes">
    <w:name w:val="Notes"/>
    <w:basedOn w:val="BaseText"/>
    <w:rsid w:val="00E00CAB"/>
    <w:rPr>
      <w:i/>
      <w:iCs/>
    </w:rPr>
  </w:style>
  <w:style w:type="paragraph" w:customStyle="1" w:styleId="Notes-Helvetica">
    <w:name w:val="Notes-Helvetica"/>
    <w:basedOn w:val="BaseText"/>
    <w:rsid w:val="00E00CAB"/>
    <w:rPr>
      <w:i/>
      <w:iCs/>
    </w:rPr>
  </w:style>
  <w:style w:type="paragraph" w:customStyle="1" w:styleId="NumberedInstructions">
    <w:name w:val="Numbered Instructions"/>
    <w:basedOn w:val="BaseText"/>
    <w:rsid w:val="00E00CAB"/>
  </w:style>
  <w:style w:type="paragraph" w:customStyle="1" w:styleId="OutlineLevel1">
    <w:name w:val="OutlineLevel1"/>
    <w:basedOn w:val="BaseHeading"/>
    <w:rsid w:val="00E00CAB"/>
    <w:rPr>
      <w:b/>
      <w:bCs/>
    </w:rPr>
  </w:style>
  <w:style w:type="paragraph" w:customStyle="1" w:styleId="OutlineLevel2">
    <w:name w:val="OutlineLevel2"/>
    <w:basedOn w:val="BaseHeading"/>
    <w:rsid w:val="00E00CAB"/>
    <w:pPr>
      <w:ind w:left="360"/>
      <w:outlineLvl w:val="1"/>
    </w:pPr>
    <w:rPr>
      <w:b/>
      <w:bCs/>
      <w:sz w:val="24"/>
      <w:szCs w:val="24"/>
    </w:rPr>
  </w:style>
  <w:style w:type="paragraph" w:customStyle="1" w:styleId="OutlineLevel3">
    <w:name w:val="OutlineLevel3"/>
    <w:basedOn w:val="BaseHeading"/>
    <w:rsid w:val="00E00CAB"/>
    <w:pPr>
      <w:ind w:left="720"/>
      <w:outlineLvl w:val="2"/>
    </w:pPr>
    <w:rPr>
      <w:b/>
      <w:bCs/>
      <w:sz w:val="24"/>
      <w:szCs w:val="24"/>
    </w:rPr>
  </w:style>
  <w:style w:type="character" w:styleId="Seitenzahl">
    <w:name w:val="page number"/>
    <w:rsid w:val="00E00CAB"/>
    <w:rPr>
      <w:rFonts w:cs="Times New Roman"/>
    </w:rPr>
  </w:style>
  <w:style w:type="paragraph" w:customStyle="1" w:styleId="Preformat">
    <w:name w:val="Preformat"/>
    <w:basedOn w:val="BaseText"/>
    <w:rsid w:val="00E00CAB"/>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E00CAB"/>
  </w:style>
  <w:style w:type="paragraph" w:customStyle="1" w:styleId="ProductInformation">
    <w:name w:val="ProductInformation"/>
    <w:basedOn w:val="BaseText"/>
    <w:rsid w:val="00E00CAB"/>
  </w:style>
  <w:style w:type="paragraph" w:customStyle="1" w:styleId="ProductTitle">
    <w:name w:val="ProductTitle"/>
    <w:basedOn w:val="BaseText"/>
    <w:rsid w:val="00E00CAB"/>
    <w:rPr>
      <w:b/>
      <w:bCs/>
    </w:rPr>
  </w:style>
  <w:style w:type="paragraph" w:customStyle="1" w:styleId="PublishedOnline">
    <w:name w:val="Published Online"/>
    <w:basedOn w:val="DateAccepted"/>
    <w:rsid w:val="00E00CAB"/>
  </w:style>
  <w:style w:type="paragraph" w:customStyle="1" w:styleId="RecipeMaterials">
    <w:name w:val="Recipe Materials"/>
    <w:basedOn w:val="BaseText"/>
    <w:rsid w:val="00E00CAB"/>
  </w:style>
  <w:style w:type="paragraph" w:customStyle="1" w:styleId="Refhead">
    <w:name w:val="Ref head"/>
    <w:basedOn w:val="BaseHeading"/>
    <w:rsid w:val="00E00CAB"/>
    <w:pPr>
      <w:spacing w:before="120" w:after="120"/>
    </w:pPr>
    <w:rPr>
      <w:b/>
      <w:bCs/>
      <w:sz w:val="24"/>
      <w:szCs w:val="24"/>
    </w:rPr>
  </w:style>
  <w:style w:type="paragraph" w:customStyle="1" w:styleId="ReferenceNote">
    <w:name w:val="Reference Note"/>
    <w:basedOn w:val="Referencesandnotes"/>
    <w:rsid w:val="00E00CAB"/>
  </w:style>
  <w:style w:type="paragraph" w:customStyle="1" w:styleId="ReferencesandnotesLong">
    <w:name w:val="References and notes Long"/>
    <w:basedOn w:val="BaseText"/>
    <w:rsid w:val="00E00CAB"/>
    <w:pPr>
      <w:ind w:left="720" w:hanging="720"/>
    </w:pPr>
  </w:style>
  <w:style w:type="paragraph" w:customStyle="1" w:styleId="region">
    <w:name w:val="region"/>
    <w:basedOn w:val="BaseText"/>
    <w:rsid w:val="00E00CAB"/>
    <w:pPr>
      <w:jc w:val="right"/>
    </w:pPr>
    <w:rPr>
      <w:color w:val="0000FF"/>
    </w:rPr>
  </w:style>
  <w:style w:type="paragraph" w:customStyle="1" w:styleId="RelatedArticle">
    <w:name w:val="RelatedArticle"/>
    <w:basedOn w:val="Referencesandnotes"/>
    <w:rsid w:val="00E00CAB"/>
  </w:style>
  <w:style w:type="paragraph" w:customStyle="1" w:styleId="RunHead">
    <w:name w:val="RunHead"/>
    <w:basedOn w:val="BaseText"/>
    <w:rsid w:val="00E00CAB"/>
  </w:style>
  <w:style w:type="paragraph" w:customStyle="1" w:styleId="SOMContent">
    <w:name w:val="SOMContent"/>
    <w:basedOn w:val="1stparatext"/>
    <w:rsid w:val="00E00CAB"/>
  </w:style>
  <w:style w:type="paragraph" w:customStyle="1" w:styleId="SOMHead">
    <w:name w:val="SOMHead"/>
    <w:basedOn w:val="BaseHeading"/>
    <w:rsid w:val="00E00CAB"/>
    <w:rPr>
      <w:b/>
      <w:bCs/>
      <w:sz w:val="24"/>
      <w:szCs w:val="24"/>
    </w:rPr>
  </w:style>
  <w:style w:type="paragraph" w:customStyle="1" w:styleId="Speaker">
    <w:name w:val="Speaker"/>
    <w:basedOn w:val="Paragraph"/>
    <w:rsid w:val="00E00CAB"/>
    <w:pPr>
      <w:autoSpaceDE w:val="0"/>
      <w:autoSpaceDN w:val="0"/>
      <w:adjustRightInd w:val="0"/>
    </w:pPr>
    <w:rPr>
      <w:b/>
      <w:bCs/>
    </w:rPr>
  </w:style>
  <w:style w:type="paragraph" w:customStyle="1" w:styleId="Speech">
    <w:name w:val="Speech"/>
    <w:basedOn w:val="Paragraph"/>
    <w:rsid w:val="00E00CAB"/>
    <w:pPr>
      <w:autoSpaceDE w:val="0"/>
      <w:autoSpaceDN w:val="0"/>
      <w:adjustRightInd w:val="0"/>
    </w:pPr>
  </w:style>
  <w:style w:type="character" w:styleId="Fett">
    <w:name w:val="Strong"/>
    <w:qFormat/>
    <w:rsid w:val="00E00CAB"/>
    <w:rPr>
      <w:rFonts w:cs="Times New Roman"/>
      <w:b/>
      <w:bCs/>
    </w:rPr>
  </w:style>
  <w:style w:type="paragraph" w:customStyle="1" w:styleId="SX-Abstract">
    <w:name w:val="SX-Abstract"/>
    <w:basedOn w:val="Standard"/>
    <w:rsid w:val="00E00CAB"/>
    <w:pPr>
      <w:widowControl w:val="0"/>
      <w:spacing w:before="120" w:after="240" w:line="210" w:lineRule="exact"/>
      <w:ind w:left="700" w:right="700"/>
      <w:jc w:val="both"/>
    </w:pPr>
    <w:rPr>
      <w:rFonts w:ascii="BlissRegular" w:hAnsi="BlissRegular" w:cs="BlissRegular"/>
      <w:b/>
      <w:bCs/>
      <w:sz w:val="20"/>
      <w:szCs w:val="20"/>
      <w:lang w:val="en-US" w:eastAsia="en-US"/>
    </w:rPr>
  </w:style>
  <w:style w:type="paragraph" w:customStyle="1" w:styleId="SX-Affiliation">
    <w:name w:val="SX-Affiliation"/>
    <w:basedOn w:val="Standard"/>
    <w:next w:val="Standard"/>
    <w:rsid w:val="00E00CAB"/>
    <w:pPr>
      <w:spacing w:after="160" w:line="190" w:lineRule="exact"/>
    </w:pPr>
    <w:rPr>
      <w:rFonts w:ascii="BlissRegular" w:hAnsi="BlissRegular" w:cs="BlissRegular"/>
      <w:sz w:val="16"/>
      <w:szCs w:val="16"/>
      <w:lang w:val="en-US" w:eastAsia="en-US"/>
    </w:rPr>
  </w:style>
  <w:style w:type="paragraph" w:customStyle="1" w:styleId="SX-Articlehead">
    <w:name w:val="SX-Article head"/>
    <w:basedOn w:val="Standard"/>
    <w:rsid w:val="00E00CAB"/>
    <w:pPr>
      <w:spacing w:before="210" w:line="210" w:lineRule="exact"/>
      <w:ind w:firstLine="288"/>
      <w:jc w:val="both"/>
    </w:pPr>
    <w:rPr>
      <w:b/>
      <w:bCs/>
      <w:sz w:val="18"/>
      <w:szCs w:val="18"/>
      <w:lang w:val="en-US" w:eastAsia="en-US"/>
    </w:rPr>
  </w:style>
  <w:style w:type="paragraph" w:customStyle="1" w:styleId="SX-Authornames">
    <w:name w:val="SX-Author names"/>
    <w:basedOn w:val="Standard"/>
    <w:rsid w:val="00E00CAB"/>
    <w:pPr>
      <w:spacing w:after="120" w:line="210" w:lineRule="exact"/>
    </w:pPr>
    <w:rPr>
      <w:rFonts w:ascii="BlissMedium" w:hAnsi="BlissMedium" w:cs="BlissMedium"/>
      <w:sz w:val="20"/>
      <w:szCs w:val="20"/>
      <w:lang w:val="en-US" w:eastAsia="en-US"/>
    </w:rPr>
  </w:style>
  <w:style w:type="paragraph" w:customStyle="1" w:styleId="SX-Bodytext">
    <w:name w:val="SX-Body text"/>
    <w:basedOn w:val="Standard"/>
    <w:next w:val="Standard"/>
    <w:rsid w:val="00E00CAB"/>
    <w:pPr>
      <w:spacing w:line="210" w:lineRule="exact"/>
      <w:ind w:firstLine="288"/>
      <w:jc w:val="both"/>
    </w:pPr>
    <w:rPr>
      <w:sz w:val="18"/>
      <w:szCs w:val="18"/>
      <w:lang w:val="en-US" w:eastAsia="en-US"/>
    </w:rPr>
  </w:style>
  <w:style w:type="paragraph" w:customStyle="1" w:styleId="SX-Bodytextflush">
    <w:name w:val="SX-Body text flush"/>
    <w:basedOn w:val="SX-Bodytext"/>
    <w:next w:val="SX-Bodytext"/>
    <w:rsid w:val="00E00CAB"/>
    <w:pPr>
      <w:ind w:firstLine="0"/>
    </w:pPr>
  </w:style>
  <w:style w:type="paragraph" w:customStyle="1" w:styleId="SX-Correspondence">
    <w:name w:val="SX-Correspondence"/>
    <w:basedOn w:val="SX-Affiliation"/>
    <w:rsid w:val="00E00CAB"/>
    <w:pPr>
      <w:spacing w:after="80"/>
    </w:pPr>
  </w:style>
  <w:style w:type="paragraph" w:customStyle="1" w:styleId="SX-Date">
    <w:name w:val="SX-Date"/>
    <w:basedOn w:val="Standard"/>
    <w:rsid w:val="00E00CAB"/>
    <w:pPr>
      <w:spacing w:before="180" w:line="190" w:lineRule="exact"/>
      <w:ind w:left="245" w:hanging="245"/>
      <w:jc w:val="both"/>
    </w:pPr>
    <w:rPr>
      <w:sz w:val="16"/>
      <w:szCs w:val="16"/>
      <w:lang w:val="en-US" w:eastAsia="en-US"/>
    </w:rPr>
  </w:style>
  <w:style w:type="paragraph" w:customStyle="1" w:styleId="SX-Equation">
    <w:name w:val="SX-Equation"/>
    <w:basedOn w:val="SX-Bodytextflush"/>
    <w:next w:val="SX-Bodytext"/>
    <w:rsid w:val="00E00CAB"/>
    <w:pPr>
      <w:autoSpaceDE w:val="0"/>
      <w:autoSpaceDN w:val="0"/>
      <w:adjustRightInd w:val="0"/>
      <w:spacing w:line="240" w:lineRule="auto"/>
      <w:jc w:val="center"/>
    </w:pPr>
  </w:style>
  <w:style w:type="paragraph" w:customStyle="1" w:styleId="SX-Legend">
    <w:name w:val="SX-Legend"/>
    <w:basedOn w:val="SX-Authornames"/>
    <w:rsid w:val="00E00CAB"/>
    <w:pPr>
      <w:jc w:val="both"/>
    </w:pPr>
    <w:rPr>
      <w:sz w:val="18"/>
      <w:szCs w:val="18"/>
    </w:rPr>
  </w:style>
  <w:style w:type="paragraph" w:customStyle="1" w:styleId="SX-References">
    <w:name w:val="SX-References"/>
    <w:basedOn w:val="Standard"/>
    <w:rsid w:val="00E00CAB"/>
    <w:pPr>
      <w:spacing w:line="190" w:lineRule="exact"/>
      <w:ind w:left="245" w:hanging="245"/>
      <w:jc w:val="both"/>
    </w:pPr>
    <w:rPr>
      <w:sz w:val="16"/>
      <w:szCs w:val="16"/>
      <w:lang w:val="en-US" w:eastAsia="en-US"/>
    </w:rPr>
  </w:style>
  <w:style w:type="paragraph" w:customStyle="1" w:styleId="SX-RefHead">
    <w:name w:val="SX-RefHead"/>
    <w:basedOn w:val="Standard"/>
    <w:rsid w:val="00E00CAB"/>
    <w:pPr>
      <w:spacing w:before="200" w:line="190" w:lineRule="exact"/>
    </w:pPr>
    <w:rPr>
      <w:b/>
      <w:bCs/>
      <w:sz w:val="16"/>
      <w:szCs w:val="16"/>
      <w:lang w:val="en-US" w:eastAsia="en-US"/>
    </w:rPr>
  </w:style>
  <w:style w:type="character" w:customStyle="1" w:styleId="SX-reflink">
    <w:name w:val="SX-reflink"/>
    <w:rsid w:val="00E00CAB"/>
    <w:rPr>
      <w:color w:val="0000FF"/>
      <w:sz w:val="16"/>
      <w:u w:val="words"/>
      <w:shd w:val="clear" w:color="auto" w:fill="FFFFFF"/>
    </w:rPr>
  </w:style>
  <w:style w:type="paragraph" w:customStyle="1" w:styleId="SX-SOMHead">
    <w:name w:val="SX-SOMHead"/>
    <w:basedOn w:val="SX-RefHead"/>
    <w:rsid w:val="00E00CAB"/>
  </w:style>
  <w:style w:type="paragraph" w:customStyle="1" w:styleId="SX-Tablehead">
    <w:name w:val="SX-Tablehead"/>
    <w:basedOn w:val="Standard"/>
    <w:rsid w:val="00E00CAB"/>
    <w:rPr>
      <w:sz w:val="20"/>
      <w:szCs w:val="20"/>
      <w:lang w:val="en-US" w:eastAsia="en-US"/>
    </w:rPr>
  </w:style>
  <w:style w:type="paragraph" w:customStyle="1" w:styleId="SX-Tablelegend">
    <w:name w:val="SX-Tablelegend"/>
    <w:basedOn w:val="Standard"/>
    <w:rsid w:val="00E00CAB"/>
    <w:pPr>
      <w:spacing w:line="190" w:lineRule="exact"/>
      <w:ind w:left="245" w:hanging="245"/>
      <w:jc w:val="both"/>
    </w:pPr>
    <w:rPr>
      <w:sz w:val="16"/>
      <w:szCs w:val="16"/>
      <w:lang w:val="en-US" w:eastAsia="en-US"/>
    </w:rPr>
  </w:style>
  <w:style w:type="paragraph" w:customStyle="1" w:styleId="SX-Tabletext">
    <w:name w:val="SX-Tabletext"/>
    <w:basedOn w:val="Standard"/>
    <w:rsid w:val="00E00CAB"/>
    <w:pPr>
      <w:spacing w:line="210" w:lineRule="exact"/>
      <w:jc w:val="center"/>
    </w:pPr>
    <w:rPr>
      <w:sz w:val="18"/>
      <w:szCs w:val="18"/>
      <w:lang w:val="en-US" w:eastAsia="en-US"/>
    </w:rPr>
  </w:style>
  <w:style w:type="paragraph" w:customStyle="1" w:styleId="SX-Tabletitle">
    <w:name w:val="SX-Tabletitle"/>
    <w:basedOn w:val="Standard"/>
    <w:rsid w:val="00E00CAB"/>
    <w:pPr>
      <w:spacing w:after="120" w:line="210" w:lineRule="exact"/>
      <w:jc w:val="both"/>
    </w:pPr>
    <w:rPr>
      <w:rFonts w:ascii="BlissMedium" w:hAnsi="BlissMedium" w:cs="BlissMedium"/>
      <w:sz w:val="18"/>
      <w:szCs w:val="18"/>
      <w:lang w:val="en-US" w:eastAsia="en-US"/>
    </w:rPr>
  </w:style>
  <w:style w:type="paragraph" w:customStyle="1" w:styleId="SX-Title">
    <w:name w:val="SX-Title"/>
    <w:basedOn w:val="Standard"/>
    <w:rsid w:val="00E00CAB"/>
    <w:pPr>
      <w:spacing w:after="240" w:line="500" w:lineRule="exact"/>
    </w:pPr>
    <w:rPr>
      <w:rFonts w:ascii="BlissBold" w:hAnsi="BlissBold" w:cs="BlissBold"/>
      <w:b/>
      <w:bCs/>
      <w:sz w:val="44"/>
      <w:szCs w:val="44"/>
      <w:lang w:val="en-US" w:eastAsia="en-US"/>
    </w:rPr>
  </w:style>
  <w:style w:type="paragraph" w:customStyle="1" w:styleId="Tablecolumnhead">
    <w:name w:val="Table column head"/>
    <w:basedOn w:val="BaseText"/>
    <w:rsid w:val="00E00CAB"/>
    <w:pPr>
      <w:spacing w:before="0"/>
    </w:pPr>
  </w:style>
  <w:style w:type="paragraph" w:customStyle="1" w:styleId="Tabletext">
    <w:name w:val="Table text"/>
    <w:basedOn w:val="BaseText"/>
    <w:rsid w:val="00E00CAB"/>
    <w:pPr>
      <w:spacing w:before="0"/>
    </w:pPr>
  </w:style>
  <w:style w:type="paragraph" w:customStyle="1" w:styleId="TableLegend">
    <w:name w:val="TableLegend"/>
    <w:basedOn w:val="BaseText"/>
    <w:rsid w:val="00E00CAB"/>
    <w:pPr>
      <w:spacing w:before="0"/>
    </w:pPr>
  </w:style>
  <w:style w:type="paragraph" w:customStyle="1" w:styleId="TableTitle">
    <w:name w:val="TableTitle"/>
    <w:basedOn w:val="BaseHeading"/>
    <w:rsid w:val="00E00CAB"/>
  </w:style>
  <w:style w:type="paragraph" w:customStyle="1" w:styleId="Teaser">
    <w:name w:val="Teaser"/>
    <w:basedOn w:val="BaseText"/>
    <w:rsid w:val="00E00CAB"/>
  </w:style>
  <w:style w:type="paragraph" w:customStyle="1" w:styleId="TWIS">
    <w:name w:val="TWIS"/>
    <w:basedOn w:val="AbstractSummary"/>
    <w:rsid w:val="00E00CAB"/>
    <w:pPr>
      <w:autoSpaceDE w:val="0"/>
      <w:autoSpaceDN w:val="0"/>
      <w:adjustRightInd w:val="0"/>
    </w:pPr>
  </w:style>
  <w:style w:type="paragraph" w:customStyle="1" w:styleId="TWISorEC">
    <w:name w:val="TWIS or EC"/>
    <w:basedOn w:val="Standard"/>
    <w:rsid w:val="00E00CAB"/>
    <w:pPr>
      <w:spacing w:line="210" w:lineRule="exact"/>
    </w:pPr>
    <w:rPr>
      <w:rFonts w:ascii="BlissRegular" w:hAnsi="BlissRegular" w:cs="BlissRegular"/>
      <w:sz w:val="19"/>
      <w:szCs w:val="19"/>
      <w:lang w:val="en-US" w:eastAsia="en-US"/>
    </w:rPr>
  </w:style>
  <w:style w:type="paragraph" w:customStyle="1" w:styleId="work-sector">
    <w:name w:val="work-sector"/>
    <w:basedOn w:val="BaseText"/>
    <w:rsid w:val="00E00CAB"/>
    <w:pPr>
      <w:jc w:val="right"/>
    </w:pPr>
    <w:rPr>
      <w:color w:val="003300"/>
    </w:rPr>
  </w:style>
  <w:style w:type="paragraph" w:customStyle="1" w:styleId="DOI">
    <w:name w:val="DOI"/>
    <w:basedOn w:val="DateAccepted"/>
    <w:rsid w:val="00E00CAB"/>
  </w:style>
  <w:style w:type="character" w:customStyle="1" w:styleId="scp">
    <w:name w:val="scp"/>
    <w:rsid w:val="00E00CAB"/>
  </w:style>
  <w:style w:type="paragraph" w:styleId="Textkrper-Einzug2">
    <w:name w:val="Body Text Indent 2"/>
    <w:basedOn w:val="Standard"/>
    <w:link w:val="Textkrper-Einzug2Zchn"/>
    <w:rsid w:val="00E00CAB"/>
    <w:pPr>
      <w:ind w:left="180" w:hanging="180"/>
    </w:pPr>
    <w:rPr>
      <w:lang w:val="en-GB"/>
    </w:rPr>
  </w:style>
  <w:style w:type="character" w:customStyle="1" w:styleId="Textkrper-Einzug2Zchn">
    <w:name w:val="Textkörper-Einzug 2 Zchn"/>
    <w:link w:val="Textkrper-Einzug2"/>
    <w:locked/>
    <w:rsid w:val="00E00CAB"/>
    <w:rPr>
      <w:rFonts w:cs="Times New Roman"/>
      <w:sz w:val="24"/>
      <w:szCs w:val="24"/>
      <w:lang w:val="en-GB" w:eastAsia="de-DE"/>
    </w:rPr>
  </w:style>
  <w:style w:type="paragraph" w:styleId="Textkrper2">
    <w:name w:val="Body Text 2"/>
    <w:basedOn w:val="Standard"/>
    <w:link w:val="Textkrper2Zchn"/>
    <w:rsid w:val="00E00CAB"/>
    <w:pPr>
      <w:spacing w:after="120" w:line="480" w:lineRule="auto"/>
    </w:pPr>
    <w:rPr>
      <w:lang w:eastAsia="en-US"/>
    </w:rPr>
  </w:style>
  <w:style w:type="character" w:customStyle="1" w:styleId="Textkrper2Zchn">
    <w:name w:val="Textkörper 2 Zchn"/>
    <w:link w:val="Textkrper2"/>
    <w:locked/>
    <w:rsid w:val="00E00CAB"/>
    <w:rPr>
      <w:rFonts w:cs="Times New Roman"/>
      <w:sz w:val="24"/>
      <w:szCs w:val="24"/>
      <w:lang w:val="de-DE" w:eastAsia="en-US"/>
    </w:rPr>
  </w:style>
  <w:style w:type="paragraph" w:customStyle="1" w:styleId="Default">
    <w:name w:val="Default"/>
    <w:rsid w:val="00E00CAB"/>
    <w:pPr>
      <w:autoSpaceDE w:val="0"/>
      <w:autoSpaceDN w:val="0"/>
      <w:adjustRightInd w:val="0"/>
    </w:pPr>
    <w:rPr>
      <w:color w:val="000000"/>
      <w:sz w:val="24"/>
      <w:szCs w:val="24"/>
    </w:rPr>
  </w:style>
  <w:style w:type="paragraph" w:customStyle="1" w:styleId="Bibliography1">
    <w:name w:val="Bibliography1"/>
    <w:basedOn w:val="Standard"/>
    <w:next w:val="Standard"/>
    <w:rsid w:val="006C0F72"/>
    <w:pPr>
      <w:tabs>
        <w:tab w:val="left" w:pos="504"/>
      </w:tabs>
      <w:spacing w:after="240"/>
      <w:ind w:left="504" w:hanging="504"/>
    </w:pPr>
  </w:style>
  <w:style w:type="paragraph" w:styleId="StandardWeb">
    <w:name w:val="Normal (Web)"/>
    <w:basedOn w:val="Standard"/>
    <w:rsid w:val="007707E9"/>
    <w:pPr>
      <w:spacing w:before="100" w:beforeAutospacing="1" w:after="100" w:afterAutospacing="1"/>
    </w:pPr>
  </w:style>
  <w:style w:type="paragraph" w:customStyle="1" w:styleId="Revision1">
    <w:name w:val="Revision1"/>
    <w:hidden/>
    <w:semiHidden/>
    <w:rsid w:val="007707E9"/>
    <w:rPr>
      <w:sz w:val="24"/>
      <w:szCs w:val="24"/>
    </w:rPr>
  </w:style>
  <w:style w:type="character" w:customStyle="1" w:styleId="ins">
    <w:name w:val="ins"/>
    <w:rsid w:val="00C4582F"/>
  </w:style>
  <w:style w:type="character" w:customStyle="1" w:styleId="PlaceholderText1">
    <w:name w:val="Placeholder Text1"/>
    <w:semiHidden/>
    <w:rsid w:val="00784087"/>
    <w:rPr>
      <w:color w:val="808080"/>
    </w:rPr>
  </w:style>
  <w:style w:type="paragraph" w:styleId="Funotentext">
    <w:name w:val="footnote text"/>
    <w:basedOn w:val="Standard"/>
    <w:link w:val="FunotentextZchn"/>
    <w:semiHidden/>
    <w:locked/>
    <w:rsid w:val="000D5986"/>
    <w:rPr>
      <w:sz w:val="20"/>
      <w:szCs w:val="20"/>
    </w:rPr>
  </w:style>
  <w:style w:type="character" w:customStyle="1" w:styleId="FunotentextZchn">
    <w:name w:val="Fußnotentext Zchn"/>
    <w:link w:val="Funotentext"/>
    <w:semiHidden/>
    <w:locked/>
    <w:rsid w:val="000D5986"/>
    <w:rPr>
      <w:rFonts w:cs="Times New Roman"/>
      <w:sz w:val="20"/>
      <w:szCs w:val="20"/>
    </w:rPr>
  </w:style>
  <w:style w:type="character" w:styleId="Funotenzeichen">
    <w:name w:val="footnote reference"/>
    <w:semiHidden/>
    <w:locked/>
    <w:rsid w:val="000D5986"/>
    <w:rPr>
      <w:rFonts w:cs="Times New Roman"/>
      <w:vertAlign w:val="superscript"/>
    </w:rPr>
  </w:style>
  <w:style w:type="paragraph" w:customStyle="1" w:styleId="Literaturverzeichnis1">
    <w:name w:val="Literaturverzeichnis1"/>
    <w:basedOn w:val="Standard"/>
    <w:next w:val="Standard"/>
    <w:rsid w:val="005B41E4"/>
    <w:pPr>
      <w:spacing w:after="240"/>
      <w:ind w:left="720" w:hanging="720"/>
    </w:pPr>
  </w:style>
  <w:style w:type="paragraph" w:customStyle="1" w:styleId="Listenabsatz1">
    <w:name w:val="Listenabsatz1"/>
    <w:basedOn w:val="Standard"/>
    <w:rsid w:val="006C7F41"/>
    <w:pPr>
      <w:ind w:left="720"/>
    </w:pPr>
  </w:style>
  <w:style w:type="paragraph" w:customStyle="1" w:styleId="berarbeitung1">
    <w:name w:val="Überarbeitung1"/>
    <w:hidden/>
    <w:semiHidden/>
    <w:rsid w:val="00BB4788"/>
    <w:rPr>
      <w:sz w:val="24"/>
      <w:szCs w:val="24"/>
    </w:rPr>
  </w:style>
  <w:style w:type="character" w:styleId="Platzhaltertext">
    <w:name w:val="Placeholder Text"/>
    <w:basedOn w:val="Absatz-Standardschriftart"/>
    <w:uiPriority w:val="99"/>
    <w:semiHidden/>
    <w:rsid w:val="00D156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42A8"/>
    <w:rPr>
      <w:sz w:val="24"/>
      <w:szCs w:val="24"/>
    </w:rPr>
  </w:style>
  <w:style w:type="paragraph" w:styleId="berschrift1">
    <w:name w:val="heading 1"/>
    <w:basedOn w:val="Standard"/>
    <w:next w:val="Standard"/>
    <w:link w:val="berschrift1Zchn"/>
    <w:qFormat/>
    <w:rsid w:val="00855C02"/>
    <w:pPr>
      <w:keepNext/>
      <w:keepLines/>
      <w:spacing w:before="480"/>
      <w:outlineLvl w:val="0"/>
    </w:pPr>
    <w:rPr>
      <w:rFonts w:ascii="Cambria" w:hAnsi="Cambria" w:cs="Cambria"/>
      <w:b/>
      <w:bCs/>
      <w:color w:val="365F91"/>
      <w:sz w:val="28"/>
      <w:szCs w:val="28"/>
    </w:rPr>
  </w:style>
  <w:style w:type="paragraph" w:styleId="berschrift3">
    <w:name w:val="heading 3"/>
    <w:basedOn w:val="Standard"/>
    <w:next w:val="Standard"/>
    <w:link w:val="berschrift3Zchn"/>
    <w:qFormat/>
    <w:rsid w:val="003F69A3"/>
    <w:pPr>
      <w:keepNext/>
      <w:keepLines/>
      <w:spacing w:before="200"/>
      <w:outlineLvl w:val="2"/>
    </w:pPr>
    <w:rPr>
      <w:rFonts w:ascii="Cambria" w:hAnsi="Cambria" w:cs="Cambria"/>
      <w:b/>
      <w:bCs/>
      <w:color w:val="4F81BD"/>
    </w:rPr>
  </w:style>
  <w:style w:type="paragraph" w:styleId="berschrift4">
    <w:name w:val="heading 4"/>
    <w:basedOn w:val="Standard"/>
    <w:next w:val="Standard"/>
    <w:link w:val="berschrift4Zchn"/>
    <w:qFormat/>
    <w:rsid w:val="00D3649C"/>
    <w:pPr>
      <w:keepNext/>
      <w:keepLines/>
      <w:spacing w:before="200"/>
      <w:outlineLvl w:val="3"/>
    </w:pPr>
    <w:rPr>
      <w:rFonts w:ascii="Cambria" w:hAnsi="Cambria" w:cs="Cambria"/>
      <w:b/>
      <w:bCs/>
      <w:i/>
      <w:iCs/>
      <w:color w:val="4F81BD"/>
    </w:rPr>
  </w:style>
  <w:style w:type="paragraph" w:styleId="berschrift6">
    <w:name w:val="heading 6"/>
    <w:basedOn w:val="Standard"/>
    <w:next w:val="Standard"/>
    <w:link w:val="berschrift6Zchn"/>
    <w:qFormat/>
    <w:rsid w:val="00E00CAB"/>
    <w:pPr>
      <w:keepNext/>
      <w:spacing w:line="480" w:lineRule="auto"/>
      <w:jc w:val="both"/>
      <w:outlineLvl w:val="5"/>
    </w:pPr>
    <w:rPr>
      <w:b/>
      <w:b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855C02"/>
    <w:rPr>
      <w:rFonts w:ascii="Cambria" w:hAnsi="Cambria" w:cs="Cambria"/>
      <w:b/>
      <w:bCs/>
      <w:color w:val="365F91"/>
      <w:sz w:val="28"/>
      <w:szCs w:val="28"/>
    </w:rPr>
  </w:style>
  <w:style w:type="character" w:customStyle="1" w:styleId="berschrift3Zchn">
    <w:name w:val="Überschrift 3 Zchn"/>
    <w:link w:val="berschrift3"/>
    <w:semiHidden/>
    <w:locked/>
    <w:rsid w:val="003F69A3"/>
    <w:rPr>
      <w:rFonts w:ascii="Cambria" w:hAnsi="Cambria" w:cs="Cambria"/>
      <w:b/>
      <w:bCs/>
      <w:color w:val="4F81BD"/>
      <w:sz w:val="24"/>
      <w:szCs w:val="24"/>
    </w:rPr>
  </w:style>
  <w:style w:type="character" w:customStyle="1" w:styleId="berschrift4Zchn">
    <w:name w:val="Überschrift 4 Zchn"/>
    <w:link w:val="berschrift4"/>
    <w:semiHidden/>
    <w:locked/>
    <w:rsid w:val="00D3649C"/>
    <w:rPr>
      <w:rFonts w:ascii="Cambria" w:hAnsi="Cambria" w:cs="Cambria"/>
      <w:b/>
      <w:bCs/>
      <w:i/>
      <w:iCs/>
      <w:color w:val="4F81BD"/>
      <w:sz w:val="24"/>
      <w:szCs w:val="24"/>
    </w:rPr>
  </w:style>
  <w:style w:type="character" w:customStyle="1" w:styleId="berschrift6Zchn">
    <w:name w:val="Überschrift 6 Zchn"/>
    <w:link w:val="berschrift6"/>
    <w:locked/>
    <w:rsid w:val="00E00CAB"/>
    <w:rPr>
      <w:rFonts w:cs="Times New Roman"/>
      <w:b/>
      <w:bCs/>
      <w:sz w:val="24"/>
      <w:szCs w:val="24"/>
      <w:lang w:val="en-GB" w:eastAsia="de-DE"/>
    </w:rPr>
  </w:style>
  <w:style w:type="paragraph" w:customStyle="1" w:styleId="BaseText">
    <w:name w:val="Base_Text"/>
    <w:rsid w:val="00E00CAB"/>
    <w:pPr>
      <w:spacing w:before="120"/>
    </w:pPr>
    <w:rPr>
      <w:sz w:val="24"/>
      <w:szCs w:val="24"/>
      <w:lang w:val="en-US" w:eastAsia="en-US"/>
    </w:rPr>
  </w:style>
  <w:style w:type="paragraph" w:customStyle="1" w:styleId="1stparatext">
    <w:name w:val="1st para text"/>
    <w:basedOn w:val="BaseText"/>
    <w:rsid w:val="00E00CAB"/>
  </w:style>
  <w:style w:type="paragraph" w:customStyle="1" w:styleId="BaseHeading">
    <w:name w:val="Base_Heading"/>
    <w:rsid w:val="00E00CAB"/>
    <w:pPr>
      <w:keepNext/>
      <w:spacing w:before="240"/>
      <w:outlineLvl w:val="0"/>
    </w:pPr>
    <w:rPr>
      <w:kern w:val="28"/>
      <w:sz w:val="28"/>
      <w:szCs w:val="28"/>
      <w:lang w:val="en-US" w:eastAsia="en-US"/>
    </w:rPr>
  </w:style>
  <w:style w:type="paragraph" w:customStyle="1" w:styleId="AbstractHead">
    <w:name w:val="Abstract Head"/>
    <w:basedOn w:val="BaseHeading"/>
    <w:rsid w:val="00E00CAB"/>
  </w:style>
  <w:style w:type="paragraph" w:customStyle="1" w:styleId="AbstractSummary">
    <w:name w:val="Abstract/Summary"/>
    <w:basedOn w:val="BaseText"/>
    <w:rsid w:val="00E00CAB"/>
  </w:style>
  <w:style w:type="paragraph" w:customStyle="1" w:styleId="Referencesandnotes">
    <w:name w:val="References and notes"/>
    <w:basedOn w:val="BaseText"/>
    <w:rsid w:val="00E00CAB"/>
    <w:pPr>
      <w:ind w:left="720" w:hanging="720"/>
    </w:pPr>
  </w:style>
  <w:style w:type="paragraph" w:customStyle="1" w:styleId="Acknowledgement">
    <w:name w:val="Acknowledgement"/>
    <w:basedOn w:val="Referencesandnotes"/>
    <w:rsid w:val="00E00CAB"/>
  </w:style>
  <w:style w:type="paragraph" w:customStyle="1" w:styleId="Subhead">
    <w:name w:val="Subhead"/>
    <w:basedOn w:val="BaseHeading"/>
    <w:rsid w:val="00E00CAB"/>
    <w:rPr>
      <w:b/>
      <w:bCs/>
      <w:sz w:val="24"/>
      <w:szCs w:val="24"/>
    </w:rPr>
  </w:style>
  <w:style w:type="paragraph" w:customStyle="1" w:styleId="AppendixHead">
    <w:name w:val="AppendixHead"/>
    <w:basedOn w:val="Subhead"/>
    <w:rsid w:val="00E00CAB"/>
  </w:style>
  <w:style w:type="paragraph" w:customStyle="1" w:styleId="AppendixSubhead">
    <w:name w:val="AppendixSubhead"/>
    <w:basedOn w:val="Subhead"/>
    <w:rsid w:val="00E00CAB"/>
  </w:style>
  <w:style w:type="paragraph" w:customStyle="1" w:styleId="Articletype">
    <w:name w:val="Article type"/>
    <w:basedOn w:val="BaseText"/>
    <w:rsid w:val="00E00CAB"/>
  </w:style>
  <w:style w:type="character" w:customStyle="1" w:styleId="aubase">
    <w:name w:val="au_base"/>
    <w:rsid w:val="00E00CAB"/>
    <w:rPr>
      <w:sz w:val="24"/>
    </w:rPr>
  </w:style>
  <w:style w:type="character" w:customStyle="1" w:styleId="aucollab">
    <w:name w:val="au_collab"/>
    <w:rsid w:val="00E00CAB"/>
    <w:rPr>
      <w:sz w:val="24"/>
      <w:shd w:val="clear" w:color="auto" w:fill="C0C0C0"/>
    </w:rPr>
  </w:style>
  <w:style w:type="character" w:customStyle="1" w:styleId="audeg">
    <w:name w:val="au_deg"/>
    <w:rsid w:val="00E00CAB"/>
    <w:rPr>
      <w:sz w:val="24"/>
      <w:shd w:val="clear" w:color="auto" w:fill="FFFF00"/>
    </w:rPr>
  </w:style>
  <w:style w:type="character" w:customStyle="1" w:styleId="aufname">
    <w:name w:val="au_fname"/>
    <w:rsid w:val="00E00CAB"/>
    <w:rPr>
      <w:sz w:val="24"/>
      <w:shd w:val="clear" w:color="auto" w:fill="00FFFF"/>
    </w:rPr>
  </w:style>
  <w:style w:type="character" w:customStyle="1" w:styleId="aurole">
    <w:name w:val="au_role"/>
    <w:rsid w:val="00E00CAB"/>
    <w:rPr>
      <w:sz w:val="24"/>
      <w:shd w:val="clear" w:color="auto" w:fill="808000"/>
    </w:rPr>
  </w:style>
  <w:style w:type="character" w:customStyle="1" w:styleId="ausuffix">
    <w:name w:val="au_suffix"/>
    <w:rsid w:val="00E00CAB"/>
    <w:rPr>
      <w:sz w:val="24"/>
      <w:shd w:val="clear" w:color="auto" w:fill="FF00FF"/>
    </w:rPr>
  </w:style>
  <w:style w:type="character" w:customStyle="1" w:styleId="ausurname">
    <w:name w:val="au_surname"/>
    <w:rsid w:val="00E00CAB"/>
    <w:rPr>
      <w:sz w:val="24"/>
      <w:shd w:val="clear" w:color="auto" w:fill="00FF00"/>
    </w:rPr>
  </w:style>
  <w:style w:type="paragraph" w:customStyle="1" w:styleId="AuthorAttribute">
    <w:name w:val="Author Attribute"/>
    <w:basedOn w:val="BaseText"/>
    <w:rsid w:val="00E00CAB"/>
    <w:pPr>
      <w:spacing w:before="480"/>
    </w:pPr>
  </w:style>
  <w:style w:type="paragraph" w:customStyle="1" w:styleId="Footnote">
    <w:name w:val="Footnote"/>
    <w:basedOn w:val="BaseText"/>
    <w:rsid w:val="00E00CAB"/>
  </w:style>
  <w:style w:type="paragraph" w:customStyle="1" w:styleId="AuthorFootnote">
    <w:name w:val="AuthorFootnote"/>
    <w:basedOn w:val="Footnote"/>
    <w:rsid w:val="00E00CAB"/>
    <w:pPr>
      <w:autoSpaceDE w:val="0"/>
      <w:autoSpaceDN w:val="0"/>
      <w:adjustRightInd w:val="0"/>
    </w:pPr>
  </w:style>
  <w:style w:type="paragraph" w:customStyle="1" w:styleId="Authors">
    <w:name w:val="Authors"/>
    <w:basedOn w:val="BaseText"/>
    <w:rsid w:val="00E00CAB"/>
    <w:pPr>
      <w:spacing w:after="360"/>
      <w:jc w:val="center"/>
    </w:pPr>
  </w:style>
  <w:style w:type="paragraph" w:styleId="Sprechblasentext">
    <w:name w:val="Balloon Text"/>
    <w:basedOn w:val="Standard"/>
    <w:link w:val="SprechblasentextZchn"/>
    <w:semiHidden/>
    <w:rsid w:val="00E00CAB"/>
    <w:rPr>
      <w:rFonts w:ascii="Lucida Grande" w:hAnsi="Lucida Grande" w:cs="Lucida Grande"/>
      <w:sz w:val="18"/>
      <w:szCs w:val="18"/>
      <w:lang w:val="en-US" w:eastAsia="en-US"/>
    </w:rPr>
  </w:style>
  <w:style w:type="character" w:customStyle="1" w:styleId="SprechblasentextZchn">
    <w:name w:val="Sprechblasentext Zchn"/>
    <w:link w:val="Sprechblasentext"/>
    <w:semiHidden/>
    <w:locked/>
    <w:rsid w:val="00E00CAB"/>
    <w:rPr>
      <w:rFonts w:ascii="Lucida Grande" w:hAnsi="Lucida Grande" w:cs="Lucida Grande"/>
      <w:sz w:val="18"/>
      <w:szCs w:val="18"/>
      <w:lang w:val="en-US" w:eastAsia="en-US"/>
    </w:rPr>
  </w:style>
  <w:style w:type="character" w:customStyle="1" w:styleId="bibarticle">
    <w:name w:val="bib_article"/>
    <w:rsid w:val="00E00CAB"/>
    <w:rPr>
      <w:sz w:val="24"/>
      <w:shd w:val="clear" w:color="auto" w:fill="00FFFF"/>
    </w:rPr>
  </w:style>
  <w:style w:type="character" w:customStyle="1" w:styleId="bibbase">
    <w:name w:val="bib_base"/>
    <w:rsid w:val="00E00CAB"/>
    <w:rPr>
      <w:sz w:val="24"/>
    </w:rPr>
  </w:style>
  <w:style w:type="character" w:customStyle="1" w:styleId="bibcomment">
    <w:name w:val="bib_comment"/>
    <w:rsid w:val="00E00CAB"/>
    <w:rPr>
      <w:sz w:val="24"/>
    </w:rPr>
  </w:style>
  <w:style w:type="character" w:customStyle="1" w:styleId="bibdeg">
    <w:name w:val="bib_deg"/>
    <w:rsid w:val="00E00CAB"/>
    <w:rPr>
      <w:sz w:val="24"/>
    </w:rPr>
  </w:style>
  <w:style w:type="character" w:customStyle="1" w:styleId="bibdoi">
    <w:name w:val="bib_doi"/>
    <w:rsid w:val="00E00CAB"/>
    <w:rPr>
      <w:sz w:val="24"/>
      <w:shd w:val="clear" w:color="auto" w:fill="00FF00"/>
    </w:rPr>
  </w:style>
  <w:style w:type="character" w:customStyle="1" w:styleId="bibetal">
    <w:name w:val="bib_etal"/>
    <w:rsid w:val="00E00CAB"/>
    <w:rPr>
      <w:sz w:val="24"/>
      <w:shd w:val="clear" w:color="auto" w:fill="008080"/>
    </w:rPr>
  </w:style>
  <w:style w:type="character" w:customStyle="1" w:styleId="bibfname">
    <w:name w:val="bib_fname"/>
    <w:rsid w:val="00E00CAB"/>
    <w:rPr>
      <w:sz w:val="24"/>
      <w:shd w:val="clear" w:color="auto" w:fill="FFFF00"/>
    </w:rPr>
  </w:style>
  <w:style w:type="character" w:customStyle="1" w:styleId="bibfpage">
    <w:name w:val="bib_fpage"/>
    <w:rsid w:val="00E00CAB"/>
    <w:rPr>
      <w:sz w:val="24"/>
      <w:shd w:val="clear" w:color="auto" w:fill="808080"/>
    </w:rPr>
  </w:style>
  <w:style w:type="character" w:customStyle="1" w:styleId="bibissue">
    <w:name w:val="bib_issue"/>
    <w:rsid w:val="00E00CAB"/>
    <w:rPr>
      <w:sz w:val="24"/>
      <w:shd w:val="clear" w:color="auto" w:fill="FFFF00"/>
    </w:rPr>
  </w:style>
  <w:style w:type="character" w:customStyle="1" w:styleId="bibjournal">
    <w:name w:val="bib_journal"/>
    <w:rsid w:val="00E00CAB"/>
    <w:rPr>
      <w:sz w:val="24"/>
      <w:shd w:val="clear" w:color="auto" w:fill="808000"/>
    </w:rPr>
  </w:style>
  <w:style w:type="character" w:customStyle="1" w:styleId="biblpage">
    <w:name w:val="bib_lpage"/>
    <w:rsid w:val="00E00CAB"/>
    <w:rPr>
      <w:sz w:val="24"/>
      <w:shd w:val="clear" w:color="auto" w:fill="808080"/>
    </w:rPr>
  </w:style>
  <w:style w:type="character" w:customStyle="1" w:styleId="bibmedline">
    <w:name w:val="bib_medline"/>
    <w:rsid w:val="00E00CAB"/>
    <w:rPr>
      <w:sz w:val="24"/>
    </w:rPr>
  </w:style>
  <w:style w:type="character" w:customStyle="1" w:styleId="bibnumber">
    <w:name w:val="bib_number"/>
    <w:rsid w:val="00E00CAB"/>
    <w:rPr>
      <w:sz w:val="24"/>
    </w:rPr>
  </w:style>
  <w:style w:type="character" w:customStyle="1" w:styleId="biborganization">
    <w:name w:val="bib_organization"/>
    <w:rsid w:val="00E00CAB"/>
    <w:rPr>
      <w:sz w:val="24"/>
      <w:shd w:val="clear" w:color="auto" w:fill="808000"/>
    </w:rPr>
  </w:style>
  <w:style w:type="character" w:customStyle="1" w:styleId="bibsuffix">
    <w:name w:val="bib_suffix"/>
    <w:rsid w:val="00E00CAB"/>
    <w:rPr>
      <w:sz w:val="24"/>
    </w:rPr>
  </w:style>
  <w:style w:type="character" w:customStyle="1" w:styleId="bibsuppl">
    <w:name w:val="bib_suppl"/>
    <w:rsid w:val="00E00CAB"/>
    <w:rPr>
      <w:sz w:val="24"/>
      <w:shd w:val="clear" w:color="auto" w:fill="FFFF00"/>
    </w:rPr>
  </w:style>
  <w:style w:type="character" w:customStyle="1" w:styleId="bibsurname">
    <w:name w:val="bib_surname"/>
    <w:rsid w:val="00E00CAB"/>
    <w:rPr>
      <w:sz w:val="24"/>
      <w:shd w:val="clear" w:color="auto" w:fill="FFFF00"/>
    </w:rPr>
  </w:style>
  <w:style w:type="character" w:customStyle="1" w:styleId="bibunpubl">
    <w:name w:val="bib_unpubl"/>
    <w:rsid w:val="00E00CAB"/>
    <w:rPr>
      <w:sz w:val="24"/>
    </w:rPr>
  </w:style>
  <w:style w:type="character" w:customStyle="1" w:styleId="biburl">
    <w:name w:val="bib_url"/>
    <w:rsid w:val="00E00CAB"/>
    <w:rPr>
      <w:sz w:val="24"/>
      <w:shd w:val="clear" w:color="auto" w:fill="00FF00"/>
    </w:rPr>
  </w:style>
  <w:style w:type="character" w:customStyle="1" w:styleId="bibvolume">
    <w:name w:val="bib_volume"/>
    <w:rsid w:val="00E00CAB"/>
    <w:rPr>
      <w:sz w:val="24"/>
      <w:shd w:val="clear" w:color="auto" w:fill="00FF00"/>
    </w:rPr>
  </w:style>
  <w:style w:type="character" w:customStyle="1" w:styleId="bibyear">
    <w:name w:val="bib_year"/>
    <w:rsid w:val="00E00CAB"/>
    <w:rPr>
      <w:sz w:val="24"/>
      <w:shd w:val="clear" w:color="auto" w:fill="FF00FF"/>
    </w:rPr>
  </w:style>
  <w:style w:type="paragraph" w:customStyle="1" w:styleId="BookorMeetingInformation">
    <w:name w:val="Book or Meeting Information"/>
    <w:basedOn w:val="BaseText"/>
    <w:rsid w:val="00E00CAB"/>
  </w:style>
  <w:style w:type="paragraph" w:customStyle="1" w:styleId="BookInformation">
    <w:name w:val="BookInformation"/>
    <w:basedOn w:val="BaseText"/>
    <w:rsid w:val="00E00CAB"/>
  </w:style>
  <w:style w:type="paragraph" w:customStyle="1" w:styleId="Level2Head">
    <w:name w:val="Level 2 Head"/>
    <w:basedOn w:val="BaseHeading"/>
    <w:rsid w:val="00E00CAB"/>
    <w:pPr>
      <w:outlineLvl w:val="1"/>
    </w:pPr>
    <w:rPr>
      <w:i/>
      <w:iCs/>
      <w:sz w:val="24"/>
      <w:szCs w:val="24"/>
    </w:rPr>
  </w:style>
  <w:style w:type="paragraph" w:customStyle="1" w:styleId="BoxLevel2Head">
    <w:name w:val="BoxLevel 2 Head"/>
    <w:basedOn w:val="Level2Head"/>
    <w:rsid w:val="00E00CAB"/>
    <w:pPr>
      <w:shd w:val="clear" w:color="auto" w:fill="E6E6E6"/>
    </w:pPr>
  </w:style>
  <w:style w:type="paragraph" w:customStyle="1" w:styleId="BoxListUnnumbered">
    <w:name w:val="BoxListUnnumbered"/>
    <w:basedOn w:val="BaseText"/>
    <w:rsid w:val="00E00CAB"/>
    <w:pPr>
      <w:shd w:val="clear" w:color="auto" w:fill="E6E6E6"/>
      <w:ind w:left="1080" w:hanging="360"/>
    </w:pPr>
  </w:style>
  <w:style w:type="paragraph" w:customStyle="1" w:styleId="BoxList">
    <w:name w:val="BoxList"/>
    <w:basedOn w:val="BoxListUnnumbered"/>
    <w:rsid w:val="00E00CAB"/>
  </w:style>
  <w:style w:type="paragraph" w:customStyle="1" w:styleId="BoxSubhead">
    <w:name w:val="BoxSubhead"/>
    <w:basedOn w:val="Subhead"/>
    <w:rsid w:val="00E00CAB"/>
    <w:pPr>
      <w:shd w:val="clear" w:color="auto" w:fill="E6E6E6"/>
    </w:pPr>
  </w:style>
  <w:style w:type="paragraph" w:customStyle="1" w:styleId="Paragraph">
    <w:name w:val="Paragraph"/>
    <w:basedOn w:val="BaseText"/>
    <w:rsid w:val="00E00CAB"/>
    <w:pPr>
      <w:ind w:firstLine="720"/>
    </w:pPr>
  </w:style>
  <w:style w:type="paragraph" w:customStyle="1" w:styleId="BoxText">
    <w:name w:val="BoxText"/>
    <w:basedOn w:val="Paragraph"/>
    <w:rsid w:val="00E00CAB"/>
    <w:pPr>
      <w:shd w:val="clear" w:color="auto" w:fill="E6E6E6"/>
    </w:pPr>
  </w:style>
  <w:style w:type="paragraph" w:customStyle="1" w:styleId="BoxTitle">
    <w:name w:val="BoxTitle"/>
    <w:basedOn w:val="BaseHeading"/>
    <w:rsid w:val="00E00CAB"/>
    <w:pPr>
      <w:shd w:val="clear" w:color="auto" w:fill="E6E6E6"/>
    </w:pPr>
    <w:rPr>
      <w:b/>
      <w:bCs/>
      <w:sz w:val="24"/>
      <w:szCs w:val="24"/>
    </w:rPr>
  </w:style>
  <w:style w:type="paragraph" w:customStyle="1" w:styleId="BulletedText">
    <w:name w:val="Bulleted Text"/>
    <w:basedOn w:val="BaseText"/>
    <w:rsid w:val="00E00CAB"/>
    <w:pPr>
      <w:ind w:left="720" w:hanging="720"/>
    </w:pPr>
  </w:style>
  <w:style w:type="paragraph" w:customStyle="1" w:styleId="career-magazine">
    <w:name w:val="career-magazine"/>
    <w:basedOn w:val="BaseText"/>
    <w:rsid w:val="00E00CAB"/>
    <w:pPr>
      <w:jc w:val="right"/>
    </w:pPr>
    <w:rPr>
      <w:color w:val="FF0000"/>
    </w:rPr>
  </w:style>
  <w:style w:type="paragraph" w:customStyle="1" w:styleId="career-stage">
    <w:name w:val="career-stage"/>
    <w:basedOn w:val="BaseText"/>
    <w:rsid w:val="00E00CAB"/>
    <w:pPr>
      <w:jc w:val="right"/>
    </w:pPr>
    <w:rPr>
      <w:color w:val="339966"/>
    </w:rPr>
  </w:style>
  <w:style w:type="character" w:customStyle="1" w:styleId="citebase">
    <w:name w:val="cite_base"/>
    <w:rsid w:val="00E00CAB"/>
    <w:rPr>
      <w:sz w:val="24"/>
    </w:rPr>
  </w:style>
  <w:style w:type="character" w:customStyle="1" w:styleId="citebib">
    <w:name w:val="cite_bib"/>
    <w:rsid w:val="00E00CAB"/>
    <w:rPr>
      <w:sz w:val="24"/>
      <w:shd w:val="clear" w:color="auto" w:fill="00FFFF"/>
    </w:rPr>
  </w:style>
  <w:style w:type="character" w:customStyle="1" w:styleId="citebox">
    <w:name w:val="cite_box"/>
    <w:rsid w:val="00E00CAB"/>
    <w:rPr>
      <w:sz w:val="24"/>
    </w:rPr>
  </w:style>
  <w:style w:type="character" w:customStyle="1" w:styleId="citeen">
    <w:name w:val="cite_en"/>
    <w:rsid w:val="00E00CAB"/>
    <w:rPr>
      <w:sz w:val="24"/>
      <w:shd w:val="clear" w:color="auto" w:fill="FFFF00"/>
      <w:vertAlign w:val="superscript"/>
    </w:rPr>
  </w:style>
  <w:style w:type="character" w:customStyle="1" w:styleId="citeeq">
    <w:name w:val="cite_eq"/>
    <w:rsid w:val="00E00CAB"/>
    <w:rPr>
      <w:sz w:val="24"/>
      <w:shd w:val="clear" w:color="auto" w:fill="auto"/>
    </w:rPr>
  </w:style>
  <w:style w:type="character" w:customStyle="1" w:styleId="citefig">
    <w:name w:val="cite_fig"/>
    <w:rsid w:val="00E00CAB"/>
    <w:rPr>
      <w:color w:val="000000"/>
      <w:sz w:val="24"/>
      <w:shd w:val="clear" w:color="auto" w:fill="00FF00"/>
    </w:rPr>
  </w:style>
  <w:style w:type="character" w:customStyle="1" w:styleId="citefn">
    <w:name w:val="cite_fn"/>
    <w:rsid w:val="00E00CAB"/>
    <w:rPr>
      <w:sz w:val="24"/>
      <w:shd w:val="clear" w:color="auto" w:fill="FF0000"/>
    </w:rPr>
  </w:style>
  <w:style w:type="character" w:customStyle="1" w:styleId="citetbl">
    <w:name w:val="cite_tbl"/>
    <w:rsid w:val="00E00CAB"/>
    <w:rPr>
      <w:color w:val="000000"/>
      <w:sz w:val="24"/>
      <w:shd w:val="clear" w:color="auto" w:fill="FF00FF"/>
    </w:rPr>
  </w:style>
  <w:style w:type="character" w:styleId="Kommentarzeichen">
    <w:name w:val="annotation reference"/>
    <w:semiHidden/>
    <w:rsid w:val="00E00CAB"/>
    <w:rPr>
      <w:rFonts w:cs="Times New Roman"/>
      <w:sz w:val="18"/>
      <w:szCs w:val="18"/>
    </w:rPr>
  </w:style>
  <w:style w:type="paragraph" w:styleId="Kommentartext">
    <w:name w:val="annotation text"/>
    <w:basedOn w:val="Standard"/>
    <w:link w:val="KommentartextZchn"/>
    <w:semiHidden/>
    <w:rsid w:val="00E00CAB"/>
    <w:rPr>
      <w:sz w:val="20"/>
      <w:szCs w:val="20"/>
      <w:lang w:val="en-US" w:eastAsia="en-US"/>
    </w:rPr>
  </w:style>
  <w:style w:type="character" w:customStyle="1" w:styleId="KommentartextZchn">
    <w:name w:val="Kommentartext Zchn"/>
    <w:link w:val="Kommentartext"/>
    <w:semiHidden/>
    <w:locked/>
    <w:rsid w:val="00E00CAB"/>
    <w:rPr>
      <w:rFonts w:cs="Times New Roman"/>
      <w:lang w:val="en-US" w:eastAsia="en-US"/>
    </w:rPr>
  </w:style>
  <w:style w:type="paragraph" w:styleId="Kommentarthema">
    <w:name w:val="annotation subject"/>
    <w:basedOn w:val="Kommentartext"/>
    <w:next w:val="Kommentartext"/>
    <w:link w:val="KommentarthemaZchn"/>
    <w:semiHidden/>
    <w:rsid w:val="00E00CAB"/>
    <w:rPr>
      <w:b/>
      <w:bCs/>
    </w:rPr>
  </w:style>
  <w:style w:type="character" w:customStyle="1" w:styleId="KommentarthemaZchn">
    <w:name w:val="Kommentarthema Zchn"/>
    <w:link w:val="Kommentarthema"/>
    <w:semiHidden/>
    <w:locked/>
    <w:rsid w:val="00E00CAB"/>
    <w:rPr>
      <w:rFonts w:cs="Times New Roman"/>
      <w:b/>
      <w:bCs/>
      <w:lang w:val="en-US" w:eastAsia="en-US"/>
    </w:rPr>
  </w:style>
  <w:style w:type="paragraph" w:customStyle="1" w:styleId="ContinuedParagraph">
    <w:name w:val="ContinuedParagraph"/>
    <w:basedOn w:val="Paragraph"/>
    <w:rsid w:val="00E00CAB"/>
    <w:pPr>
      <w:ind w:firstLine="0"/>
    </w:pPr>
  </w:style>
  <w:style w:type="character" w:customStyle="1" w:styleId="ContractNumber">
    <w:name w:val="Contract Number"/>
    <w:rsid w:val="00E00CAB"/>
    <w:rPr>
      <w:sz w:val="24"/>
      <w:shd w:val="clear" w:color="auto" w:fill="auto"/>
    </w:rPr>
  </w:style>
  <w:style w:type="character" w:customStyle="1" w:styleId="ContractSponsor">
    <w:name w:val="Contract Sponsor"/>
    <w:rsid w:val="00E00CAB"/>
    <w:rPr>
      <w:sz w:val="24"/>
      <w:shd w:val="clear" w:color="auto" w:fill="auto"/>
    </w:rPr>
  </w:style>
  <w:style w:type="paragraph" w:customStyle="1" w:styleId="Correspondence">
    <w:name w:val="Correspondence"/>
    <w:basedOn w:val="BaseText"/>
    <w:rsid w:val="00E00CAB"/>
    <w:pPr>
      <w:spacing w:before="0" w:after="240"/>
    </w:pPr>
  </w:style>
  <w:style w:type="paragraph" w:customStyle="1" w:styleId="DateAccepted">
    <w:name w:val="Date Accepted"/>
    <w:basedOn w:val="BaseText"/>
    <w:rsid w:val="00E00CAB"/>
    <w:pPr>
      <w:spacing w:before="360"/>
    </w:pPr>
  </w:style>
  <w:style w:type="paragraph" w:customStyle="1" w:styleId="Deck">
    <w:name w:val="Deck"/>
    <w:basedOn w:val="BaseHeading"/>
    <w:rsid w:val="00E00CAB"/>
    <w:pPr>
      <w:outlineLvl w:val="1"/>
    </w:pPr>
  </w:style>
  <w:style w:type="paragraph" w:customStyle="1" w:styleId="DefTerm">
    <w:name w:val="DefTerm"/>
    <w:basedOn w:val="BaseText"/>
    <w:rsid w:val="00E00CAB"/>
    <w:pPr>
      <w:ind w:left="720"/>
    </w:pPr>
  </w:style>
  <w:style w:type="paragraph" w:customStyle="1" w:styleId="Definition">
    <w:name w:val="Definition"/>
    <w:basedOn w:val="DefTerm"/>
    <w:rsid w:val="00E00CAB"/>
    <w:pPr>
      <w:ind w:left="1080" w:hanging="360"/>
    </w:pPr>
  </w:style>
  <w:style w:type="paragraph" w:customStyle="1" w:styleId="DefListTitle">
    <w:name w:val="DefListTitle"/>
    <w:basedOn w:val="BaseHeading"/>
    <w:rsid w:val="00E00CAB"/>
  </w:style>
  <w:style w:type="paragraph" w:customStyle="1" w:styleId="discipline">
    <w:name w:val="discipline"/>
    <w:basedOn w:val="BaseText"/>
    <w:rsid w:val="00E00CAB"/>
    <w:pPr>
      <w:jc w:val="right"/>
    </w:pPr>
    <w:rPr>
      <w:color w:val="993366"/>
    </w:rPr>
  </w:style>
  <w:style w:type="paragraph" w:customStyle="1" w:styleId="Editors">
    <w:name w:val="Editors"/>
    <w:basedOn w:val="Authors"/>
    <w:rsid w:val="00E00CAB"/>
  </w:style>
  <w:style w:type="character" w:styleId="Hervorhebung">
    <w:name w:val="Emphasis"/>
    <w:qFormat/>
    <w:rsid w:val="00E00CAB"/>
    <w:rPr>
      <w:rFonts w:cs="Times New Roman"/>
      <w:i/>
      <w:iCs/>
    </w:rPr>
  </w:style>
  <w:style w:type="paragraph" w:styleId="Endnotentext">
    <w:name w:val="endnote text"/>
    <w:basedOn w:val="Standard"/>
    <w:link w:val="EndnotentextZchn"/>
    <w:semiHidden/>
    <w:rsid w:val="00E00CAB"/>
    <w:rPr>
      <w:rFonts w:ascii="Cambria" w:hAnsi="Cambria" w:cs="Cambria"/>
      <w:sz w:val="20"/>
      <w:szCs w:val="20"/>
      <w:lang w:val="en-US" w:eastAsia="en-US"/>
    </w:rPr>
  </w:style>
  <w:style w:type="character" w:customStyle="1" w:styleId="EndnotentextZchn">
    <w:name w:val="Endnotentext Zchn"/>
    <w:link w:val="Endnotentext"/>
    <w:semiHidden/>
    <w:locked/>
    <w:rsid w:val="00E00CAB"/>
    <w:rPr>
      <w:rFonts w:ascii="Cambria" w:hAnsi="Cambria" w:cs="Cambria"/>
      <w:lang w:val="en-US" w:eastAsia="en-US"/>
    </w:rPr>
  </w:style>
  <w:style w:type="character" w:customStyle="1" w:styleId="eqno">
    <w:name w:val="eq_no"/>
    <w:rsid w:val="00E00CAB"/>
    <w:rPr>
      <w:sz w:val="24"/>
    </w:rPr>
  </w:style>
  <w:style w:type="paragraph" w:customStyle="1" w:styleId="Equation">
    <w:name w:val="Equation"/>
    <w:basedOn w:val="BaseText"/>
    <w:rsid w:val="00E00CAB"/>
    <w:pPr>
      <w:jc w:val="center"/>
    </w:pPr>
  </w:style>
  <w:style w:type="paragraph" w:customStyle="1" w:styleId="FieldCodes">
    <w:name w:val="FieldCodes"/>
    <w:basedOn w:val="BaseText"/>
    <w:rsid w:val="00E00CAB"/>
  </w:style>
  <w:style w:type="paragraph" w:customStyle="1" w:styleId="Legend">
    <w:name w:val="Legend"/>
    <w:basedOn w:val="BaseHeading"/>
    <w:rsid w:val="00E00CAB"/>
    <w:rPr>
      <w:sz w:val="24"/>
      <w:szCs w:val="24"/>
    </w:rPr>
  </w:style>
  <w:style w:type="paragraph" w:customStyle="1" w:styleId="FigureCopyright">
    <w:name w:val="FigureCopyright"/>
    <w:basedOn w:val="Legend"/>
    <w:rsid w:val="00E00CAB"/>
    <w:pPr>
      <w:autoSpaceDE w:val="0"/>
      <w:autoSpaceDN w:val="0"/>
      <w:adjustRightInd w:val="0"/>
      <w:spacing w:before="80"/>
    </w:pPr>
  </w:style>
  <w:style w:type="paragraph" w:customStyle="1" w:styleId="FigureCredit">
    <w:name w:val="FigureCredit"/>
    <w:basedOn w:val="FigureCopyright"/>
    <w:rsid w:val="00E00CAB"/>
  </w:style>
  <w:style w:type="character" w:styleId="BesuchterHyperlink">
    <w:name w:val="FollowedHyperlink"/>
    <w:rsid w:val="00E00CAB"/>
    <w:rPr>
      <w:rFonts w:cs="Times New Roman"/>
      <w:color w:val="800080"/>
      <w:u w:val="single"/>
    </w:rPr>
  </w:style>
  <w:style w:type="paragraph" w:styleId="Fuzeile">
    <w:name w:val="footer"/>
    <w:basedOn w:val="Standard"/>
    <w:link w:val="FuzeileZchn"/>
    <w:rsid w:val="00E00CAB"/>
    <w:pPr>
      <w:tabs>
        <w:tab w:val="center" w:pos="4320"/>
        <w:tab w:val="right" w:pos="8640"/>
      </w:tabs>
    </w:pPr>
    <w:rPr>
      <w:sz w:val="20"/>
      <w:szCs w:val="20"/>
      <w:lang w:val="en-US" w:eastAsia="en-US"/>
    </w:rPr>
  </w:style>
  <w:style w:type="character" w:customStyle="1" w:styleId="FuzeileZchn">
    <w:name w:val="Fußzeile Zchn"/>
    <w:link w:val="Fuzeile"/>
    <w:locked/>
    <w:rsid w:val="00E00CAB"/>
    <w:rPr>
      <w:rFonts w:cs="Times New Roman"/>
      <w:lang w:val="en-US" w:eastAsia="en-US"/>
    </w:rPr>
  </w:style>
  <w:style w:type="paragraph" w:customStyle="1" w:styleId="Gloss">
    <w:name w:val="Gloss"/>
    <w:basedOn w:val="AbstractSummary"/>
    <w:rsid w:val="00E00CAB"/>
  </w:style>
  <w:style w:type="paragraph" w:customStyle="1" w:styleId="Glossary">
    <w:name w:val="Glossary"/>
    <w:basedOn w:val="BaseText"/>
    <w:rsid w:val="00E00CAB"/>
  </w:style>
  <w:style w:type="paragraph" w:customStyle="1" w:styleId="GlossHead">
    <w:name w:val="GlossHead"/>
    <w:basedOn w:val="AbstractHead"/>
    <w:rsid w:val="00E00CAB"/>
  </w:style>
  <w:style w:type="paragraph" w:customStyle="1" w:styleId="GraphicAltText">
    <w:name w:val="GraphicAltText"/>
    <w:basedOn w:val="Legend"/>
    <w:rsid w:val="00E00CAB"/>
    <w:pPr>
      <w:autoSpaceDE w:val="0"/>
      <w:autoSpaceDN w:val="0"/>
      <w:adjustRightInd w:val="0"/>
    </w:pPr>
  </w:style>
  <w:style w:type="paragraph" w:customStyle="1" w:styleId="GraphicCredit">
    <w:name w:val="GraphicCredit"/>
    <w:basedOn w:val="FigureCredit"/>
    <w:rsid w:val="00E00CAB"/>
  </w:style>
  <w:style w:type="paragraph" w:customStyle="1" w:styleId="Head">
    <w:name w:val="Head"/>
    <w:basedOn w:val="BaseHeading"/>
    <w:rsid w:val="00E00CAB"/>
    <w:pPr>
      <w:spacing w:before="120" w:after="120"/>
      <w:jc w:val="center"/>
    </w:pPr>
    <w:rPr>
      <w:b/>
      <w:bCs/>
    </w:rPr>
  </w:style>
  <w:style w:type="paragraph" w:styleId="Kopfzeile">
    <w:name w:val="header"/>
    <w:basedOn w:val="Standard"/>
    <w:link w:val="KopfzeileZchn"/>
    <w:rsid w:val="00E00CAB"/>
    <w:pPr>
      <w:tabs>
        <w:tab w:val="center" w:pos="4320"/>
        <w:tab w:val="right" w:pos="8640"/>
      </w:tabs>
    </w:pPr>
    <w:rPr>
      <w:sz w:val="20"/>
      <w:szCs w:val="20"/>
      <w:lang w:val="en-US" w:eastAsia="en-US"/>
    </w:rPr>
  </w:style>
  <w:style w:type="character" w:customStyle="1" w:styleId="KopfzeileZchn">
    <w:name w:val="Kopfzeile Zchn"/>
    <w:link w:val="Kopfzeile"/>
    <w:locked/>
    <w:rsid w:val="00E00CAB"/>
    <w:rPr>
      <w:rFonts w:cs="Times New Roman"/>
      <w:lang w:val="en-US" w:eastAsia="en-US"/>
    </w:rPr>
  </w:style>
  <w:style w:type="character" w:styleId="HTMLAkronym">
    <w:name w:val="HTML Acronym"/>
    <w:rsid w:val="00E00CAB"/>
    <w:rPr>
      <w:rFonts w:cs="Times New Roman"/>
    </w:rPr>
  </w:style>
  <w:style w:type="character" w:styleId="HTMLZitat">
    <w:name w:val="HTML Cite"/>
    <w:rsid w:val="00E00CAB"/>
    <w:rPr>
      <w:rFonts w:cs="Times New Roman"/>
      <w:i/>
      <w:iCs/>
    </w:rPr>
  </w:style>
  <w:style w:type="character" w:styleId="HTMLCode">
    <w:name w:val="HTML Code"/>
    <w:rsid w:val="00E00CAB"/>
    <w:rPr>
      <w:rFonts w:ascii="Courier New" w:hAnsi="Courier New" w:cs="Courier New"/>
      <w:sz w:val="20"/>
      <w:szCs w:val="20"/>
    </w:rPr>
  </w:style>
  <w:style w:type="character" w:styleId="HTMLDefinition">
    <w:name w:val="HTML Definition"/>
    <w:rsid w:val="00E00CAB"/>
    <w:rPr>
      <w:rFonts w:cs="Times New Roman"/>
      <w:i/>
      <w:iCs/>
    </w:rPr>
  </w:style>
  <w:style w:type="character" w:styleId="HTMLTastatur">
    <w:name w:val="HTML Keyboard"/>
    <w:rsid w:val="00E00CAB"/>
    <w:rPr>
      <w:rFonts w:ascii="Courier New" w:hAnsi="Courier New" w:cs="Courier New"/>
      <w:sz w:val="20"/>
      <w:szCs w:val="20"/>
    </w:rPr>
  </w:style>
  <w:style w:type="paragraph" w:styleId="HTMLVorformatiert">
    <w:name w:val="HTML Preformatted"/>
    <w:basedOn w:val="Standard"/>
    <w:link w:val="HTMLVorformatiertZchn"/>
    <w:rsid w:val="00E00CAB"/>
    <w:rPr>
      <w:rFonts w:ascii="Consolas" w:hAnsi="Consolas" w:cs="Consolas"/>
      <w:sz w:val="20"/>
      <w:szCs w:val="20"/>
      <w:lang w:val="en-US" w:eastAsia="en-US"/>
    </w:rPr>
  </w:style>
  <w:style w:type="character" w:customStyle="1" w:styleId="HTMLVorformatiertZchn">
    <w:name w:val="HTML Vorformatiert Zchn"/>
    <w:link w:val="HTMLVorformatiert"/>
    <w:locked/>
    <w:rsid w:val="00E00CAB"/>
    <w:rPr>
      <w:rFonts w:ascii="Consolas" w:hAnsi="Consolas" w:cs="Consolas"/>
      <w:lang w:val="en-US" w:eastAsia="en-US"/>
    </w:rPr>
  </w:style>
  <w:style w:type="character" w:styleId="HTMLBeispiel">
    <w:name w:val="HTML Sample"/>
    <w:rsid w:val="00E00CAB"/>
    <w:rPr>
      <w:rFonts w:ascii="Courier New" w:hAnsi="Courier New" w:cs="Courier New"/>
    </w:rPr>
  </w:style>
  <w:style w:type="character" w:styleId="HTMLSchreibmaschine">
    <w:name w:val="HTML Typewriter"/>
    <w:rsid w:val="00E00CAB"/>
    <w:rPr>
      <w:rFonts w:ascii="Courier New" w:hAnsi="Courier New" w:cs="Courier New"/>
      <w:sz w:val="20"/>
      <w:szCs w:val="20"/>
    </w:rPr>
  </w:style>
  <w:style w:type="character" w:styleId="HTMLVariable">
    <w:name w:val="HTML Variable"/>
    <w:rsid w:val="00E00CAB"/>
    <w:rPr>
      <w:rFonts w:cs="Times New Roman"/>
      <w:i/>
      <w:iCs/>
    </w:rPr>
  </w:style>
  <w:style w:type="character" w:styleId="Hyperlink">
    <w:name w:val="Hyperlink"/>
    <w:rsid w:val="00E00CAB"/>
    <w:rPr>
      <w:rFonts w:cs="Times New Roman"/>
      <w:color w:val="0000FF"/>
      <w:u w:val="single"/>
    </w:rPr>
  </w:style>
  <w:style w:type="paragraph" w:customStyle="1" w:styleId="InstructionsText">
    <w:name w:val="Instructions Text"/>
    <w:basedOn w:val="BaseText"/>
    <w:rsid w:val="00E00CAB"/>
  </w:style>
  <w:style w:type="paragraph" w:customStyle="1" w:styleId="Overline">
    <w:name w:val="Overline"/>
    <w:basedOn w:val="BaseText"/>
    <w:rsid w:val="00E00CAB"/>
  </w:style>
  <w:style w:type="paragraph" w:customStyle="1" w:styleId="IssueName">
    <w:name w:val="IssueName"/>
    <w:basedOn w:val="Overline"/>
    <w:rsid w:val="00E00CAB"/>
  </w:style>
  <w:style w:type="paragraph" w:customStyle="1" w:styleId="Keywords">
    <w:name w:val="Keywords"/>
    <w:basedOn w:val="BaseText"/>
    <w:rsid w:val="00E00CAB"/>
  </w:style>
  <w:style w:type="paragraph" w:customStyle="1" w:styleId="Level3Head">
    <w:name w:val="Level 3 Head"/>
    <w:basedOn w:val="BaseHeading"/>
    <w:rsid w:val="00E00CAB"/>
    <w:pPr>
      <w:outlineLvl w:val="2"/>
    </w:pPr>
    <w:rPr>
      <w:sz w:val="24"/>
      <w:szCs w:val="24"/>
      <w:u w:val="single"/>
    </w:rPr>
  </w:style>
  <w:style w:type="paragraph" w:customStyle="1" w:styleId="Level4Head">
    <w:name w:val="Level 4 Head"/>
    <w:basedOn w:val="BaseHeading"/>
    <w:rsid w:val="00E00CAB"/>
    <w:pPr>
      <w:ind w:left="346"/>
    </w:pPr>
    <w:rPr>
      <w:sz w:val="24"/>
      <w:szCs w:val="24"/>
    </w:rPr>
  </w:style>
  <w:style w:type="character" w:styleId="Zeilennummer">
    <w:name w:val="line number"/>
    <w:rsid w:val="00E00CAB"/>
    <w:rPr>
      <w:rFonts w:cs="Times New Roman"/>
    </w:rPr>
  </w:style>
  <w:style w:type="paragraph" w:customStyle="1" w:styleId="Literaryquote">
    <w:name w:val="Literary quote"/>
    <w:basedOn w:val="BaseText"/>
    <w:rsid w:val="00E00CAB"/>
    <w:pPr>
      <w:ind w:left="1440" w:right="1440"/>
    </w:pPr>
  </w:style>
  <w:style w:type="paragraph" w:customStyle="1" w:styleId="MaterialsText">
    <w:name w:val="Materials Text"/>
    <w:basedOn w:val="BaseText"/>
    <w:rsid w:val="00E00CAB"/>
  </w:style>
  <w:style w:type="paragraph" w:customStyle="1" w:styleId="NoteInProof">
    <w:name w:val="NoteInProof"/>
    <w:basedOn w:val="BaseText"/>
    <w:rsid w:val="00E00CAB"/>
  </w:style>
  <w:style w:type="paragraph" w:customStyle="1" w:styleId="Notes">
    <w:name w:val="Notes"/>
    <w:basedOn w:val="BaseText"/>
    <w:rsid w:val="00E00CAB"/>
    <w:rPr>
      <w:i/>
      <w:iCs/>
    </w:rPr>
  </w:style>
  <w:style w:type="paragraph" w:customStyle="1" w:styleId="Notes-Helvetica">
    <w:name w:val="Notes-Helvetica"/>
    <w:basedOn w:val="BaseText"/>
    <w:rsid w:val="00E00CAB"/>
    <w:rPr>
      <w:i/>
      <w:iCs/>
    </w:rPr>
  </w:style>
  <w:style w:type="paragraph" w:customStyle="1" w:styleId="NumberedInstructions">
    <w:name w:val="Numbered Instructions"/>
    <w:basedOn w:val="BaseText"/>
    <w:rsid w:val="00E00CAB"/>
  </w:style>
  <w:style w:type="paragraph" w:customStyle="1" w:styleId="OutlineLevel1">
    <w:name w:val="OutlineLevel1"/>
    <w:basedOn w:val="BaseHeading"/>
    <w:rsid w:val="00E00CAB"/>
    <w:rPr>
      <w:b/>
      <w:bCs/>
    </w:rPr>
  </w:style>
  <w:style w:type="paragraph" w:customStyle="1" w:styleId="OutlineLevel2">
    <w:name w:val="OutlineLevel2"/>
    <w:basedOn w:val="BaseHeading"/>
    <w:rsid w:val="00E00CAB"/>
    <w:pPr>
      <w:ind w:left="360"/>
      <w:outlineLvl w:val="1"/>
    </w:pPr>
    <w:rPr>
      <w:b/>
      <w:bCs/>
      <w:sz w:val="24"/>
      <w:szCs w:val="24"/>
    </w:rPr>
  </w:style>
  <w:style w:type="paragraph" w:customStyle="1" w:styleId="OutlineLevel3">
    <w:name w:val="OutlineLevel3"/>
    <w:basedOn w:val="BaseHeading"/>
    <w:rsid w:val="00E00CAB"/>
    <w:pPr>
      <w:ind w:left="720"/>
      <w:outlineLvl w:val="2"/>
    </w:pPr>
    <w:rPr>
      <w:b/>
      <w:bCs/>
      <w:sz w:val="24"/>
      <w:szCs w:val="24"/>
    </w:rPr>
  </w:style>
  <w:style w:type="character" w:styleId="Seitenzahl">
    <w:name w:val="page number"/>
    <w:rsid w:val="00E00CAB"/>
    <w:rPr>
      <w:rFonts w:cs="Times New Roman"/>
    </w:rPr>
  </w:style>
  <w:style w:type="paragraph" w:customStyle="1" w:styleId="Preformat">
    <w:name w:val="Preformat"/>
    <w:basedOn w:val="BaseText"/>
    <w:rsid w:val="00E00CAB"/>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E00CAB"/>
  </w:style>
  <w:style w:type="paragraph" w:customStyle="1" w:styleId="ProductInformation">
    <w:name w:val="ProductInformation"/>
    <w:basedOn w:val="BaseText"/>
    <w:rsid w:val="00E00CAB"/>
  </w:style>
  <w:style w:type="paragraph" w:customStyle="1" w:styleId="ProductTitle">
    <w:name w:val="ProductTitle"/>
    <w:basedOn w:val="BaseText"/>
    <w:rsid w:val="00E00CAB"/>
    <w:rPr>
      <w:b/>
      <w:bCs/>
    </w:rPr>
  </w:style>
  <w:style w:type="paragraph" w:customStyle="1" w:styleId="PublishedOnline">
    <w:name w:val="Published Online"/>
    <w:basedOn w:val="DateAccepted"/>
    <w:rsid w:val="00E00CAB"/>
  </w:style>
  <w:style w:type="paragraph" w:customStyle="1" w:styleId="RecipeMaterials">
    <w:name w:val="Recipe Materials"/>
    <w:basedOn w:val="BaseText"/>
    <w:rsid w:val="00E00CAB"/>
  </w:style>
  <w:style w:type="paragraph" w:customStyle="1" w:styleId="Refhead">
    <w:name w:val="Ref head"/>
    <w:basedOn w:val="BaseHeading"/>
    <w:rsid w:val="00E00CAB"/>
    <w:pPr>
      <w:spacing w:before="120" w:after="120"/>
    </w:pPr>
    <w:rPr>
      <w:b/>
      <w:bCs/>
      <w:sz w:val="24"/>
      <w:szCs w:val="24"/>
    </w:rPr>
  </w:style>
  <w:style w:type="paragraph" w:customStyle="1" w:styleId="ReferenceNote">
    <w:name w:val="Reference Note"/>
    <w:basedOn w:val="Referencesandnotes"/>
    <w:rsid w:val="00E00CAB"/>
  </w:style>
  <w:style w:type="paragraph" w:customStyle="1" w:styleId="ReferencesandnotesLong">
    <w:name w:val="References and notes Long"/>
    <w:basedOn w:val="BaseText"/>
    <w:rsid w:val="00E00CAB"/>
    <w:pPr>
      <w:ind w:left="720" w:hanging="720"/>
    </w:pPr>
  </w:style>
  <w:style w:type="paragraph" w:customStyle="1" w:styleId="region">
    <w:name w:val="region"/>
    <w:basedOn w:val="BaseText"/>
    <w:rsid w:val="00E00CAB"/>
    <w:pPr>
      <w:jc w:val="right"/>
    </w:pPr>
    <w:rPr>
      <w:color w:val="0000FF"/>
    </w:rPr>
  </w:style>
  <w:style w:type="paragraph" w:customStyle="1" w:styleId="RelatedArticle">
    <w:name w:val="RelatedArticle"/>
    <w:basedOn w:val="Referencesandnotes"/>
    <w:rsid w:val="00E00CAB"/>
  </w:style>
  <w:style w:type="paragraph" w:customStyle="1" w:styleId="RunHead">
    <w:name w:val="RunHead"/>
    <w:basedOn w:val="BaseText"/>
    <w:rsid w:val="00E00CAB"/>
  </w:style>
  <w:style w:type="paragraph" w:customStyle="1" w:styleId="SOMContent">
    <w:name w:val="SOMContent"/>
    <w:basedOn w:val="1stparatext"/>
    <w:rsid w:val="00E00CAB"/>
  </w:style>
  <w:style w:type="paragraph" w:customStyle="1" w:styleId="SOMHead">
    <w:name w:val="SOMHead"/>
    <w:basedOn w:val="BaseHeading"/>
    <w:rsid w:val="00E00CAB"/>
    <w:rPr>
      <w:b/>
      <w:bCs/>
      <w:sz w:val="24"/>
      <w:szCs w:val="24"/>
    </w:rPr>
  </w:style>
  <w:style w:type="paragraph" w:customStyle="1" w:styleId="Speaker">
    <w:name w:val="Speaker"/>
    <w:basedOn w:val="Paragraph"/>
    <w:rsid w:val="00E00CAB"/>
    <w:pPr>
      <w:autoSpaceDE w:val="0"/>
      <w:autoSpaceDN w:val="0"/>
      <w:adjustRightInd w:val="0"/>
    </w:pPr>
    <w:rPr>
      <w:b/>
      <w:bCs/>
    </w:rPr>
  </w:style>
  <w:style w:type="paragraph" w:customStyle="1" w:styleId="Speech">
    <w:name w:val="Speech"/>
    <w:basedOn w:val="Paragraph"/>
    <w:rsid w:val="00E00CAB"/>
    <w:pPr>
      <w:autoSpaceDE w:val="0"/>
      <w:autoSpaceDN w:val="0"/>
      <w:adjustRightInd w:val="0"/>
    </w:pPr>
  </w:style>
  <w:style w:type="character" w:styleId="Fett">
    <w:name w:val="Strong"/>
    <w:qFormat/>
    <w:rsid w:val="00E00CAB"/>
    <w:rPr>
      <w:rFonts w:cs="Times New Roman"/>
      <w:b/>
      <w:bCs/>
    </w:rPr>
  </w:style>
  <w:style w:type="paragraph" w:customStyle="1" w:styleId="SX-Abstract">
    <w:name w:val="SX-Abstract"/>
    <w:basedOn w:val="Standard"/>
    <w:rsid w:val="00E00CAB"/>
    <w:pPr>
      <w:widowControl w:val="0"/>
      <w:spacing w:before="120" w:after="240" w:line="210" w:lineRule="exact"/>
      <w:ind w:left="700" w:right="700"/>
      <w:jc w:val="both"/>
    </w:pPr>
    <w:rPr>
      <w:rFonts w:ascii="BlissRegular" w:hAnsi="BlissRegular" w:cs="BlissRegular"/>
      <w:b/>
      <w:bCs/>
      <w:sz w:val="20"/>
      <w:szCs w:val="20"/>
      <w:lang w:val="en-US" w:eastAsia="en-US"/>
    </w:rPr>
  </w:style>
  <w:style w:type="paragraph" w:customStyle="1" w:styleId="SX-Affiliation">
    <w:name w:val="SX-Affiliation"/>
    <w:basedOn w:val="Standard"/>
    <w:next w:val="Standard"/>
    <w:rsid w:val="00E00CAB"/>
    <w:pPr>
      <w:spacing w:after="160" w:line="190" w:lineRule="exact"/>
    </w:pPr>
    <w:rPr>
      <w:rFonts w:ascii="BlissRegular" w:hAnsi="BlissRegular" w:cs="BlissRegular"/>
      <w:sz w:val="16"/>
      <w:szCs w:val="16"/>
      <w:lang w:val="en-US" w:eastAsia="en-US"/>
    </w:rPr>
  </w:style>
  <w:style w:type="paragraph" w:customStyle="1" w:styleId="SX-Articlehead">
    <w:name w:val="SX-Article head"/>
    <w:basedOn w:val="Standard"/>
    <w:rsid w:val="00E00CAB"/>
    <w:pPr>
      <w:spacing w:before="210" w:line="210" w:lineRule="exact"/>
      <w:ind w:firstLine="288"/>
      <w:jc w:val="both"/>
    </w:pPr>
    <w:rPr>
      <w:b/>
      <w:bCs/>
      <w:sz w:val="18"/>
      <w:szCs w:val="18"/>
      <w:lang w:val="en-US" w:eastAsia="en-US"/>
    </w:rPr>
  </w:style>
  <w:style w:type="paragraph" w:customStyle="1" w:styleId="SX-Authornames">
    <w:name w:val="SX-Author names"/>
    <w:basedOn w:val="Standard"/>
    <w:rsid w:val="00E00CAB"/>
    <w:pPr>
      <w:spacing w:after="120" w:line="210" w:lineRule="exact"/>
    </w:pPr>
    <w:rPr>
      <w:rFonts w:ascii="BlissMedium" w:hAnsi="BlissMedium" w:cs="BlissMedium"/>
      <w:sz w:val="20"/>
      <w:szCs w:val="20"/>
      <w:lang w:val="en-US" w:eastAsia="en-US"/>
    </w:rPr>
  </w:style>
  <w:style w:type="paragraph" w:customStyle="1" w:styleId="SX-Bodytext">
    <w:name w:val="SX-Body text"/>
    <w:basedOn w:val="Standard"/>
    <w:next w:val="Standard"/>
    <w:rsid w:val="00E00CAB"/>
    <w:pPr>
      <w:spacing w:line="210" w:lineRule="exact"/>
      <w:ind w:firstLine="288"/>
      <w:jc w:val="both"/>
    </w:pPr>
    <w:rPr>
      <w:sz w:val="18"/>
      <w:szCs w:val="18"/>
      <w:lang w:val="en-US" w:eastAsia="en-US"/>
    </w:rPr>
  </w:style>
  <w:style w:type="paragraph" w:customStyle="1" w:styleId="SX-Bodytextflush">
    <w:name w:val="SX-Body text flush"/>
    <w:basedOn w:val="SX-Bodytext"/>
    <w:next w:val="SX-Bodytext"/>
    <w:rsid w:val="00E00CAB"/>
    <w:pPr>
      <w:ind w:firstLine="0"/>
    </w:pPr>
  </w:style>
  <w:style w:type="paragraph" w:customStyle="1" w:styleId="SX-Correspondence">
    <w:name w:val="SX-Correspondence"/>
    <w:basedOn w:val="SX-Affiliation"/>
    <w:rsid w:val="00E00CAB"/>
    <w:pPr>
      <w:spacing w:after="80"/>
    </w:pPr>
  </w:style>
  <w:style w:type="paragraph" w:customStyle="1" w:styleId="SX-Date">
    <w:name w:val="SX-Date"/>
    <w:basedOn w:val="Standard"/>
    <w:rsid w:val="00E00CAB"/>
    <w:pPr>
      <w:spacing w:before="180" w:line="190" w:lineRule="exact"/>
      <w:ind w:left="245" w:hanging="245"/>
      <w:jc w:val="both"/>
    </w:pPr>
    <w:rPr>
      <w:sz w:val="16"/>
      <w:szCs w:val="16"/>
      <w:lang w:val="en-US" w:eastAsia="en-US"/>
    </w:rPr>
  </w:style>
  <w:style w:type="paragraph" w:customStyle="1" w:styleId="SX-Equation">
    <w:name w:val="SX-Equation"/>
    <w:basedOn w:val="SX-Bodytextflush"/>
    <w:next w:val="SX-Bodytext"/>
    <w:rsid w:val="00E00CAB"/>
    <w:pPr>
      <w:autoSpaceDE w:val="0"/>
      <w:autoSpaceDN w:val="0"/>
      <w:adjustRightInd w:val="0"/>
      <w:spacing w:line="240" w:lineRule="auto"/>
      <w:jc w:val="center"/>
    </w:pPr>
  </w:style>
  <w:style w:type="paragraph" w:customStyle="1" w:styleId="SX-Legend">
    <w:name w:val="SX-Legend"/>
    <w:basedOn w:val="SX-Authornames"/>
    <w:rsid w:val="00E00CAB"/>
    <w:pPr>
      <w:jc w:val="both"/>
    </w:pPr>
    <w:rPr>
      <w:sz w:val="18"/>
      <w:szCs w:val="18"/>
    </w:rPr>
  </w:style>
  <w:style w:type="paragraph" w:customStyle="1" w:styleId="SX-References">
    <w:name w:val="SX-References"/>
    <w:basedOn w:val="Standard"/>
    <w:rsid w:val="00E00CAB"/>
    <w:pPr>
      <w:spacing w:line="190" w:lineRule="exact"/>
      <w:ind w:left="245" w:hanging="245"/>
      <w:jc w:val="both"/>
    </w:pPr>
    <w:rPr>
      <w:sz w:val="16"/>
      <w:szCs w:val="16"/>
      <w:lang w:val="en-US" w:eastAsia="en-US"/>
    </w:rPr>
  </w:style>
  <w:style w:type="paragraph" w:customStyle="1" w:styleId="SX-RefHead">
    <w:name w:val="SX-RefHead"/>
    <w:basedOn w:val="Standard"/>
    <w:rsid w:val="00E00CAB"/>
    <w:pPr>
      <w:spacing w:before="200" w:line="190" w:lineRule="exact"/>
    </w:pPr>
    <w:rPr>
      <w:b/>
      <w:bCs/>
      <w:sz w:val="16"/>
      <w:szCs w:val="16"/>
      <w:lang w:val="en-US" w:eastAsia="en-US"/>
    </w:rPr>
  </w:style>
  <w:style w:type="character" w:customStyle="1" w:styleId="SX-reflink">
    <w:name w:val="SX-reflink"/>
    <w:rsid w:val="00E00CAB"/>
    <w:rPr>
      <w:color w:val="0000FF"/>
      <w:sz w:val="16"/>
      <w:u w:val="words"/>
      <w:shd w:val="clear" w:color="auto" w:fill="FFFFFF"/>
    </w:rPr>
  </w:style>
  <w:style w:type="paragraph" w:customStyle="1" w:styleId="SX-SOMHead">
    <w:name w:val="SX-SOMHead"/>
    <w:basedOn w:val="SX-RefHead"/>
    <w:rsid w:val="00E00CAB"/>
  </w:style>
  <w:style w:type="paragraph" w:customStyle="1" w:styleId="SX-Tablehead">
    <w:name w:val="SX-Tablehead"/>
    <w:basedOn w:val="Standard"/>
    <w:rsid w:val="00E00CAB"/>
    <w:rPr>
      <w:sz w:val="20"/>
      <w:szCs w:val="20"/>
      <w:lang w:val="en-US" w:eastAsia="en-US"/>
    </w:rPr>
  </w:style>
  <w:style w:type="paragraph" w:customStyle="1" w:styleId="SX-Tablelegend">
    <w:name w:val="SX-Tablelegend"/>
    <w:basedOn w:val="Standard"/>
    <w:rsid w:val="00E00CAB"/>
    <w:pPr>
      <w:spacing w:line="190" w:lineRule="exact"/>
      <w:ind w:left="245" w:hanging="245"/>
      <w:jc w:val="both"/>
    </w:pPr>
    <w:rPr>
      <w:sz w:val="16"/>
      <w:szCs w:val="16"/>
      <w:lang w:val="en-US" w:eastAsia="en-US"/>
    </w:rPr>
  </w:style>
  <w:style w:type="paragraph" w:customStyle="1" w:styleId="SX-Tabletext">
    <w:name w:val="SX-Tabletext"/>
    <w:basedOn w:val="Standard"/>
    <w:rsid w:val="00E00CAB"/>
    <w:pPr>
      <w:spacing w:line="210" w:lineRule="exact"/>
      <w:jc w:val="center"/>
    </w:pPr>
    <w:rPr>
      <w:sz w:val="18"/>
      <w:szCs w:val="18"/>
      <w:lang w:val="en-US" w:eastAsia="en-US"/>
    </w:rPr>
  </w:style>
  <w:style w:type="paragraph" w:customStyle="1" w:styleId="SX-Tabletitle">
    <w:name w:val="SX-Tabletitle"/>
    <w:basedOn w:val="Standard"/>
    <w:rsid w:val="00E00CAB"/>
    <w:pPr>
      <w:spacing w:after="120" w:line="210" w:lineRule="exact"/>
      <w:jc w:val="both"/>
    </w:pPr>
    <w:rPr>
      <w:rFonts w:ascii="BlissMedium" w:hAnsi="BlissMedium" w:cs="BlissMedium"/>
      <w:sz w:val="18"/>
      <w:szCs w:val="18"/>
      <w:lang w:val="en-US" w:eastAsia="en-US"/>
    </w:rPr>
  </w:style>
  <w:style w:type="paragraph" w:customStyle="1" w:styleId="SX-Title">
    <w:name w:val="SX-Title"/>
    <w:basedOn w:val="Standard"/>
    <w:rsid w:val="00E00CAB"/>
    <w:pPr>
      <w:spacing w:after="240" w:line="500" w:lineRule="exact"/>
    </w:pPr>
    <w:rPr>
      <w:rFonts w:ascii="BlissBold" w:hAnsi="BlissBold" w:cs="BlissBold"/>
      <w:b/>
      <w:bCs/>
      <w:sz w:val="44"/>
      <w:szCs w:val="44"/>
      <w:lang w:val="en-US" w:eastAsia="en-US"/>
    </w:rPr>
  </w:style>
  <w:style w:type="paragraph" w:customStyle="1" w:styleId="Tablecolumnhead">
    <w:name w:val="Table column head"/>
    <w:basedOn w:val="BaseText"/>
    <w:rsid w:val="00E00CAB"/>
    <w:pPr>
      <w:spacing w:before="0"/>
    </w:pPr>
  </w:style>
  <w:style w:type="paragraph" w:customStyle="1" w:styleId="Tabletext">
    <w:name w:val="Table text"/>
    <w:basedOn w:val="BaseText"/>
    <w:rsid w:val="00E00CAB"/>
    <w:pPr>
      <w:spacing w:before="0"/>
    </w:pPr>
  </w:style>
  <w:style w:type="paragraph" w:customStyle="1" w:styleId="TableLegend">
    <w:name w:val="TableLegend"/>
    <w:basedOn w:val="BaseText"/>
    <w:rsid w:val="00E00CAB"/>
    <w:pPr>
      <w:spacing w:before="0"/>
    </w:pPr>
  </w:style>
  <w:style w:type="paragraph" w:customStyle="1" w:styleId="TableTitle">
    <w:name w:val="TableTitle"/>
    <w:basedOn w:val="BaseHeading"/>
    <w:rsid w:val="00E00CAB"/>
  </w:style>
  <w:style w:type="paragraph" w:customStyle="1" w:styleId="Teaser">
    <w:name w:val="Teaser"/>
    <w:basedOn w:val="BaseText"/>
    <w:rsid w:val="00E00CAB"/>
  </w:style>
  <w:style w:type="paragraph" w:customStyle="1" w:styleId="TWIS">
    <w:name w:val="TWIS"/>
    <w:basedOn w:val="AbstractSummary"/>
    <w:rsid w:val="00E00CAB"/>
    <w:pPr>
      <w:autoSpaceDE w:val="0"/>
      <w:autoSpaceDN w:val="0"/>
      <w:adjustRightInd w:val="0"/>
    </w:pPr>
  </w:style>
  <w:style w:type="paragraph" w:customStyle="1" w:styleId="TWISorEC">
    <w:name w:val="TWIS or EC"/>
    <w:basedOn w:val="Standard"/>
    <w:rsid w:val="00E00CAB"/>
    <w:pPr>
      <w:spacing w:line="210" w:lineRule="exact"/>
    </w:pPr>
    <w:rPr>
      <w:rFonts w:ascii="BlissRegular" w:hAnsi="BlissRegular" w:cs="BlissRegular"/>
      <w:sz w:val="19"/>
      <w:szCs w:val="19"/>
      <w:lang w:val="en-US" w:eastAsia="en-US"/>
    </w:rPr>
  </w:style>
  <w:style w:type="paragraph" w:customStyle="1" w:styleId="work-sector">
    <w:name w:val="work-sector"/>
    <w:basedOn w:val="BaseText"/>
    <w:rsid w:val="00E00CAB"/>
    <w:pPr>
      <w:jc w:val="right"/>
    </w:pPr>
    <w:rPr>
      <w:color w:val="003300"/>
    </w:rPr>
  </w:style>
  <w:style w:type="paragraph" w:customStyle="1" w:styleId="DOI">
    <w:name w:val="DOI"/>
    <w:basedOn w:val="DateAccepted"/>
    <w:rsid w:val="00E00CAB"/>
  </w:style>
  <w:style w:type="character" w:customStyle="1" w:styleId="scp">
    <w:name w:val="scp"/>
    <w:rsid w:val="00E00CAB"/>
  </w:style>
  <w:style w:type="paragraph" w:styleId="Textkrper-Einzug2">
    <w:name w:val="Body Text Indent 2"/>
    <w:basedOn w:val="Standard"/>
    <w:link w:val="Textkrper-Einzug2Zchn"/>
    <w:rsid w:val="00E00CAB"/>
    <w:pPr>
      <w:ind w:left="180" w:hanging="180"/>
    </w:pPr>
    <w:rPr>
      <w:lang w:val="en-GB"/>
    </w:rPr>
  </w:style>
  <w:style w:type="character" w:customStyle="1" w:styleId="Textkrper-Einzug2Zchn">
    <w:name w:val="Textkörper-Einzug 2 Zchn"/>
    <w:link w:val="Textkrper-Einzug2"/>
    <w:locked/>
    <w:rsid w:val="00E00CAB"/>
    <w:rPr>
      <w:rFonts w:cs="Times New Roman"/>
      <w:sz w:val="24"/>
      <w:szCs w:val="24"/>
      <w:lang w:val="en-GB" w:eastAsia="de-DE"/>
    </w:rPr>
  </w:style>
  <w:style w:type="paragraph" w:styleId="Textkrper2">
    <w:name w:val="Body Text 2"/>
    <w:basedOn w:val="Standard"/>
    <w:link w:val="Textkrper2Zchn"/>
    <w:rsid w:val="00E00CAB"/>
    <w:pPr>
      <w:spacing w:after="120" w:line="480" w:lineRule="auto"/>
    </w:pPr>
    <w:rPr>
      <w:lang w:eastAsia="en-US"/>
    </w:rPr>
  </w:style>
  <w:style w:type="character" w:customStyle="1" w:styleId="Textkrper2Zchn">
    <w:name w:val="Textkörper 2 Zchn"/>
    <w:link w:val="Textkrper2"/>
    <w:locked/>
    <w:rsid w:val="00E00CAB"/>
    <w:rPr>
      <w:rFonts w:cs="Times New Roman"/>
      <w:sz w:val="24"/>
      <w:szCs w:val="24"/>
      <w:lang w:val="de-DE" w:eastAsia="en-US"/>
    </w:rPr>
  </w:style>
  <w:style w:type="paragraph" w:customStyle="1" w:styleId="Default">
    <w:name w:val="Default"/>
    <w:rsid w:val="00E00CAB"/>
    <w:pPr>
      <w:autoSpaceDE w:val="0"/>
      <w:autoSpaceDN w:val="0"/>
      <w:adjustRightInd w:val="0"/>
    </w:pPr>
    <w:rPr>
      <w:color w:val="000000"/>
      <w:sz w:val="24"/>
      <w:szCs w:val="24"/>
    </w:rPr>
  </w:style>
  <w:style w:type="paragraph" w:customStyle="1" w:styleId="Bibliography1">
    <w:name w:val="Bibliography1"/>
    <w:basedOn w:val="Standard"/>
    <w:next w:val="Standard"/>
    <w:rsid w:val="006C0F72"/>
    <w:pPr>
      <w:tabs>
        <w:tab w:val="left" w:pos="504"/>
      </w:tabs>
      <w:spacing w:after="240"/>
      <w:ind w:left="504" w:hanging="504"/>
    </w:pPr>
  </w:style>
  <w:style w:type="paragraph" w:styleId="StandardWeb">
    <w:name w:val="Normal (Web)"/>
    <w:basedOn w:val="Standard"/>
    <w:rsid w:val="007707E9"/>
    <w:pPr>
      <w:spacing w:before="100" w:beforeAutospacing="1" w:after="100" w:afterAutospacing="1"/>
    </w:pPr>
  </w:style>
  <w:style w:type="paragraph" w:customStyle="1" w:styleId="Revision1">
    <w:name w:val="Revision1"/>
    <w:hidden/>
    <w:semiHidden/>
    <w:rsid w:val="007707E9"/>
    <w:rPr>
      <w:sz w:val="24"/>
      <w:szCs w:val="24"/>
    </w:rPr>
  </w:style>
  <w:style w:type="character" w:customStyle="1" w:styleId="ins">
    <w:name w:val="ins"/>
    <w:rsid w:val="00C4582F"/>
  </w:style>
  <w:style w:type="character" w:customStyle="1" w:styleId="PlaceholderText1">
    <w:name w:val="Placeholder Text1"/>
    <w:semiHidden/>
    <w:rsid w:val="00784087"/>
    <w:rPr>
      <w:color w:val="808080"/>
    </w:rPr>
  </w:style>
  <w:style w:type="paragraph" w:styleId="Funotentext">
    <w:name w:val="footnote text"/>
    <w:basedOn w:val="Standard"/>
    <w:link w:val="FunotentextZchn"/>
    <w:semiHidden/>
    <w:locked/>
    <w:rsid w:val="000D5986"/>
    <w:rPr>
      <w:sz w:val="20"/>
      <w:szCs w:val="20"/>
    </w:rPr>
  </w:style>
  <w:style w:type="character" w:customStyle="1" w:styleId="FunotentextZchn">
    <w:name w:val="Fußnotentext Zchn"/>
    <w:link w:val="Funotentext"/>
    <w:semiHidden/>
    <w:locked/>
    <w:rsid w:val="000D5986"/>
    <w:rPr>
      <w:rFonts w:cs="Times New Roman"/>
      <w:sz w:val="20"/>
      <w:szCs w:val="20"/>
    </w:rPr>
  </w:style>
  <w:style w:type="character" w:styleId="Funotenzeichen">
    <w:name w:val="footnote reference"/>
    <w:semiHidden/>
    <w:locked/>
    <w:rsid w:val="000D5986"/>
    <w:rPr>
      <w:rFonts w:cs="Times New Roman"/>
      <w:vertAlign w:val="superscript"/>
    </w:rPr>
  </w:style>
  <w:style w:type="paragraph" w:customStyle="1" w:styleId="Literaturverzeichnis1">
    <w:name w:val="Literaturverzeichnis1"/>
    <w:basedOn w:val="Standard"/>
    <w:next w:val="Standard"/>
    <w:rsid w:val="005B41E4"/>
    <w:pPr>
      <w:spacing w:after="240"/>
      <w:ind w:left="720" w:hanging="720"/>
    </w:pPr>
  </w:style>
  <w:style w:type="paragraph" w:customStyle="1" w:styleId="Listenabsatz1">
    <w:name w:val="Listenabsatz1"/>
    <w:basedOn w:val="Standard"/>
    <w:rsid w:val="006C7F41"/>
    <w:pPr>
      <w:ind w:left="720"/>
    </w:pPr>
  </w:style>
  <w:style w:type="paragraph" w:customStyle="1" w:styleId="berarbeitung1">
    <w:name w:val="Überarbeitung1"/>
    <w:hidden/>
    <w:semiHidden/>
    <w:rsid w:val="00BB4788"/>
    <w:rPr>
      <w:sz w:val="24"/>
      <w:szCs w:val="24"/>
    </w:rPr>
  </w:style>
  <w:style w:type="character" w:styleId="Platzhaltertext">
    <w:name w:val="Placeholder Text"/>
    <w:basedOn w:val="Absatz-Standardschriftart"/>
    <w:uiPriority w:val="99"/>
    <w:semiHidden/>
    <w:rsid w:val="00D156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788546754">
      <w:bodyDiv w:val="1"/>
      <w:marLeft w:val="0"/>
      <w:marRight w:val="0"/>
      <w:marTop w:val="0"/>
      <w:marBottom w:val="0"/>
      <w:divBdr>
        <w:top w:val="none" w:sz="0" w:space="0" w:color="auto"/>
        <w:left w:val="none" w:sz="0" w:space="0" w:color="auto"/>
        <w:bottom w:val="none" w:sz="0" w:space="0" w:color="auto"/>
        <w:right w:val="none" w:sz="0" w:space="0" w:color="auto"/>
      </w:divBdr>
      <w:divsChild>
        <w:div w:id="268512930">
          <w:marLeft w:val="0"/>
          <w:marRight w:val="0"/>
          <w:marTop w:val="0"/>
          <w:marBottom w:val="0"/>
          <w:divBdr>
            <w:top w:val="none" w:sz="0" w:space="0" w:color="auto"/>
            <w:left w:val="none" w:sz="0" w:space="0" w:color="auto"/>
            <w:bottom w:val="none" w:sz="0" w:space="0" w:color="auto"/>
            <w:right w:val="none" w:sz="0" w:space="0" w:color="auto"/>
          </w:divBdr>
        </w:div>
        <w:div w:id="622346137">
          <w:marLeft w:val="0"/>
          <w:marRight w:val="0"/>
          <w:marTop w:val="0"/>
          <w:marBottom w:val="0"/>
          <w:divBdr>
            <w:top w:val="none" w:sz="0" w:space="0" w:color="auto"/>
            <w:left w:val="none" w:sz="0" w:space="0" w:color="auto"/>
            <w:bottom w:val="none" w:sz="0" w:space="0" w:color="auto"/>
            <w:right w:val="none" w:sz="0" w:space="0" w:color="auto"/>
          </w:divBdr>
        </w:div>
        <w:div w:id="698165043">
          <w:marLeft w:val="0"/>
          <w:marRight w:val="0"/>
          <w:marTop w:val="0"/>
          <w:marBottom w:val="0"/>
          <w:divBdr>
            <w:top w:val="none" w:sz="0" w:space="0" w:color="auto"/>
            <w:left w:val="none" w:sz="0" w:space="0" w:color="auto"/>
            <w:bottom w:val="none" w:sz="0" w:space="0" w:color="auto"/>
            <w:right w:val="none" w:sz="0" w:space="0" w:color="auto"/>
          </w:divBdr>
        </w:div>
        <w:div w:id="731734538">
          <w:marLeft w:val="0"/>
          <w:marRight w:val="0"/>
          <w:marTop w:val="0"/>
          <w:marBottom w:val="0"/>
          <w:divBdr>
            <w:top w:val="none" w:sz="0" w:space="0" w:color="auto"/>
            <w:left w:val="none" w:sz="0" w:space="0" w:color="auto"/>
            <w:bottom w:val="none" w:sz="0" w:space="0" w:color="auto"/>
            <w:right w:val="none" w:sz="0" w:space="0" w:color="auto"/>
          </w:divBdr>
        </w:div>
        <w:div w:id="1221281101">
          <w:marLeft w:val="0"/>
          <w:marRight w:val="0"/>
          <w:marTop w:val="0"/>
          <w:marBottom w:val="0"/>
          <w:divBdr>
            <w:top w:val="none" w:sz="0" w:space="0" w:color="auto"/>
            <w:left w:val="none" w:sz="0" w:space="0" w:color="auto"/>
            <w:bottom w:val="none" w:sz="0" w:space="0" w:color="auto"/>
            <w:right w:val="none" w:sz="0" w:space="0" w:color="auto"/>
          </w:divBdr>
        </w:div>
        <w:div w:id="1727025142">
          <w:marLeft w:val="0"/>
          <w:marRight w:val="0"/>
          <w:marTop w:val="0"/>
          <w:marBottom w:val="0"/>
          <w:divBdr>
            <w:top w:val="none" w:sz="0" w:space="0" w:color="auto"/>
            <w:left w:val="none" w:sz="0" w:space="0" w:color="auto"/>
            <w:bottom w:val="none" w:sz="0" w:space="0" w:color="auto"/>
            <w:right w:val="none" w:sz="0" w:space="0" w:color="auto"/>
          </w:divBdr>
        </w:div>
        <w:div w:id="1786193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11408</Words>
  <Characters>61035</Characters>
  <Application>Microsoft Office Word</Application>
  <DocSecurity>0</DocSecurity>
  <Lines>1017</Lines>
  <Paragraphs>171</Paragraphs>
  <ScaleCrop>false</ScaleCrop>
  <Company/>
  <LinksUpToDate>false</LinksUpToDate>
  <CharactersWithSpaces>72272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2017-09-14T17:03:00Z</dcterms:created>
  <dcterms:modified xsi:type="dcterms:W3CDTF">2017-09-14T17:04:00Z</dcterms:modified>
</cp:coreProperties>
</file>