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A4" w:rsidRDefault="00B65EA4" w:rsidP="007031BE">
      <w:pPr>
        <w:pStyle w:val="Heading1"/>
        <w:rPr>
          <w:lang w:val="en-GB"/>
        </w:rPr>
      </w:pPr>
      <w:r>
        <w:rPr>
          <w:lang w:val="en-GB"/>
        </w:rPr>
        <w:t>A cross-sectional study examining the p</w:t>
      </w:r>
      <w:r w:rsidRPr="005D7A88">
        <w:rPr>
          <w:lang w:val="en-GB"/>
        </w:rPr>
        <w:t xml:space="preserve">revalence of cachexia and </w:t>
      </w:r>
      <w:r>
        <w:rPr>
          <w:lang w:val="en-GB"/>
        </w:rPr>
        <w:t>areas of unmet need, in patients with cancer</w:t>
      </w:r>
    </w:p>
    <w:p w:rsidR="00B65EA4" w:rsidRDefault="00B65EA4" w:rsidP="007031BE">
      <w:pPr>
        <w:rPr>
          <w:lang w:val="en-US"/>
        </w:rPr>
      </w:pPr>
    </w:p>
    <w:p w:rsidR="00B65EA4" w:rsidRPr="00E03FC4" w:rsidRDefault="00B65EA4" w:rsidP="008230D2">
      <w:pPr>
        <w:spacing w:line="360" w:lineRule="auto"/>
        <w:rPr>
          <w:lang w:val="en-US"/>
        </w:rPr>
      </w:pPr>
      <w:r w:rsidRPr="00E44388">
        <w:rPr>
          <w:lang w:val="en-US"/>
        </w:rPr>
        <w:t>Ola Magne Vagnildhaug</w:t>
      </w:r>
      <w:r>
        <w:rPr>
          <w:vertAlign w:val="superscript"/>
          <w:lang w:val="en-US"/>
        </w:rPr>
        <w:t>1,2</w:t>
      </w:r>
      <w:r w:rsidRPr="00E44388">
        <w:rPr>
          <w:lang w:val="en-US"/>
        </w:rPr>
        <w:t xml:space="preserve">, </w:t>
      </w:r>
      <w:r>
        <w:rPr>
          <w:lang w:val="en-US"/>
        </w:rPr>
        <w:t xml:space="preserve">Trude Rakel </w:t>
      </w:r>
      <w:r w:rsidRPr="00EF78C1">
        <w:rPr>
          <w:lang w:val="en-US"/>
        </w:rPr>
        <w:t>Balstad</w:t>
      </w:r>
      <w:r w:rsidRPr="00EF78C1">
        <w:rPr>
          <w:vertAlign w:val="superscript"/>
          <w:lang w:val="en-US"/>
        </w:rPr>
        <w:t>1</w:t>
      </w:r>
      <w:r>
        <w:rPr>
          <w:vertAlign w:val="superscript"/>
          <w:lang w:val="en-US"/>
        </w:rPr>
        <w:t>,2</w:t>
      </w:r>
      <w:r>
        <w:rPr>
          <w:lang w:val="en-US"/>
        </w:rPr>
        <w:t>,</w:t>
      </w:r>
      <w:r>
        <w:rPr>
          <w:vertAlign w:val="superscript"/>
          <w:lang w:val="en-US"/>
        </w:rPr>
        <w:t xml:space="preserve"> </w:t>
      </w:r>
      <w:r>
        <w:rPr>
          <w:lang w:val="en-US"/>
        </w:rPr>
        <w:t>Sigrun Saur Almberg</w:t>
      </w:r>
      <w:r>
        <w:rPr>
          <w:vertAlign w:val="superscript"/>
          <w:lang w:val="en-US"/>
        </w:rPr>
        <w:t>1,2</w:t>
      </w:r>
      <w:r>
        <w:rPr>
          <w:lang w:val="en-US"/>
        </w:rPr>
        <w:t>, Cinzia Brunelli</w:t>
      </w:r>
      <w:r>
        <w:rPr>
          <w:vertAlign w:val="superscript"/>
          <w:lang w:val="en-US"/>
        </w:rPr>
        <w:t>1,4</w:t>
      </w:r>
      <w:r>
        <w:rPr>
          <w:lang w:val="en-US"/>
        </w:rPr>
        <w:t xml:space="preserve">, </w:t>
      </w:r>
      <w:r w:rsidRPr="00EF78C1">
        <w:rPr>
          <w:lang w:val="en-US"/>
        </w:rPr>
        <w:t>Anne</w:t>
      </w:r>
      <w:r w:rsidRPr="00E44388">
        <w:rPr>
          <w:lang w:val="en-US"/>
        </w:rPr>
        <w:t xml:space="preserve"> Kari Knudsen</w:t>
      </w:r>
      <w:r>
        <w:rPr>
          <w:vertAlign w:val="superscript"/>
          <w:lang w:val="en-US"/>
        </w:rPr>
        <w:t>1,3</w:t>
      </w:r>
      <w:r w:rsidRPr="00E44388">
        <w:rPr>
          <w:lang w:val="en-US"/>
        </w:rPr>
        <w:t>, Stein Kaasa</w:t>
      </w:r>
      <w:r>
        <w:rPr>
          <w:vertAlign w:val="superscript"/>
          <w:lang w:val="en-US"/>
        </w:rPr>
        <w:t>1,2,3</w:t>
      </w:r>
      <w:r w:rsidRPr="00E44388">
        <w:rPr>
          <w:lang w:val="en-US"/>
        </w:rPr>
        <w:t>, Morten Thronæs</w:t>
      </w:r>
      <w:r>
        <w:rPr>
          <w:vertAlign w:val="superscript"/>
          <w:lang w:val="en-US"/>
        </w:rPr>
        <w:t>1,2</w:t>
      </w:r>
      <w:r w:rsidRPr="00E44388">
        <w:rPr>
          <w:lang w:val="en-US"/>
        </w:rPr>
        <w:t>, Barry Laird</w:t>
      </w:r>
      <w:r>
        <w:rPr>
          <w:vertAlign w:val="superscript"/>
          <w:lang w:val="en-US"/>
        </w:rPr>
        <w:t>5</w:t>
      </w:r>
      <w:r w:rsidRPr="00E44388">
        <w:rPr>
          <w:lang w:val="en-US"/>
        </w:rPr>
        <w:t>, Tora Skeidsvoll Solheim</w:t>
      </w:r>
      <w:r>
        <w:rPr>
          <w:vertAlign w:val="superscript"/>
          <w:lang w:val="en-US"/>
        </w:rPr>
        <w:t>1,2</w:t>
      </w:r>
      <w:r>
        <w:rPr>
          <w:lang w:val="en-US"/>
        </w:rPr>
        <w:t xml:space="preserve"> </w:t>
      </w:r>
    </w:p>
    <w:p w:rsidR="00B65EA4" w:rsidRPr="003258F8" w:rsidRDefault="00B65EA4" w:rsidP="008230D2">
      <w:pPr>
        <w:spacing w:after="0" w:line="360" w:lineRule="auto"/>
        <w:rPr>
          <w:sz w:val="18"/>
          <w:szCs w:val="18"/>
          <w:lang w:val="en-US"/>
        </w:rPr>
      </w:pPr>
      <w:r w:rsidRPr="00076318">
        <w:rPr>
          <w:sz w:val="18"/>
          <w:szCs w:val="18"/>
          <w:vertAlign w:val="superscript"/>
          <w:lang w:val="en-GB"/>
        </w:rPr>
        <w:t>1</w:t>
      </w:r>
      <w:r w:rsidRPr="00076318">
        <w:rPr>
          <w:sz w:val="18"/>
          <w:szCs w:val="18"/>
          <w:lang w:val="en-GB"/>
        </w:rPr>
        <w:t xml:space="preserve">European Palliative Care Research Centre (PRC), Department of Cancer Research and Molecular Medicine, </w:t>
      </w:r>
      <w:r>
        <w:rPr>
          <w:sz w:val="18"/>
          <w:szCs w:val="18"/>
          <w:lang w:val="en-GB"/>
        </w:rPr>
        <w:t xml:space="preserve">                    </w:t>
      </w:r>
      <w:r w:rsidRPr="00076318">
        <w:rPr>
          <w:sz w:val="18"/>
          <w:szCs w:val="18"/>
          <w:lang w:val="en-GB"/>
        </w:rPr>
        <w:t xml:space="preserve">Faculty of Medicine, </w:t>
      </w:r>
      <w:r>
        <w:rPr>
          <w:sz w:val="18"/>
          <w:szCs w:val="18"/>
          <w:lang w:val="en-GB"/>
        </w:rPr>
        <w:t xml:space="preserve">NTNU - </w:t>
      </w:r>
      <w:r w:rsidRPr="00076318">
        <w:rPr>
          <w:sz w:val="18"/>
          <w:szCs w:val="18"/>
          <w:lang w:val="en-GB"/>
        </w:rPr>
        <w:t xml:space="preserve">Norwegian University of Science and Technology, </w:t>
      </w:r>
      <w:proofErr w:type="spellStart"/>
      <w:r w:rsidRPr="004419C1">
        <w:rPr>
          <w:sz w:val="18"/>
          <w:szCs w:val="18"/>
          <w:lang w:val="en-GB"/>
        </w:rPr>
        <w:t>Postbox</w:t>
      </w:r>
      <w:proofErr w:type="spellEnd"/>
      <w:r w:rsidRPr="004419C1">
        <w:rPr>
          <w:sz w:val="18"/>
          <w:szCs w:val="18"/>
          <w:lang w:val="en-GB"/>
        </w:rPr>
        <w:t xml:space="preserve"> 8905, NO-7491 Trondheim, Norway</w:t>
      </w:r>
      <w:r>
        <w:rPr>
          <w:sz w:val="18"/>
          <w:szCs w:val="18"/>
          <w:lang w:val="en-GB"/>
        </w:rPr>
        <w:t xml:space="preserve">. </w:t>
      </w:r>
    </w:p>
    <w:p w:rsidR="00B65EA4" w:rsidRPr="003258F8" w:rsidRDefault="00B65EA4" w:rsidP="008230D2">
      <w:pPr>
        <w:spacing w:after="0" w:line="360" w:lineRule="auto"/>
        <w:rPr>
          <w:sz w:val="18"/>
          <w:szCs w:val="18"/>
          <w:lang w:val="en-US"/>
        </w:rPr>
      </w:pPr>
      <w:r>
        <w:rPr>
          <w:sz w:val="18"/>
          <w:szCs w:val="18"/>
          <w:vertAlign w:val="superscript"/>
          <w:lang w:val="en-GB"/>
        </w:rPr>
        <w:t>2</w:t>
      </w:r>
      <w:r w:rsidRPr="00076318">
        <w:rPr>
          <w:sz w:val="18"/>
          <w:szCs w:val="18"/>
          <w:lang w:val="en-GB"/>
        </w:rPr>
        <w:t>Cancer Clinic, St. Olav</w:t>
      </w:r>
      <w:r>
        <w:rPr>
          <w:sz w:val="18"/>
          <w:szCs w:val="18"/>
          <w:lang w:val="en-GB"/>
        </w:rPr>
        <w:t>’s Hospital -</w:t>
      </w:r>
      <w:r w:rsidRPr="00076318">
        <w:rPr>
          <w:sz w:val="18"/>
          <w:szCs w:val="18"/>
          <w:lang w:val="en-GB"/>
        </w:rPr>
        <w:t xml:space="preserve"> Trondheim University Hospital, </w:t>
      </w:r>
      <w:proofErr w:type="spellStart"/>
      <w:r w:rsidRPr="003258F8">
        <w:rPr>
          <w:sz w:val="18"/>
          <w:szCs w:val="18"/>
          <w:lang w:val="en-US"/>
        </w:rPr>
        <w:t>Postboks</w:t>
      </w:r>
      <w:proofErr w:type="spellEnd"/>
      <w:r w:rsidRPr="003258F8">
        <w:rPr>
          <w:sz w:val="18"/>
          <w:szCs w:val="18"/>
          <w:lang w:val="en-US"/>
        </w:rPr>
        <w:t xml:space="preserve"> 3250 </w:t>
      </w:r>
      <w:proofErr w:type="spellStart"/>
      <w:r w:rsidRPr="003258F8">
        <w:rPr>
          <w:sz w:val="18"/>
          <w:szCs w:val="18"/>
          <w:lang w:val="en-US"/>
        </w:rPr>
        <w:t>Sluppen</w:t>
      </w:r>
      <w:proofErr w:type="spellEnd"/>
      <w:r w:rsidRPr="003258F8">
        <w:rPr>
          <w:sz w:val="18"/>
          <w:szCs w:val="18"/>
          <w:lang w:val="en-US"/>
        </w:rPr>
        <w:t>,</w:t>
      </w:r>
      <w:r w:rsidRPr="003258F8">
        <w:rPr>
          <w:sz w:val="18"/>
          <w:szCs w:val="18"/>
          <w:lang w:val="en-US"/>
        </w:rPr>
        <w:br/>
        <w:t>NO-7006 Trondheim</w:t>
      </w:r>
      <w:r w:rsidRPr="00076318">
        <w:rPr>
          <w:sz w:val="18"/>
          <w:szCs w:val="18"/>
          <w:lang w:val="en-GB"/>
        </w:rPr>
        <w:t>, Norway</w:t>
      </w:r>
      <w:r>
        <w:rPr>
          <w:sz w:val="18"/>
          <w:szCs w:val="18"/>
          <w:lang w:val="en-GB"/>
        </w:rPr>
        <w:t xml:space="preserve">. </w:t>
      </w:r>
    </w:p>
    <w:p w:rsidR="00B65EA4" w:rsidRPr="00076318" w:rsidRDefault="00B65EA4" w:rsidP="008230D2">
      <w:pPr>
        <w:spacing w:after="0" w:line="360" w:lineRule="auto"/>
        <w:rPr>
          <w:sz w:val="18"/>
          <w:szCs w:val="18"/>
          <w:lang w:val="en-GB"/>
        </w:rPr>
      </w:pPr>
      <w:r>
        <w:rPr>
          <w:sz w:val="18"/>
          <w:szCs w:val="18"/>
          <w:vertAlign w:val="superscript"/>
          <w:lang w:val="en-GB"/>
        </w:rPr>
        <w:t>3</w:t>
      </w:r>
      <w:r>
        <w:rPr>
          <w:sz w:val="18"/>
          <w:szCs w:val="18"/>
          <w:lang w:val="en-GB"/>
        </w:rPr>
        <w:t xml:space="preserve">Department of Oncology, Oslo University Hospital and University of Oslo, </w:t>
      </w:r>
      <w:proofErr w:type="spellStart"/>
      <w:r w:rsidRPr="003258F8">
        <w:rPr>
          <w:sz w:val="18"/>
          <w:szCs w:val="18"/>
          <w:lang w:val="en-US"/>
        </w:rPr>
        <w:t>Postboks</w:t>
      </w:r>
      <w:proofErr w:type="spellEnd"/>
      <w:r w:rsidRPr="003258F8">
        <w:rPr>
          <w:sz w:val="18"/>
          <w:szCs w:val="18"/>
          <w:lang w:val="en-US"/>
        </w:rPr>
        <w:t xml:space="preserve"> 4956 </w:t>
      </w:r>
      <w:proofErr w:type="spellStart"/>
      <w:r w:rsidRPr="003258F8">
        <w:rPr>
          <w:sz w:val="18"/>
          <w:szCs w:val="18"/>
          <w:lang w:val="en-US"/>
        </w:rPr>
        <w:t>Nydalen</w:t>
      </w:r>
      <w:proofErr w:type="spellEnd"/>
      <w:r>
        <w:rPr>
          <w:sz w:val="18"/>
          <w:szCs w:val="18"/>
          <w:lang w:val="en-US"/>
        </w:rPr>
        <w:t>,</w:t>
      </w:r>
      <w:r w:rsidRPr="003258F8">
        <w:rPr>
          <w:sz w:val="18"/>
          <w:szCs w:val="18"/>
          <w:lang w:val="en-US"/>
        </w:rPr>
        <w:t xml:space="preserve"> </w:t>
      </w:r>
      <w:r w:rsidRPr="003258F8">
        <w:rPr>
          <w:sz w:val="18"/>
          <w:szCs w:val="18"/>
          <w:lang w:val="en-US"/>
        </w:rPr>
        <w:br/>
      </w:r>
      <w:r>
        <w:rPr>
          <w:sz w:val="18"/>
          <w:szCs w:val="18"/>
          <w:lang w:val="en-US"/>
        </w:rPr>
        <w:t>NO-</w:t>
      </w:r>
      <w:r w:rsidRPr="003258F8">
        <w:rPr>
          <w:sz w:val="18"/>
          <w:szCs w:val="18"/>
          <w:lang w:val="en-US"/>
        </w:rPr>
        <w:t>0424 Oslo</w:t>
      </w:r>
      <w:r>
        <w:rPr>
          <w:sz w:val="18"/>
          <w:szCs w:val="18"/>
          <w:lang w:val="en-US"/>
        </w:rPr>
        <w:t>,</w:t>
      </w:r>
      <w:r w:rsidRPr="003258F8">
        <w:rPr>
          <w:lang w:val="en-US"/>
        </w:rPr>
        <w:t xml:space="preserve"> </w:t>
      </w:r>
      <w:r>
        <w:rPr>
          <w:sz w:val="18"/>
          <w:szCs w:val="18"/>
          <w:lang w:val="en-GB"/>
        </w:rPr>
        <w:t>Norway.</w:t>
      </w:r>
    </w:p>
    <w:p w:rsidR="00B65EA4" w:rsidRPr="00E87021" w:rsidRDefault="00B65EA4" w:rsidP="008230D2">
      <w:pPr>
        <w:spacing w:after="0" w:line="360" w:lineRule="auto"/>
        <w:rPr>
          <w:sz w:val="18"/>
          <w:lang w:val="it-IT"/>
        </w:rPr>
      </w:pPr>
      <w:r w:rsidRPr="00E87021">
        <w:rPr>
          <w:sz w:val="18"/>
          <w:vertAlign w:val="superscript"/>
          <w:lang w:val="it-IT"/>
        </w:rPr>
        <w:t>4</w:t>
      </w:r>
      <w:r w:rsidRPr="00E87021">
        <w:rPr>
          <w:sz w:val="18"/>
          <w:lang w:val="it-IT"/>
        </w:rPr>
        <w:t xml:space="preserve">Palliative Care, Pain Therapy and Rehabilitation Unit, Fondazione IRCCS Istituto Nazionale dei Tumori, </w:t>
      </w:r>
      <w:r w:rsidRPr="00E03FC4">
        <w:rPr>
          <w:sz w:val="18"/>
          <w:lang w:val="it-IT"/>
        </w:rPr>
        <w:t>via Giacomo Venezian 1, 20133 Milano</w:t>
      </w:r>
      <w:r w:rsidRPr="00E87021">
        <w:rPr>
          <w:sz w:val="18"/>
          <w:lang w:val="it-IT"/>
        </w:rPr>
        <w:t>, Italy</w:t>
      </w:r>
      <w:r>
        <w:rPr>
          <w:sz w:val="18"/>
          <w:lang w:val="it-IT"/>
        </w:rPr>
        <w:t>.</w:t>
      </w:r>
    </w:p>
    <w:p w:rsidR="00B65EA4" w:rsidRPr="00E03FC4" w:rsidRDefault="00B65EA4" w:rsidP="008230D2">
      <w:pPr>
        <w:spacing w:after="0" w:line="360" w:lineRule="auto"/>
        <w:rPr>
          <w:rFonts w:cs="Arial"/>
          <w:sz w:val="18"/>
          <w:szCs w:val="18"/>
          <w:lang w:val="en-GB"/>
        </w:rPr>
      </w:pPr>
      <w:r>
        <w:rPr>
          <w:rFonts w:cs="Arial"/>
          <w:sz w:val="18"/>
          <w:szCs w:val="18"/>
          <w:vertAlign w:val="superscript"/>
          <w:lang w:val="en-GB"/>
        </w:rPr>
        <w:t>5</w:t>
      </w:r>
      <w:r w:rsidRPr="00076318">
        <w:rPr>
          <w:rFonts w:cs="Arial"/>
          <w:sz w:val="18"/>
          <w:szCs w:val="18"/>
          <w:lang w:val="en-GB"/>
        </w:rPr>
        <w:t>Edinburgh Cancer Research UK Centre, University of Edinburgh,</w:t>
      </w:r>
      <w:r w:rsidRPr="00E03FC4">
        <w:rPr>
          <w:lang w:val="en-US"/>
        </w:rPr>
        <w:t xml:space="preserve"> </w:t>
      </w:r>
      <w:r w:rsidRPr="00E03FC4">
        <w:rPr>
          <w:rFonts w:cs="Arial"/>
          <w:sz w:val="18"/>
          <w:szCs w:val="18"/>
          <w:lang w:val="en-GB"/>
        </w:rPr>
        <w:t>Western General Hospital</w:t>
      </w:r>
    </w:p>
    <w:p w:rsidR="00B65EA4" w:rsidRPr="00076318" w:rsidRDefault="00B65EA4" w:rsidP="008230D2">
      <w:pPr>
        <w:spacing w:after="0" w:line="360" w:lineRule="auto"/>
        <w:rPr>
          <w:rFonts w:cs="Arial"/>
          <w:sz w:val="18"/>
          <w:szCs w:val="18"/>
          <w:lang w:val="en-GB"/>
        </w:rPr>
      </w:pPr>
      <w:r w:rsidRPr="00E03FC4">
        <w:rPr>
          <w:rFonts w:cs="Arial"/>
          <w:sz w:val="18"/>
          <w:szCs w:val="18"/>
          <w:lang w:val="en-GB"/>
        </w:rPr>
        <w:t>Crewe Road South, Edinburgh EH4 2XR</w:t>
      </w:r>
      <w:r>
        <w:rPr>
          <w:rFonts w:cs="Arial"/>
          <w:sz w:val="18"/>
          <w:szCs w:val="18"/>
          <w:lang w:val="en-GB"/>
        </w:rPr>
        <w:t>, UK.</w:t>
      </w:r>
      <w:r w:rsidRPr="00E03FC4">
        <w:rPr>
          <w:rFonts w:cs="Arial"/>
          <w:sz w:val="18"/>
          <w:szCs w:val="18"/>
          <w:lang w:val="en-GB"/>
        </w:rPr>
        <w:t xml:space="preserve"> </w:t>
      </w:r>
    </w:p>
    <w:p w:rsidR="00B65EA4" w:rsidRDefault="00B65EA4" w:rsidP="008230D2">
      <w:pPr>
        <w:spacing w:after="0" w:line="360" w:lineRule="auto"/>
        <w:jc w:val="both"/>
        <w:rPr>
          <w:sz w:val="18"/>
          <w:lang w:val="en-US"/>
        </w:rPr>
      </w:pPr>
    </w:p>
    <w:p w:rsidR="00B65EA4" w:rsidRDefault="00B65EA4" w:rsidP="008230D2">
      <w:pPr>
        <w:spacing w:after="0" w:line="360" w:lineRule="auto"/>
        <w:rPr>
          <w:szCs w:val="24"/>
          <w:lang w:val="en-US"/>
        </w:rPr>
      </w:pPr>
      <w:r w:rsidRPr="004419C1">
        <w:rPr>
          <w:szCs w:val="24"/>
          <w:lang w:val="en-US"/>
        </w:rPr>
        <w:t>Corresponding author:</w:t>
      </w:r>
    </w:p>
    <w:p w:rsidR="00B65EA4" w:rsidRPr="004419C1" w:rsidRDefault="00B65EA4" w:rsidP="008230D2">
      <w:pPr>
        <w:spacing w:after="0" w:line="360" w:lineRule="auto"/>
        <w:ind w:firstLine="708"/>
        <w:rPr>
          <w:szCs w:val="24"/>
          <w:lang w:val="en-US"/>
        </w:rPr>
      </w:pPr>
      <w:r w:rsidRPr="004419C1">
        <w:rPr>
          <w:szCs w:val="24"/>
          <w:lang w:val="en-US"/>
        </w:rPr>
        <w:t>Ola Magne Vagnildhaug</w:t>
      </w:r>
    </w:p>
    <w:p w:rsidR="00B65EA4" w:rsidRDefault="00B65EA4" w:rsidP="008230D2">
      <w:pPr>
        <w:spacing w:after="0" w:line="360" w:lineRule="auto"/>
        <w:rPr>
          <w:szCs w:val="24"/>
          <w:lang w:val="en-US"/>
        </w:rPr>
      </w:pPr>
    </w:p>
    <w:p w:rsidR="00B65EA4" w:rsidRDefault="00B65EA4" w:rsidP="008230D2">
      <w:pPr>
        <w:spacing w:after="0" w:line="360" w:lineRule="auto"/>
        <w:rPr>
          <w:szCs w:val="24"/>
          <w:lang w:val="en-US"/>
        </w:rPr>
      </w:pPr>
      <w:r w:rsidRPr="004419C1">
        <w:rPr>
          <w:szCs w:val="24"/>
          <w:lang w:val="en-US"/>
        </w:rPr>
        <w:t>Postal address:</w:t>
      </w:r>
    </w:p>
    <w:p w:rsidR="00B65EA4" w:rsidRPr="004419C1" w:rsidRDefault="00B65EA4" w:rsidP="008230D2">
      <w:pPr>
        <w:spacing w:after="0" w:line="360" w:lineRule="auto"/>
        <w:ind w:firstLine="708"/>
        <w:rPr>
          <w:szCs w:val="24"/>
          <w:lang w:val="en-GB"/>
        </w:rPr>
      </w:pPr>
      <w:r w:rsidRPr="004419C1">
        <w:rPr>
          <w:szCs w:val="24"/>
          <w:lang w:val="en-GB"/>
        </w:rPr>
        <w:t>European Palliative Care Research Centre (PRC)</w:t>
      </w:r>
    </w:p>
    <w:p w:rsidR="00B65EA4" w:rsidRPr="004419C1" w:rsidRDefault="00B65EA4" w:rsidP="008230D2">
      <w:pPr>
        <w:spacing w:after="0" w:line="360" w:lineRule="auto"/>
        <w:ind w:left="708"/>
        <w:rPr>
          <w:szCs w:val="24"/>
          <w:lang w:val="en-GB"/>
        </w:rPr>
      </w:pPr>
      <w:r w:rsidRPr="004419C1">
        <w:rPr>
          <w:szCs w:val="24"/>
          <w:lang w:val="en-GB"/>
        </w:rPr>
        <w:t>Department of Cancer Research and Molecular Medicine, Faculty of Medicine</w:t>
      </w:r>
    </w:p>
    <w:p w:rsidR="00B65EA4" w:rsidRPr="004419C1" w:rsidRDefault="00B65EA4" w:rsidP="008230D2">
      <w:pPr>
        <w:spacing w:after="0" w:line="360" w:lineRule="auto"/>
        <w:ind w:firstLine="708"/>
        <w:rPr>
          <w:szCs w:val="24"/>
          <w:lang w:val="en-GB"/>
        </w:rPr>
      </w:pPr>
      <w:r w:rsidRPr="004419C1">
        <w:rPr>
          <w:szCs w:val="24"/>
          <w:lang w:val="en-GB"/>
        </w:rPr>
        <w:t>NTNU - Norwegian University of Science and Technology,</w:t>
      </w:r>
    </w:p>
    <w:p w:rsidR="00B65EA4" w:rsidRPr="00FB4271" w:rsidRDefault="00B65EA4" w:rsidP="008230D2">
      <w:pPr>
        <w:spacing w:after="0" w:line="360" w:lineRule="auto"/>
        <w:ind w:firstLine="708"/>
        <w:rPr>
          <w:szCs w:val="24"/>
          <w:lang w:val="en-US"/>
        </w:rPr>
      </w:pPr>
      <w:r w:rsidRPr="00FB4271">
        <w:rPr>
          <w:szCs w:val="24"/>
          <w:lang w:val="en-US"/>
        </w:rPr>
        <w:t>Postbox 8905, NO-7491 Trondheim, Norway.</w:t>
      </w:r>
    </w:p>
    <w:p w:rsidR="00B65EA4" w:rsidRDefault="00B65EA4" w:rsidP="008230D2">
      <w:pPr>
        <w:spacing w:after="0" w:line="360" w:lineRule="auto"/>
        <w:rPr>
          <w:szCs w:val="24"/>
          <w:lang w:val="en-US"/>
        </w:rPr>
      </w:pPr>
    </w:p>
    <w:p w:rsidR="00B65EA4" w:rsidRDefault="00B65EA4" w:rsidP="008230D2">
      <w:pPr>
        <w:spacing w:after="0" w:line="360" w:lineRule="auto"/>
        <w:rPr>
          <w:szCs w:val="24"/>
          <w:lang w:val="en-US"/>
        </w:rPr>
      </w:pPr>
      <w:proofErr w:type="gramStart"/>
      <w:r w:rsidRPr="004419C1">
        <w:rPr>
          <w:szCs w:val="24"/>
          <w:lang w:val="en-US"/>
        </w:rPr>
        <w:t>e-mail</w:t>
      </w:r>
      <w:proofErr w:type="gramEnd"/>
      <w:r w:rsidRPr="004419C1">
        <w:rPr>
          <w:szCs w:val="24"/>
          <w:lang w:val="en-US"/>
        </w:rPr>
        <w:t xml:space="preserve">: </w:t>
      </w:r>
      <w:r w:rsidRPr="008F15B8">
        <w:rPr>
          <w:szCs w:val="24"/>
          <w:lang w:val="en-US"/>
        </w:rPr>
        <w:t>ola.m.vagnildhaug@ntnu.no</w:t>
      </w:r>
      <w:r w:rsidRPr="00FB4271">
        <w:rPr>
          <w:szCs w:val="24"/>
          <w:lang w:val="en-US"/>
        </w:rPr>
        <w:t xml:space="preserve"> </w:t>
      </w:r>
    </w:p>
    <w:p w:rsidR="00B65EA4" w:rsidRDefault="00B65EA4" w:rsidP="008230D2">
      <w:pPr>
        <w:spacing w:after="0" w:line="360" w:lineRule="auto"/>
        <w:rPr>
          <w:szCs w:val="24"/>
          <w:lang w:val="en-US"/>
        </w:rPr>
      </w:pPr>
      <w:proofErr w:type="gramStart"/>
      <w:r>
        <w:rPr>
          <w:szCs w:val="24"/>
          <w:lang w:val="en-US"/>
        </w:rPr>
        <w:t>phone</w:t>
      </w:r>
      <w:proofErr w:type="gramEnd"/>
      <w:r>
        <w:rPr>
          <w:szCs w:val="24"/>
          <w:lang w:val="en-US"/>
        </w:rPr>
        <w:t>: +47 72 82 66 31</w:t>
      </w:r>
    </w:p>
    <w:p w:rsidR="00B65EA4" w:rsidRDefault="00B65EA4" w:rsidP="008230D2">
      <w:pPr>
        <w:spacing w:after="0" w:line="360" w:lineRule="auto"/>
        <w:jc w:val="both"/>
        <w:rPr>
          <w:sz w:val="18"/>
          <w:lang w:val="en-US"/>
        </w:rPr>
      </w:pPr>
    </w:p>
    <w:p w:rsidR="00B65EA4" w:rsidRDefault="00B65EA4" w:rsidP="008230D2">
      <w:pPr>
        <w:spacing w:after="0" w:line="360" w:lineRule="auto"/>
        <w:jc w:val="both"/>
        <w:rPr>
          <w:sz w:val="18"/>
          <w:lang w:val="en-US"/>
        </w:rPr>
      </w:pPr>
    </w:p>
    <w:p w:rsidR="00B65EA4" w:rsidRPr="007031BE" w:rsidRDefault="00B65EA4" w:rsidP="008230D2">
      <w:pPr>
        <w:spacing w:after="0" w:line="360" w:lineRule="auto"/>
        <w:jc w:val="both"/>
        <w:rPr>
          <w:lang w:val="en-US"/>
        </w:rPr>
      </w:pPr>
      <w:r>
        <w:rPr>
          <w:lang w:val="en-US"/>
        </w:rPr>
        <w:t>Acknowledgements</w:t>
      </w:r>
    </w:p>
    <w:p w:rsidR="00B65EA4" w:rsidRPr="007031BE" w:rsidRDefault="00B65EA4" w:rsidP="008230D2">
      <w:pPr>
        <w:spacing w:after="0" w:line="360" w:lineRule="auto"/>
        <w:jc w:val="both"/>
        <w:rPr>
          <w:color w:val="365F91" w:themeColor="accent1" w:themeShade="BF"/>
          <w:lang w:val="en-US"/>
        </w:rPr>
      </w:pPr>
      <w:r w:rsidRPr="007031BE">
        <w:rPr>
          <w:lang w:val="en-US"/>
        </w:rPr>
        <w:t xml:space="preserve">This study has received funding from the Cancer Fund at St. </w:t>
      </w:r>
      <w:proofErr w:type="spellStart"/>
      <w:r w:rsidRPr="007031BE">
        <w:rPr>
          <w:lang w:val="en-US"/>
        </w:rPr>
        <w:t>Olavs</w:t>
      </w:r>
      <w:proofErr w:type="spellEnd"/>
      <w:r w:rsidRPr="007031BE">
        <w:rPr>
          <w:lang w:val="en-US"/>
        </w:rPr>
        <w:t xml:space="preserve"> </w:t>
      </w:r>
      <w:proofErr w:type="gramStart"/>
      <w:r w:rsidRPr="007031BE">
        <w:rPr>
          <w:lang w:val="en-US"/>
        </w:rPr>
        <w:t>Hospital  -</w:t>
      </w:r>
      <w:proofErr w:type="gramEnd"/>
      <w:r w:rsidRPr="007031BE">
        <w:rPr>
          <w:lang w:val="en-US"/>
        </w:rPr>
        <w:t xml:space="preserve"> Trondheim University Hospital and The Liaison Committee for education, research and innovation in Central Norway. Additionally, </w:t>
      </w:r>
      <w:r>
        <w:rPr>
          <w:lang w:val="en-US"/>
        </w:rPr>
        <w:t>the European Palliative Care Research Centre</w:t>
      </w:r>
      <w:r w:rsidRPr="007031BE">
        <w:rPr>
          <w:lang w:val="en-US"/>
        </w:rPr>
        <w:t xml:space="preserve"> has received unrestricted grants from The Norwegian Cancer Society.</w:t>
      </w:r>
      <w:r w:rsidRPr="007031BE">
        <w:rPr>
          <w:lang w:val="en-US"/>
        </w:rPr>
        <w:br w:type="page"/>
      </w:r>
    </w:p>
    <w:p w:rsidR="00B65EA4" w:rsidRDefault="00B65EA4" w:rsidP="0048210C">
      <w:pPr>
        <w:pStyle w:val="Heading1"/>
        <w:spacing w:before="0" w:line="360" w:lineRule="auto"/>
        <w:jc w:val="both"/>
        <w:rPr>
          <w:lang w:val="en-US"/>
        </w:rPr>
      </w:pPr>
      <w:r>
        <w:rPr>
          <w:lang w:val="en-US"/>
        </w:rPr>
        <w:lastRenderedPageBreak/>
        <w:t>Abstract</w:t>
      </w:r>
    </w:p>
    <w:p w:rsidR="00B65EA4" w:rsidRPr="00F2075B" w:rsidRDefault="00B65EA4" w:rsidP="0048210C">
      <w:pPr>
        <w:pStyle w:val="Heading2"/>
        <w:spacing w:before="0" w:line="360" w:lineRule="auto"/>
        <w:jc w:val="both"/>
        <w:rPr>
          <w:lang w:val="en-GB"/>
        </w:rPr>
      </w:pPr>
      <w:r>
        <w:rPr>
          <w:lang w:val="en-GB"/>
        </w:rPr>
        <w:t>Purpose</w:t>
      </w:r>
    </w:p>
    <w:p w:rsidR="00B65EA4" w:rsidRDefault="00B65EA4" w:rsidP="0048210C">
      <w:pPr>
        <w:spacing w:after="0" w:line="360" w:lineRule="auto"/>
        <w:jc w:val="both"/>
        <w:rPr>
          <w:rFonts w:cs="Times New Roman"/>
          <w:lang w:val="en-US"/>
        </w:rPr>
      </w:pPr>
      <w:r>
        <w:rPr>
          <w:lang w:val="en-GB"/>
        </w:rPr>
        <w:t xml:space="preserve">The semantics of defining cancer cachexia over the last decade has resulted in uncertainty as to the prevalence. This has further hindered the recognition and subsequent treatment of this condition. Following the consensus definition for cancer cachexia in 2011, there is now a need to establish estimates of prevalence. Therefore the primary aim of the present study was to assess the prevalence of cachexia in an unselected cancer population. A secondary aim was to assess </w:t>
      </w:r>
      <w:r>
        <w:rPr>
          <w:rFonts w:cs="Times New Roman"/>
          <w:lang w:val="en-US"/>
        </w:rPr>
        <w:t>patient-perceived need of attention</w:t>
      </w:r>
      <w:r>
        <w:rPr>
          <w:lang w:val="en-GB"/>
        </w:rPr>
        <w:t xml:space="preserve"> to cachexia.  </w:t>
      </w:r>
    </w:p>
    <w:p w:rsidR="00B65EA4" w:rsidRDefault="00B65EA4" w:rsidP="0048210C">
      <w:pPr>
        <w:pStyle w:val="Heading2"/>
        <w:spacing w:before="0" w:line="360" w:lineRule="auto"/>
        <w:jc w:val="both"/>
        <w:rPr>
          <w:lang w:val="en-US"/>
        </w:rPr>
      </w:pPr>
      <w:r>
        <w:rPr>
          <w:lang w:val="en-US"/>
        </w:rPr>
        <w:t>Methods</w:t>
      </w:r>
    </w:p>
    <w:p w:rsidR="00B65EA4" w:rsidRDefault="00B65EA4" w:rsidP="0048210C">
      <w:pPr>
        <w:spacing w:after="0" w:line="360" w:lineRule="auto"/>
        <w:jc w:val="both"/>
        <w:rPr>
          <w:rFonts w:cs="Times New Roman"/>
          <w:lang w:val="en-US"/>
        </w:rPr>
      </w:pPr>
      <w:r>
        <w:rPr>
          <w:rFonts w:cs="Times New Roman"/>
          <w:lang w:val="en-US"/>
        </w:rPr>
        <w:t xml:space="preserve">A cross-sectional study in hospital patients was undertaken. Key inclusion criteria were: age &gt;18 years, cancer diagnosis, and   no surgery the preceding 24 hours. Data on demographics, disease, performance status, symptoms, cachexia and patients’ perceived need of attention to weight loss and nutrition was registered </w:t>
      </w:r>
    </w:p>
    <w:p w:rsidR="00B65EA4" w:rsidRDefault="00B65EA4" w:rsidP="0048210C">
      <w:pPr>
        <w:pStyle w:val="Heading2"/>
        <w:spacing w:before="0" w:line="360" w:lineRule="auto"/>
        <w:jc w:val="both"/>
        <w:rPr>
          <w:lang w:val="en-US"/>
        </w:rPr>
      </w:pPr>
      <w:r>
        <w:rPr>
          <w:lang w:val="en-US"/>
        </w:rPr>
        <w:t>Results</w:t>
      </w:r>
    </w:p>
    <w:p w:rsidR="00B65EA4" w:rsidRDefault="00B65EA4" w:rsidP="0048210C">
      <w:pPr>
        <w:spacing w:after="0" w:line="360" w:lineRule="auto"/>
        <w:jc w:val="both"/>
        <w:rPr>
          <w:rFonts w:cs="Times New Roman"/>
          <w:lang w:val="en-US"/>
        </w:rPr>
      </w:pPr>
      <w:r>
        <w:rPr>
          <w:rFonts w:cs="Times New Roman"/>
          <w:lang w:val="en-US"/>
        </w:rPr>
        <w:t>Data were available on 386 of 426 eligible patients. Median age (IQR) was 65 years (56-72), 214(55%) were male and 302(78%) had a performance status of 0-1 (Eastern Cooperative Oncology Group). Prevalence of cachexia (inpatients/outpatients) was 51%/22%. Prevalence was highest in patients with gastrointestinal cancer (62%/42%) and lung cancer (83%/36%). There was no major difference in prevalence between patients with metastatic (55%/24%) and localized disease (47%/19%). 20% of inpatients and 15% of outpatients wanted more attention to weight loss and nutrition. Cachexia (p&lt;0.001), symptoms of mood disorder (p&lt;0.001) and male gender (p&lt;0.01) were independently associated with increased need of attention.</w:t>
      </w:r>
    </w:p>
    <w:p w:rsidR="00B65EA4" w:rsidRDefault="00B65EA4" w:rsidP="0048210C">
      <w:pPr>
        <w:pStyle w:val="Heading2"/>
        <w:spacing w:before="0" w:line="360" w:lineRule="auto"/>
        <w:jc w:val="both"/>
        <w:rPr>
          <w:lang w:val="en-US"/>
        </w:rPr>
      </w:pPr>
      <w:r>
        <w:rPr>
          <w:lang w:val="en-US"/>
        </w:rPr>
        <w:t>Conclusion</w:t>
      </w:r>
    </w:p>
    <w:p w:rsidR="00B65EA4" w:rsidRDefault="00B65EA4" w:rsidP="0048210C">
      <w:pPr>
        <w:spacing w:after="0" w:line="360" w:lineRule="auto"/>
        <w:jc w:val="both"/>
        <w:rPr>
          <w:rFonts w:cs="Times New Roman"/>
          <w:lang w:val="en-US"/>
        </w:rPr>
      </w:pPr>
      <w:r>
        <w:rPr>
          <w:lang w:val="en-US"/>
        </w:rPr>
        <w:t>Cachexia is a prevalent condition, affecting both patients with localized and metastatic cancer. Clinical attention to the condition is a sizeable unmet need.</w:t>
      </w:r>
    </w:p>
    <w:p w:rsidR="00B65EA4" w:rsidRDefault="00B65EA4" w:rsidP="0048210C">
      <w:pPr>
        <w:spacing w:after="0" w:line="360" w:lineRule="auto"/>
        <w:jc w:val="both"/>
        <w:rPr>
          <w:lang w:val="en-US"/>
        </w:rPr>
      </w:pPr>
    </w:p>
    <w:p w:rsidR="00B65EA4" w:rsidRDefault="00B65EA4" w:rsidP="007031BE">
      <w:pPr>
        <w:rPr>
          <w:rFonts w:cs="Times New Roman"/>
          <w:lang w:val="en-US"/>
        </w:rPr>
      </w:pPr>
      <w:r>
        <w:rPr>
          <w:lang w:val="en-US"/>
        </w:rPr>
        <w:t xml:space="preserve">Keywords: cachexia, weight loss, prevalence, nutrition, cancer </w:t>
      </w:r>
    </w:p>
    <w:p w:rsidR="00B65EA4" w:rsidRDefault="00B65EA4" w:rsidP="0048210C">
      <w:pPr>
        <w:spacing w:after="0" w:line="360" w:lineRule="auto"/>
        <w:jc w:val="both"/>
        <w:rPr>
          <w:rFonts w:asciiTheme="majorHAnsi" w:eastAsiaTheme="majorEastAsia" w:hAnsiTheme="majorHAnsi" w:cstheme="majorBidi"/>
          <w:b/>
          <w:bCs/>
          <w:color w:val="365F91" w:themeColor="accent1" w:themeShade="BF"/>
          <w:sz w:val="28"/>
          <w:szCs w:val="28"/>
          <w:lang w:val="en-US"/>
        </w:rPr>
      </w:pPr>
      <w:r>
        <w:rPr>
          <w:lang w:val="en-US"/>
        </w:rPr>
        <w:br w:type="page"/>
      </w:r>
    </w:p>
    <w:p w:rsidR="00B65EA4" w:rsidRDefault="00B65EA4" w:rsidP="0048210C">
      <w:pPr>
        <w:pStyle w:val="Heading1"/>
        <w:spacing w:before="0" w:line="360" w:lineRule="auto"/>
        <w:jc w:val="both"/>
        <w:rPr>
          <w:lang w:val="en-US"/>
        </w:rPr>
      </w:pPr>
      <w:r>
        <w:rPr>
          <w:lang w:val="en-US"/>
        </w:rPr>
        <w:lastRenderedPageBreak/>
        <w:t>Introduction</w:t>
      </w:r>
    </w:p>
    <w:p w:rsidR="00B65EA4" w:rsidRDefault="00B65EA4" w:rsidP="00D603FF">
      <w:pPr>
        <w:spacing w:after="0" w:line="360" w:lineRule="auto"/>
        <w:jc w:val="both"/>
        <w:rPr>
          <w:lang w:val="en-US"/>
        </w:rPr>
      </w:pPr>
      <w:r>
        <w:rPr>
          <w:lang w:val="en-US"/>
        </w:rPr>
        <w:t xml:space="preserve">Cancer cachexia is characterized by loss of muscle mass (with or without loss of fat mass) and anorexia, and is caused by a combination of abnormal metabolism and reduced nutritional intake </w:t>
      </w:r>
      <w:r>
        <w:rPr>
          <w:noProof/>
          <w:lang w:val="en-US"/>
        </w:rPr>
        <w:t>[1]</w:t>
      </w:r>
      <w:r>
        <w:rPr>
          <w:lang w:val="en-US"/>
        </w:rPr>
        <w:t xml:space="preserve">. It leads to impaired physical function, reduced tolerability of anti-cancer treatment and psychosocial distress </w:t>
      </w:r>
      <w:r>
        <w:rPr>
          <w:noProof/>
          <w:lang w:val="en-US"/>
        </w:rPr>
        <w:t>[2-4]</w:t>
      </w:r>
      <w:r>
        <w:rPr>
          <w:lang w:val="en-US"/>
        </w:rPr>
        <w:t xml:space="preserve">. Cachexia remains one of the greatest challenges in cancer as it causes up to 20% of cancer-related deaths </w:t>
      </w:r>
      <w:r>
        <w:rPr>
          <w:noProof/>
          <w:lang w:val="en-US"/>
        </w:rPr>
        <w:t>[5]</w:t>
      </w:r>
      <w:r>
        <w:rPr>
          <w:lang w:val="en-US"/>
        </w:rPr>
        <w:t xml:space="preserve"> but has no established treatment.</w:t>
      </w:r>
    </w:p>
    <w:p w:rsidR="00B65EA4" w:rsidRPr="00B45BA6" w:rsidRDefault="00B65EA4" w:rsidP="0048210C">
      <w:pPr>
        <w:spacing w:after="0" w:line="360" w:lineRule="auto"/>
        <w:jc w:val="both"/>
        <w:rPr>
          <w:lang w:val="en-GB"/>
        </w:rPr>
      </w:pPr>
    </w:p>
    <w:p w:rsidR="00B65EA4" w:rsidRDefault="00B65EA4" w:rsidP="0048210C">
      <w:pPr>
        <w:spacing w:after="0" w:line="360" w:lineRule="auto"/>
        <w:jc w:val="both"/>
        <w:rPr>
          <w:lang w:val="en-US"/>
        </w:rPr>
      </w:pPr>
      <w:r>
        <w:rPr>
          <w:lang w:val="en-US"/>
        </w:rPr>
        <w:t xml:space="preserve">The reported prevalence of cancer cachexia has varied substantially </w:t>
      </w:r>
      <w:r>
        <w:rPr>
          <w:noProof/>
          <w:lang w:val="en-US"/>
        </w:rPr>
        <w:t>[6-8]</w:t>
      </w:r>
      <w:r>
        <w:rPr>
          <w:lang w:val="en-US"/>
        </w:rPr>
        <w:t xml:space="preserve">, with one of the main reasons being the heterogeneity of cachexia definitions </w:t>
      </w:r>
      <w:r>
        <w:rPr>
          <w:noProof/>
          <w:lang w:val="en-US"/>
        </w:rPr>
        <w:t>[9]</w:t>
      </w:r>
      <w:r>
        <w:rPr>
          <w:lang w:val="en-US"/>
        </w:rPr>
        <w:t>. In 2011 a consensus definition stated that cachexia is present when either a) weight loss exceeds 5% last six months or b) weight loss exceeds 2% in conjunction with</w:t>
      </w:r>
      <w:r w:rsidRPr="005D4847">
        <w:rPr>
          <w:rStyle w:val="CommentReference"/>
          <w:lang w:val="en-US"/>
        </w:rPr>
        <w:t xml:space="preserve"> </w:t>
      </w:r>
      <w:r>
        <w:rPr>
          <w:lang w:val="en-US"/>
        </w:rPr>
        <w:t>either body mass index (BMI) &lt; 20 kg/m</w:t>
      </w:r>
      <w:r>
        <w:rPr>
          <w:vertAlign w:val="superscript"/>
          <w:lang w:val="en-US"/>
        </w:rPr>
        <w:t>2</w:t>
      </w:r>
      <w:r>
        <w:rPr>
          <w:lang w:val="en-US"/>
        </w:rPr>
        <w:t xml:space="preserve"> or sarcopenia </w:t>
      </w:r>
      <w:r>
        <w:rPr>
          <w:noProof/>
          <w:lang w:val="en-US"/>
        </w:rPr>
        <w:t>[1]</w:t>
      </w:r>
      <w:r>
        <w:rPr>
          <w:lang w:val="en-US"/>
        </w:rPr>
        <w:t xml:space="preserve">. Using this definition, two studies have examined cachexia prevalence. </w:t>
      </w:r>
      <w:proofErr w:type="spellStart"/>
      <w:r>
        <w:rPr>
          <w:lang w:val="en-US"/>
        </w:rPr>
        <w:t>Wallengren</w:t>
      </w:r>
      <w:proofErr w:type="spellEnd"/>
      <w:r>
        <w:rPr>
          <w:lang w:val="en-US"/>
        </w:rPr>
        <w:t xml:space="preserve"> et al. </w:t>
      </w:r>
      <w:r>
        <w:rPr>
          <w:noProof/>
          <w:lang w:val="en-US"/>
        </w:rPr>
        <w:t>[10]</w:t>
      </w:r>
      <w:r>
        <w:rPr>
          <w:lang w:val="en-US"/>
        </w:rPr>
        <w:t xml:space="preserve"> reported a prevalence of 85% in patients with advanced cancer receiving palliative care. The vast majority of these patients had gastrointestinal cancer, which is known to be associated with a relatively high prevalence of cachexia. Sun et al. </w:t>
      </w:r>
      <w:r>
        <w:rPr>
          <w:noProof/>
          <w:lang w:val="en-US"/>
        </w:rPr>
        <w:t>[11]</w:t>
      </w:r>
      <w:r>
        <w:rPr>
          <w:lang w:val="en-US"/>
        </w:rPr>
        <w:t xml:space="preserve"> reported in contrast a prevalence of 36% in a Chinese population with advanced cancer of several types. Uncertainty concerning prevalence of cachexia, demonstrated by these two studies and previous work </w:t>
      </w:r>
      <w:r>
        <w:rPr>
          <w:noProof/>
          <w:lang w:val="en-US"/>
        </w:rPr>
        <w:t>[6-8]</w:t>
      </w:r>
      <w:r>
        <w:rPr>
          <w:lang w:val="en-US"/>
        </w:rPr>
        <w:t xml:space="preserve">, indicates that the prevalence of cachexia remains unclear. Furthermore, while it is known that prevalence varies with cancer type </w:t>
      </w:r>
      <w:r>
        <w:rPr>
          <w:noProof/>
          <w:lang w:val="en-US"/>
        </w:rPr>
        <w:t>[12]</w:t>
      </w:r>
      <w:r>
        <w:rPr>
          <w:lang w:val="en-US"/>
        </w:rPr>
        <w:t>, it is uncertain as to whether the prevalence changes with other disease-related or demographic factors. For example, do patients with metastatic cancer have a higher prevalence of cachexia? While the latter would seem unsurprising, this is still not known and there is a need to estimate the prevalence of cancer cachexia at different stages as well as within other clinical and demographic strata.</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Knowledge of prevalence of conditions is important in the planning for provision of health care services. In cachexia, a precise estimate of prevalence is important when assessing the need for palliative care, including nutritional interventions, physiotherapy, psychosocial care and other relevant supportive treatments. In addition, emerging pharmaceutical treatments against cachexia </w:t>
      </w:r>
      <w:r>
        <w:rPr>
          <w:noProof/>
          <w:lang w:val="en-US"/>
        </w:rPr>
        <w:t>[13]</w:t>
      </w:r>
      <w:r>
        <w:rPr>
          <w:lang w:val="en-US"/>
        </w:rPr>
        <w:t xml:space="preserve"> warrant more information regarding prevalence, considering their potential impact on health economy.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An understanding of prevalence might also have an impact at an individual level by motivating health care professionals to focus more on cachexia.</w:t>
      </w:r>
      <w:r w:rsidRPr="00D87119">
        <w:rPr>
          <w:lang w:val="en-GB"/>
        </w:rPr>
        <w:t xml:space="preserve"> </w:t>
      </w:r>
      <w:r>
        <w:rPr>
          <w:lang w:val="en-GB"/>
        </w:rPr>
        <w:t>This is desirable</w:t>
      </w:r>
      <w:r>
        <w:rPr>
          <w:lang w:val="en-US"/>
        </w:rPr>
        <w:t xml:space="preserve"> since qualitative research has shown that patients with cancer commonly experience concerns about weight loss and eating related problems </w:t>
      </w:r>
      <w:r>
        <w:rPr>
          <w:noProof/>
          <w:lang w:val="en-US"/>
        </w:rPr>
        <w:t>[14]</w:t>
      </w:r>
      <w:r>
        <w:rPr>
          <w:lang w:val="en-US"/>
        </w:rPr>
        <w:t>. L</w:t>
      </w:r>
      <w:r>
        <w:rPr>
          <w:rFonts w:cs="Times New Roman"/>
          <w:lang w:val="en-US"/>
        </w:rPr>
        <w:t xml:space="preserve">ack of attention to these issues contributes to increased concern for both patients and their relatives </w:t>
      </w:r>
      <w:r>
        <w:rPr>
          <w:rFonts w:cs="Times New Roman"/>
          <w:noProof/>
          <w:lang w:val="en-US"/>
        </w:rPr>
        <w:t>[15]</w:t>
      </w:r>
      <w:r>
        <w:rPr>
          <w:rFonts w:cs="Times New Roman"/>
          <w:lang w:val="en-US"/>
        </w:rPr>
        <w:t>.</w:t>
      </w:r>
      <w:r>
        <w:rPr>
          <w:lang w:val="en-US"/>
        </w:rPr>
        <w:t xml:space="preserve"> However, it is reported that some health care </w:t>
      </w:r>
      <w:r>
        <w:rPr>
          <w:lang w:val="en-US"/>
        </w:rPr>
        <w:lastRenderedPageBreak/>
        <w:t xml:space="preserve">professionals avoid talking to patients and families about cachexia due to fear of increasing patients’ distress by asking questions about untreatable conditions </w:t>
      </w:r>
      <w:r>
        <w:rPr>
          <w:noProof/>
          <w:lang w:val="en-US"/>
        </w:rPr>
        <w:t>[16]</w:t>
      </w:r>
      <w:r>
        <w:rPr>
          <w:lang w:val="en-US"/>
        </w:rPr>
        <w:t>. Thus, an assessment of the patient-perceived need for clinical attention to weight loss and nutrition seem warranted, and knowledge about the characteristics of patients with such needs would facilitate their identification.</w:t>
      </w:r>
    </w:p>
    <w:p w:rsidR="00B65EA4" w:rsidRDefault="00B65EA4" w:rsidP="0048210C">
      <w:pPr>
        <w:spacing w:after="0" w:line="360" w:lineRule="auto"/>
        <w:jc w:val="both"/>
        <w:rPr>
          <w:lang w:val="en-US"/>
        </w:rPr>
      </w:pPr>
    </w:p>
    <w:p w:rsidR="00B65EA4" w:rsidRDefault="00B65EA4" w:rsidP="0048210C">
      <w:pPr>
        <w:spacing w:after="0" w:line="360" w:lineRule="auto"/>
        <w:jc w:val="both"/>
        <w:rPr>
          <w:rFonts w:cs="Times New Roman"/>
          <w:lang w:val="en-US"/>
        </w:rPr>
      </w:pPr>
      <w:r>
        <w:rPr>
          <w:lang w:val="en-US"/>
        </w:rPr>
        <w:t xml:space="preserve">In summary, uncertainty about the prevalence of cancer cachexia is a barrier against proper management and awareness of the syndrome, and the identification of patients with an unmet need for attention to cachexia could enable interventions aimed at relieving </w:t>
      </w:r>
      <w:r w:rsidRPr="00C948B6">
        <w:rPr>
          <w:lang w:val="en-US"/>
        </w:rPr>
        <w:t>psychosocial distress</w:t>
      </w:r>
      <w:r>
        <w:rPr>
          <w:lang w:val="en-US"/>
        </w:rPr>
        <w:t>. To this end, t</w:t>
      </w:r>
      <w:r>
        <w:rPr>
          <w:rFonts w:cs="Times New Roman"/>
          <w:lang w:val="en-US"/>
        </w:rPr>
        <w:t xml:space="preserve">he primary aim of this study was to provide an estimate for the overall prevalence of cachexia in an unselected population of patients with cancer, and to estimate prevalence in different strata based on demographic and clinical factors (gender, cancer type, cancer stage etc.). Secondary aims were to assess patient-perceived need of clinical attention to issues concerning weight </w:t>
      </w:r>
      <w:r w:rsidRPr="005D5C17">
        <w:rPr>
          <w:rFonts w:cs="Times New Roman"/>
          <w:lang w:val="en-US"/>
        </w:rPr>
        <w:t>loss</w:t>
      </w:r>
      <w:r>
        <w:rPr>
          <w:rFonts w:cs="Times New Roman"/>
          <w:lang w:val="en-US"/>
        </w:rPr>
        <w:t xml:space="preserve"> and nutrition, and to explore which factors are associated with such a need. </w:t>
      </w:r>
    </w:p>
    <w:p w:rsidR="00B65EA4" w:rsidRDefault="00B65EA4" w:rsidP="0048210C">
      <w:pPr>
        <w:pStyle w:val="Heading1"/>
        <w:spacing w:before="0" w:line="360" w:lineRule="auto"/>
        <w:jc w:val="both"/>
        <w:rPr>
          <w:lang w:val="en-US"/>
        </w:rPr>
      </w:pPr>
    </w:p>
    <w:p w:rsidR="00B65EA4" w:rsidRDefault="00B65EA4" w:rsidP="0048210C">
      <w:pPr>
        <w:pStyle w:val="Heading1"/>
        <w:spacing w:before="0" w:line="360" w:lineRule="auto"/>
        <w:jc w:val="both"/>
        <w:rPr>
          <w:lang w:val="en-US"/>
        </w:rPr>
      </w:pPr>
      <w:r>
        <w:rPr>
          <w:lang w:val="en-US"/>
        </w:rPr>
        <w:t xml:space="preserve">Methods: </w:t>
      </w:r>
    </w:p>
    <w:p w:rsidR="00B65EA4" w:rsidRPr="00AE2B02" w:rsidRDefault="00B65EA4" w:rsidP="0048210C">
      <w:pPr>
        <w:pStyle w:val="Heading3"/>
        <w:spacing w:before="0" w:line="360" w:lineRule="auto"/>
        <w:jc w:val="both"/>
        <w:rPr>
          <w:lang w:val="en-US"/>
        </w:rPr>
      </w:pPr>
      <w:r w:rsidRPr="00AE2B02">
        <w:rPr>
          <w:lang w:val="en-US"/>
        </w:rPr>
        <w:t>Study design and patients</w:t>
      </w:r>
    </w:p>
    <w:p w:rsidR="00B65EA4" w:rsidRDefault="00B65EA4" w:rsidP="0048210C">
      <w:pPr>
        <w:spacing w:after="0" w:line="360" w:lineRule="auto"/>
        <w:jc w:val="both"/>
        <w:rPr>
          <w:lang w:val="en-US"/>
        </w:rPr>
      </w:pPr>
      <w:r>
        <w:rPr>
          <w:lang w:val="en-US"/>
        </w:rPr>
        <w:t xml:space="preserve">A cross-sectional study </w:t>
      </w:r>
      <w:r>
        <w:rPr>
          <w:rFonts w:cs="Times New Roman"/>
          <w:lang w:val="en-US"/>
        </w:rPr>
        <w:t xml:space="preserve">was conducted </w:t>
      </w:r>
      <w:r>
        <w:rPr>
          <w:lang w:val="en-US"/>
        </w:rPr>
        <w:t xml:space="preserve">among in- and outpatients at three sites: a university hospital, a local hospital and a community hospital, all within the Central Norway Regional </w:t>
      </w:r>
      <w:r w:rsidRPr="00C508B9">
        <w:rPr>
          <w:lang w:val="en-US"/>
        </w:rPr>
        <w:t xml:space="preserve">Health Authority, serving a total population of 700,000. The overall aim was to quantify severity and prevalence of pain, cachexia and mood disorder. Data pertaining to cancer cachexia was extracted for the purpose of the present paper. All </w:t>
      </w:r>
      <w:proofErr w:type="spellStart"/>
      <w:r w:rsidRPr="00C508B9">
        <w:rPr>
          <w:lang w:val="en-US"/>
        </w:rPr>
        <w:t>inpatients</w:t>
      </w:r>
      <w:proofErr w:type="spellEnd"/>
      <w:r w:rsidRPr="00C508B9">
        <w:rPr>
          <w:lang w:val="en-US"/>
        </w:rPr>
        <w:t xml:space="preserve"> with cancer at departments of surgery, internal medicine and medical and radiation oncology were screened and approached on predefined days in September 2013. The outpatients were recruited from the department of medical and radiation oncology at the university hospital in January 2014. As different primary </w:t>
      </w:r>
      <w:proofErr w:type="spellStart"/>
      <w:r w:rsidRPr="00C508B9">
        <w:rPr>
          <w:lang w:val="en-US"/>
        </w:rPr>
        <w:t>tumour</w:t>
      </w:r>
      <w:proofErr w:type="spellEnd"/>
      <w:r w:rsidRPr="00C508B9">
        <w:rPr>
          <w:lang w:val="en-US"/>
        </w:rPr>
        <w:t xml:space="preserve"> types cluster on specific days of the week, the recruitment of outpatients was spread out over 10 predefined days (such that each day of the week was represented twice) to avoid selection bias. Eligible patients had cancer, were aged </w:t>
      </w:r>
      <w:r>
        <w:rPr>
          <w:lang w:val="en-US"/>
        </w:rPr>
        <w:t xml:space="preserve">&gt;18 years, were able to read and write Norwegian and had sufficient cognitive function to complete assessments. To minimize possible influence of temporary post-operative symptoms (nausea, pain etc.), patients who had had surgery in the preceding 24 hours were excluded. All patients provided written, informed consent, and the study was approved by the regional committee for medical and health research ethics. </w:t>
      </w:r>
    </w:p>
    <w:p w:rsidR="00B65EA4" w:rsidRPr="00C75139" w:rsidRDefault="00B65EA4" w:rsidP="0048210C">
      <w:pPr>
        <w:pStyle w:val="Heading3"/>
        <w:spacing w:before="0" w:line="360" w:lineRule="auto"/>
        <w:jc w:val="both"/>
        <w:rPr>
          <w:lang w:val="en-US"/>
        </w:rPr>
      </w:pPr>
      <w:r>
        <w:rPr>
          <w:lang w:val="en-US"/>
        </w:rPr>
        <w:lastRenderedPageBreak/>
        <w:t xml:space="preserve">Management of cancer in Norway in relation to study design </w:t>
      </w:r>
    </w:p>
    <w:p w:rsidR="00B65EA4" w:rsidRDefault="00B65EA4" w:rsidP="0048210C">
      <w:pPr>
        <w:spacing w:after="0" w:line="360" w:lineRule="auto"/>
        <w:jc w:val="both"/>
        <w:rPr>
          <w:lang w:val="en-US"/>
        </w:rPr>
      </w:pPr>
      <w:r>
        <w:rPr>
          <w:lang w:val="en-US"/>
        </w:rPr>
        <w:t>Norwegian cancer care is rarely privatized, and most cancers are treated regionally. The majority of patients are treated on an outpatient basis, while hospital beds are reserved for patients needing emergency care, extensive surgery or intensive chemotherapy. At the time of the study, nutritional status was not assessed routinely, and referral to a dietician was based on individual physician’s discretion.</w:t>
      </w:r>
    </w:p>
    <w:p w:rsidR="00B65EA4" w:rsidRPr="00AE2B02" w:rsidRDefault="00B65EA4" w:rsidP="0048210C">
      <w:pPr>
        <w:pStyle w:val="Heading3"/>
        <w:spacing w:before="0" w:line="360" w:lineRule="auto"/>
        <w:jc w:val="both"/>
        <w:rPr>
          <w:lang w:val="en-US"/>
        </w:rPr>
      </w:pPr>
      <w:r w:rsidRPr="00AE2B02">
        <w:rPr>
          <w:lang w:val="en-US"/>
        </w:rPr>
        <w:t>Data collection</w:t>
      </w:r>
    </w:p>
    <w:p w:rsidR="00B65EA4" w:rsidRPr="0087267D" w:rsidRDefault="00B65EA4" w:rsidP="0048210C">
      <w:pPr>
        <w:spacing w:after="0" w:line="360" w:lineRule="auto"/>
        <w:jc w:val="both"/>
        <w:rPr>
          <w:i/>
          <w:lang w:val="en-US"/>
        </w:rPr>
      </w:pPr>
      <w:r>
        <w:rPr>
          <w:rFonts w:cs="Times New Roman"/>
          <w:lang w:val="en-US"/>
        </w:rPr>
        <w:t>Cancer type, cancer stage (‘local/locally advanced’ versus ‘metastatic’), oncologic treatment, treatment intent (‘curative’ versus ‘palliative’) and performance status (</w:t>
      </w:r>
      <w:proofErr w:type="spellStart"/>
      <w:r>
        <w:rPr>
          <w:rFonts w:cs="Times New Roman"/>
          <w:lang w:val="en-US"/>
        </w:rPr>
        <w:t>Karnofsky</w:t>
      </w:r>
      <w:proofErr w:type="spellEnd"/>
      <w:r>
        <w:rPr>
          <w:rFonts w:cs="Times New Roman"/>
          <w:lang w:val="en-US"/>
        </w:rPr>
        <w:t xml:space="preserve"> </w:t>
      </w:r>
      <w:r>
        <w:rPr>
          <w:rFonts w:cs="Times New Roman"/>
          <w:noProof/>
          <w:lang w:val="en-US"/>
        </w:rPr>
        <w:t>[17]</w:t>
      </w:r>
      <w:r>
        <w:rPr>
          <w:rFonts w:cs="Times New Roman"/>
          <w:lang w:val="en-US"/>
        </w:rPr>
        <w:t xml:space="preserve"> or Eastern Cooperative Oncology Group [ECOG] </w:t>
      </w:r>
      <w:r>
        <w:rPr>
          <w:rFonts w:cs="Times New Roman"/>
          <w:noProof/>
          <w:lang w:val="en-US"/>
        </w:rPr>
        <w:t>[18]</w:t>
      </w:r>
      <w:r>
        <w:rPr>
          <w:rFonts w:cs="Times New Roman"/>
          <w:lang w:val="en-US"/>
        </w:rPr>
        <w:t xml:space="preserve">) were recorded by health care personnel. To achieve a homogenous classification of performance status (PS), </w:t>
      </w:r>
      <w:proofErr w:type="spellStart"/>
      <w:r>
        <w:rPr>
          <w:rFonts w:cs="Times New Roman"/>
          <w:lang w:val="en-US"/>
        </w:rPr>
        <w:t>Karnofsky</w:t>
      </w:r>
      <w:proofErr w:type="spellEnd"/>
      <w:r>
        <w:rPr>
          <w:rFonts w:cs="Times New Roman"/>
          <w:lang w:val="en-US"/>
        </w:rPr>
        <w:t xml:space="preserve"> PS and ECOG PS were converted into three groups corresponding to ECOG PS 0-1, ECOG PS 2 or ECOG PS 3-4 </w:t>
      </w:r>
      <w:r>
        <w:rPr>
          <w:rFonts w:cs="Times New Roman"/>
          <w:noProof/>
          <w:lang w:val="en-US"/>
        </w:rPr>
        <w:t>[19]</w:t>
      </w:r>
      <w:r>
        <w:rPr>
          <w:rFonts w:cs="Times New Roman"/>
          <w:lang w:val="en-US"/>
        </w:rPr>
        <w:t xml:space="preserve">. Patients were asked to complete a study specific form including questions about demographic data and several patient-reported outcome measures (PROMs). As in a study </w:t>
      </w:r>
      <w:r>
        <w:rPr>
          <w:rFonts w:cs="Times New Roman"/>
          <w:noProof/>
          <w:lang w:val="en-US"/>
        </w:rPr>
        <w:t>[20]</w:t>
      </w:r>
      <w:r>
        <w:rPr>
          <w:rFonts w:cs="Times New Roman"/>
          <w:lang w:val="en-US"/>
        </w:rPr>
        <w:t xml:space="preserve"> validating the international consensus definition of cachexia </w:t>
      </w:r>
      <w:r>
        <w:rPr>
          <w:rFonts w:cs="Times New Roman"/>
          <w:noProof/>
          <w:lang w:val="en-US"/>
        </w:rPr>
        <w:t>[1]</w:t>
      </w:r>
      <w:r>
        <w:rPr>
          <w:rFonts w:cs="Times New Roman"/>
          <w:lang w:val="en-US"/>
        </w:rPr>
        <w:t>, weight 6 months before inclusion,</w:t>
      </w:r>
      <w:r w:rsidRPr="003D2586">
        <w:rPr>
          <w:rFonts w:cs="Times New Roman"/>
          <w:lang w:val="en-US"/>
        </w:rPr>
        <w:t xml:space="preserve"> </w:t>
      </w:r>
      <w:r>
        <w:rPr>
          <w:rFonts w:cs="Times New Roman"/>
          <w:lang w:val="en-US"/>
        </w:rPr>
        <w:t xml:space="preserve">current height and weight and food intake in the preceding two weeks (‘reduced‘, ’unchanged‘ or ’increased‘) were reported by the patient using the Patient-Generated Subjective Global Assessment (PG SGA) </w:t>
      </w:r>
      <w:r>
        <w:rPr>
          <w:rFonts w:cs="Times New Roman"/>
          <w:noProof/>
          <w:lang w:val="en-US"/>
        </w:rPr>
        <w:t>[21]</w:t>
      </w:r>
      <w:r>
        <w:rPr>
          <w:rFonts w:cs="Times New Roman"/>
          <w:lang w:val="en-US"/>
        </w:rPr>
        <w:t xml:space="preserve">. The PG SGA was also used to assess nutritional impact symptoms, which are predefined symptoms that the patients were asked to report if they were present and had had impact on their dietary intake. Item 1 from the Brief Pain Inventory (Short Form) </w:t>
      </w:r>
      <w:r>
        <w:rPr>
          <w:rFonts w:cs="Times New Roman"/>
          <w:noProof/>
          <w:lang w:val="en-US"/>
        </w:rPr>
        <w:t>[22]</w:t>
      </w:r>
      <w:r>
        <w:rPr>
          <w:rFonts w:cs="Times New Roman"/>
          <w:lang w:val="en-US"/>
        </w:rPr>
        <w:t xml:space="preserve"> was used to assess if the patient was bothered by pain or not. The 7-item </w:t>
      </w:r>
      <w:proofErr w:type="spellStart"/>
      <w:r>
        <w:rPr>
          <w:rFonts w:cs="Times New Roman"/>
          <w:lang w:val="en-US"/>
        </w:rPr>
        <w:t>Chalder</w:t>
      </w:r>
      <w:proofErr w:type="spellEnd"/>
      <w:r>
        <w:rPr>
          <w:rFonts w:cs="Times New Roman"/>
          <w:lang w:val="en-US"/>
        </w:rPr>
        <w:t xml:space="preserve"> Physical Fatigue Scale (maximum range 0-21) </w:t>
      </w:r>
      <w:r>
        <w:rPr>
          <w:rFonts w:cs="Times New Roman"/>
          <w:noProof/>
          <w:lang w:val="en-US"/>
        </w:rPr>
        <w:t>[23]</w:t>
      </w:r>
      <w:r>
        <w:rPr>
          <w:rFonts w:cs="Times New Roman"/>
          <w:lang w:val="en-US"/>
        </w:rPr>
        <w:t xml:space="preserve"> was used to assess fatigue and the 4-item Patient Health Questionnaire for Depression and Anxiety (maximum range 0-12) </w:t>
      </w:r>
      <w:r>
        <w:rPr>
          <w:rFonts w:cs="Times New Roman"/>
          <w:noProof/>
          <w:lang w:val="en-US"/>
        </w:rPr>
        <w:t>[24]</w:t>
      </w:r>
      <w:r>
        <w:rPr>
          <w:rFonts w:cs="Times New Roman"/>
          <w:lang w:val="en-US"/>
        </w:rPr>
        <w:t xml:space="preserve"> was used to assess symptoms of mood disorder. Patients were also asked to score on a study-specific Likert-type scale whether they wanted their physician to focus less or more on weight loss and nutrition. The answer options were “A lot less focus”, “Less focus”, “Sufficient as it is”, “More focus” and “A lot more focus”.</w:t>
      </w:r>
    </w:p>
    <w:p w:rsidR="00B65EA4" w:rsidRPr="00AE2B02" w:rsidRDefault="00B65EA4" w:rsidP="0048210C">
      <w:pPr>
        <w:pStyle w:val="Heading3"/>
        <w:spacing w:before="0" w:line="360" w:lineRule="auto"/>
        <w:jc w:val="both"/>
        <w:rPr>
          <w:lang w:val="en-US"/>
        </w:rPr>
      </w:pPr>
      <w:r>
        <w:rPr>
          <w:lang w:val="en-US"/>
        </w:rPr>
        <w:t>Statistical considerations</w:t>
      </w:r>
    </w:p>
    <w:p w:rsidR="00B65EA4" w:rsidRDefault="00B65EA4" w:rsidP="0048210C">
      <w:pPr>
        <w:spacing w:after="0" w:line="360" w:lineRule="auto"/>
        <w:jc w:val="both"/>
        <w:rPr>
          <w:rFonts w:cs="Times New Roman"/>
          <w:lang w:val="en-US"/>
        </w:rPr>
      </w:pPr>
      <w:r w:rsidRPr="00C508B9">
        <w:rPr>
          <w:rFonts w:cs="Times New Roman"/>
          <w:lang w:val="en-US"/>
        </w:rPr>
        <w:t>As the primary aim of this study was a descriptive analysis of symptom prevalence and severity, no power calculations were performed. However it was estimated that 60 inpatients and 160 outpatients would be sufficient to achieve the primary aim. Cachexia was deemed to be present if the patient had either a) weight loss &gt; 5% (6 months) or b) weight loss &gt; 2% (6 months) and BMI &lt; 20 kg/m</w:t>
      </w:r>
      <w:r w:rsidRPr="00C508B9">
        <w:rPr>
          <w:rFonts w:cs="Times New Roman"/>
          <w:vertAlign w:val="superscript"/>
          <w:lang w:val="en-US"/>
        </w:rPr>
        <w:t>2</w:t>
      </w:r>
      <w:r w:rsidRPr="00C508B9">
        <w:rPr>
          <w:rFonts w:cs="Times New Roman"/>
          <w:lang w:val="en-US"/>
        </w:rPr>
        <w:t xml:space="preserve">. This minor adaptation of the international consensus definition </w:t>
      </w:r>
      <w:r w:rsidRPr="00C508B9">
        <w:rPr>
          <w:rFonts w:cs="Times New Roman"/>
          <w:noProof/>
          <w:lang w:val="en-US"/>
        </w:rPr>
        <w:t>[1]</w:t>
      </w:r>
      <w:r w:rsidRPr="00C508B9">
        <w:rPr>
          <w:rFonts w:cs="Times New Roman"/>
          <w:lang w:val="en-US"/>
        </w:rPr>
        <w:t xml:space="preserve"> has been validated previously </w:t>
      </w:r>
      <w:r w:rsidRPr="00C508B9">
        <w:rPr>
          <w:rFonts w:cs="Times New Roman"/>
          <w:noProof/>
          <w:lang w:val="en-US"/>
        </w:rPr>
        <w:t>[20]</w:t>
      </w:r>
      <w:r w:rsidRPr="00C508B9">
        <w:rPr>
          <w:rFonts w:cs="Times New Roman"/>
          <w:lang w:val="en-US"/>
        </w:rPr>
        <w:t xml:space="preserve">. The difference is that sarcopenia is not included as a criterion. Prevalence of cachexia was estimated in total and by age, gender, cancer stage, </w:t>
      </w:r>
      <w:r>
        <w:rPr>
          <w:rFonts w:cs="Times New Roman"/>
          <w:lang w:val="en-US"/>
        </w:rPr>
        <w:t xml:space="preserve">cancer type, oncologic treatment and treatment intent. Due to differences in length of recruiting and the resulting disproportionate sample sizes in in- and outpatients, as well as the clinical </w:t>
      </w:r>
      <w:r>
        <w:rPr>
          <w:rFonts w:cs="Times New Roman"/>
          <w:lang w:val="en-US"/>
        </w:rPr>
        <w:lastRenderedPageBreak/>
        <w:t xml:space="preserve">differences between inpatients and outpatients demonstrated in an earlier publication from this dataset </w:t>
      </w:r>
      <w:r>
        <w:rPr>
          <w:rFonts w:cs="Times New Roman"/>
          <w:noProof/>
          <w:lang w:val="en-US"/>
        </w:rPr>
        <w:t>[25]</w:t>
      </w:r>
      <w:r>
        <w:rPr>
          <w:rFonts w:cs="Times New Roman"/>
          <w:lang w:val="en-US"/>
        </w:rPr>
        <w:t xml:space="preserve">, prevalence results were reported separately for the two groups. </w:t>
      </w:r>
      <w:proofErr w:type="spellStart"/>
      <w:r>
        <w:rPr>
          <w:rFonts w:cs="Times New Roman"/>
          <w:lang w:val="en-US"/>
        </w:rPr>
        <w:t>Univariable</w:t>
      </w:r>
      <w:proofErr w:type="spellEnd"/>
      <w:r>
        <w:rPr>
          <w:rFonts w:cs="Times New Roman"/>
          <w:lang w:val="en-US"/>
        </w:rPr>
        <w:t xml:space="preserve"> and multivariable logistic regression models were estimated to determine associations between cachexia and the factors listed above. </w:t>
      </w:r>
    </w:p>
    <w:p w:rsidR="00B65EA4" w:rsidRDefault="00B65EA4" w:rsidP="0048210C">
      <w:pPr>
        <w:spacing w:after="0" w:line="360" w:lineRule="auto"/>
        <w:jc w:val="both"/>
        <w:rPr>
          <w:rFonts w:cs="Times New Roman"/>
          <w:lang w:val="en-US"/>
        </w:rPr>
      </w:pPr>
    </w:p>
    <w:p w:rsidR="00B65EA4" w:rsidRDefault="00B65EA4" w:rsidP="0048210C">
      <w:pPr>
        <w:spacing w:after="0" w:line="360" w:lineRule="auto"/>
        <w:jc w:val="both"/>
        <w:rPr>
          <w:rFonts w:cs="Times New Roman"/>
          <w:lang w:val="en-US"/>
        </w:rPr>
      </w:pPr>
      <w:r>
        <w:rPr>
          <w:rFonts w:cs="Times New Roman"/>
          <w:lang w:val="en-US"/>
        </w:rPr>
        <w:t xml:space="preserve">Patient-perceived need of clinical attention to weight loss and nutrition was estimated and stratified by in-/outpatients and cachexia/no cachexia. The Likert-type answer options were assigned values from 1-5, and </w:t>
      </w:r>
      <w:proofErr w:type="spellStart"/>
      <w:r>
        <w:rPr>
          <w:rFonts w:cs="Times New Roman"/>
          <w:lang w:val="en-US"/>
        </w:rPr>
        <w:t>univariable</w:t>
      </w:r>
      <w:proofErr w:type="spellEnd"/>
      <w:r>
        <w:rPr>
          <w:rFonts w:cs="Times New Roman"/>
          <w:lang w:val="en-US"/>
        </w:rPr>
        <w:t xml:space="preserve"> and multivariable linear regression models were estimated to determine associations between the need of clinical attention to weight loss and nutrition and demographical factors, disease and treatment specific factors, cachexia, food intake, pain, fatigue and symptoms of mood disorder.</w:t>
      </w:r>
    </w:p>
    <w:p w:rsidR="00B65EA4" w:rsidRDefault="00B65EA4" w:rsidP="0048210C">
      <w:pPr>
        <w:spacing w:after="0" w:line="360" w:lineRule="auto"/>
        <w:jc w:val="both"/>
        <w:rPr>
          <w:rFonts w:cs="Times New Roman"/>
          <w:lang w:val="en-US"/>
        </w:rPr>
      </w:pPr>
    </w:p>
    <w:p w:rsidR="00B65EA4" w:rsidRDefault="00B65EA4" w:rsidP="0048210C">
      <w:pPr>
        <w:spacing w:after="0" w:line="360" w:lineRule="auto"/>
        <w:jc w:val="both"/>
        <w:rPr>
          <w:rFonts w:cs="Times New Roman"/>
          <w:lang w:val="en-US"/>
        </w:rPr>
      </w:pPr>
      <w:r>
        <w:rPr>
          <w:rFonts w:cs="Times New Roman"/>
          <w:lang w:val="en-US"/>
        </w:rPr>
        <w:t xml:space="preserve">In the logistic regression (concerning cachexia prevalence), all factors from </w:t>
      </w:r>
      <w:proofErr w:type="spellStart"/>
      <w:r>
        <w:rPr>
          <w:rFonts w:cs="Times New Roman"/>
          <w:lang w:val="en-US"/>
        </w:rPr>
        <w:t>univariable</w:t>
      </w:r>
      <w:proofErr w:type="spellEnd"/>
      <w:r>
        <w:rPr>
          <w:rFonts w:cs="Times New Roman"/>
          <w:lang w:val="en-US"/>
        </w:rPr>
        <w:t xml:space="preserve"> regression analysis were entered initially into the multivariable model, while in the linear regression (concerning need of clinical attention to weight loss and nutrition) only factors with p-value &lt; 0.25 were entered initially due to the large number of variables. In both regression analyses factors were later removed if not significantly contributing to the model according to likelihood ratio test. All remaining factors were then tested for significant interactions. To increase power of the regression analyses, in- and outpatients were analyzed together in both </w:t>
      </w:r>
      <w:proofErr w:type="spellStart"/>
      <w:r>
        <w:rPr>
          <w:rFonts w:cs="Times New Roman"/>
          <w:lang w:val="en-US"/>
        </w:rPr>
        <w:t>univariable</w:t>
      </w:r>
      <w:proofErr w:type="spellEnd"/>
      <w:r>
        <w:rPr>
          <w:rFonts w:cs="Times New Roman"/>
          <w:lang w:val="en-US"/>
        </w:rPr>
        <w:t xml:space="preserve"> and multivariable analyses. Consequently, the variable in-/outpatient were added to the multivariable models to adjust for a potential effect due to the setting.</w:t>
      </w:r>
      <w:r w:rsidRPr="003B2530">
        <w:rPr>
          <w:rFonts w:cs="Times New Roman"/>
          <w:lang w:val="en-US"/>
        </w:rPr>
        <w:t xml:space="preserve"> </w:t>
      </w:r>
      <w:r>
        <w:rPr>
          <w:rFonts w:cs="Times New Roman"/>
          <w:lang w:val="en-US"/>
        </w:rPr>
        <w:t>A two-sided p-value &lt;0.05 was considered significant.</w:t>
      </w:r>
    </w:p>
    <w:p w:rsidR="00B65EA4" w:rsidRDefault="00B65EA4" w:rsidP="0048210C">
      <w:pPr>
        <w:spacing w:after="0" w:line="360" w:lineRule="auto"/>
        <w:jc w:val="both"/>
        <w:rPr>
          <w:rFonts w:cs="Times New Roman"/>
          <w:lang w:val="en-US"/>
        </w:rPr>
      </w:pPr>
    </w:p>
    <w:p w:rsidR="00B65EA4" w:rsidRDefault="00B65EA4" w:rsidP="0048210C">
      <w:pPr>
        <w:spacing w:after="0" w:line="360" w:lineRule="auto"/>
        <w:jc w:val="both"/>
        <w:rPr>
          <w:rFonts w:cs="Times New Roman"/>
          <w:lang w:val="en-US"/>
        </w:rPr>
      </w:pPr>
      <w:r>
        <w:rPr>
          <w:rFonts w:cs="Times New Roman"/>
          <w:lang w:val="en-US"/>
        </w:rPr>
        <w:t>To test the robustness of the multivariable linear regression, a sensitivity analysis was performed using both logistic and ordered logistic regression. In the logistic regression, the outcome variable was dichotomized as “Sufficient as it is” or below vs “More focus” or above. In the ordered logistic regression, a model of proportional odds was used to estimate the probability of patients answering one of the five ordinal categories ranging from “A lot less focus” to “A lot more focus”.</w:t>
      </w:r>
      <w:r w:rsidRPr="00AB099E">
        <w:rPr>
          <w:rFonts w:cs="Times New Roman"/>
          <w:lang w:val="en-US"/>
        </w:rPr>
        <w:t xml:space="preserve"> </w:t>
      </w:r>
      <w:r>
        <w:rPr>
          <w:rFonts w:cs="Times New Roman"/>
          <w:lang w:val="en-US"/>
        </w:rPr>
        <w:t>Stata version 13.1 for Windows (</w:t>
      </w:r>
      <w:proofErr w:type="spellStart"/>
      <w:r>
        <w:rPr>
          <w:rFonts w:cs="Times New Roman"/>
          <w:lang w:val="en-US"/>
        </w:rPr>
        <w:t>StataCorp</w:t>
      </w:r>
      <w:proofErr w:type="spellEnd"/>
      <w:r>
        <w:rPr>
          <w:rFonts w:cs="Times New Roman"/>
          <w:lang w:val="en-US"/>
        </w:rPr>
        <w:t>, College Station, Texas, USA) was used for statistical analyses.</w:t>
      </w:r>
    </w:p>
    <w:p w:rsidR="00B65EA4" w:rsidRDefault="00B65EA4" w:rsidP="0048210C">
      <w:pPr>
        <w:spacing w:after="0" w:line="360" w:lineRule="auto"/>
        <w:jc w:val="both"/>
        <w:rPr>
          <w:rFonts w:cs="Times New Roman"/>
          <w:lang w:val="en-US"/>
        </w:rPr>
      </w:pPr>
    </w:p>
    <w:p w:rsidR="00B65EA4" w:rsidRDefault="00B65EA4" w:rsidP="0048210C">
      <w:pPr>
        <w:pStyle w:val="Heading1"/>
        <w:spacing w:before="0" w:line="360" w:lineRule="auto"/>
        <w:jc w:val="both"/>
        <w:rPr>
          <w:lang w:val="en-US"/>
        </w:rPr>
      </w:pPr>
      <w:r>
        <w:rPr>
          <w:lang w:val="en-US"/>
        </w:rPr>
        <w:t>Results</w:t>
      </w:r>
    </w:p>
    <w:p w:rsidR="00B65EA4" w:rsidRDefault="00B65EA4" w:rsidP="0048210C">
      <w:pPr>
        <w:spacing w:after="0" w:line="360" w:lineRule="auto"/>
        <w:jc w:val="both"/>
        <w:rPr>
          <w:lang w:val="en-US"/>
        </w:rPr>
      </w:pPr>
      <w:r>
        <w:rPr>
          <w:lang w:val="en-US"/>
        </w:rPr>
        <w:t xml:space="preserve">In total 426 patients with cancer were recruited. Of these, 40 patients were excluded due to missing data on weight loss or BMI, leaving 386 patients included in the final analysis. Median age was 65 years (IQR 56-72), 214 patients (55%) were male, most had an ECOG PS of 0-1 (302, 78%) and were outpatients (308, 80%) (Table 1). The 40 patients who were excluded </w:t>
      </w:r>
      <w:r>
        <w:rPr>
          <w:lang w:val="en-US"/>
        </w:rPr>
        <w:lastRenderedPageBreak/>
        <w:t>had a median age of 69 years (IQR 63-75), 38% were male, 65% had an ECOG PS of 0-1 and 85% were outpatients. Only the gender distribution was significantly different between the included and excluded patients.</w:t>
      </w:r>
    </w:p>
    <w:p w:rsidR="00B65EA4" w:rsidRPr="00355802" w:rsidRDefault="00B65EA4" w:rsidP="0048210C">
      <w:pPr>
        <w:pStyle w:val="Heading3"/>
        <w:spacing w:before="0" w:line="360" w:lineRule="auto"/>
        <w:jc w:val="both"/>
        <w:rPr>
          <w:lang w:val="en-US"/>
        </w:rPr>
      </w:pPr>
      <w:r w:rsidRPr="00355802">
        <w:rPr>
          <w:lang w:val="en-US"/>
        </w:rPr>
        <w:t xml:space="preserve">Cachexia prevalence  </w:t>
      </w:r>
    </w:p>
    <w:p w:rsidR="00B65EA4" w:rsidRDefault="00B65EA4" w:rsidP="0048210C">
      <w:pPr>
        <w:spacing w:after="0" w:line="360" w:lineRule="auto"/>
        <w:jc w:val="both"/>
        <w:rPr>
          <w:lang w:val="en-US"/>
        </w:rPr>
      </w:pPr>
      <w:r>
        <w:rPr>
          <w:lang w:val="en-US"/>
        </w:rPr>
        <w:t xml:space="preserve">Current weight and BMI were similar for in- and outpatients, but inpatients reported greater 6 months’ weight loss (6.3 kg versus 2.6 kg), and 62% of inpatients versus 24% of outpatients reported that dietary intake had been less than usual the preceding two weeks (Table 2). Appetite loss, early satiety and altered taste were the most prevalent nutritional impact symptoms in inpatients, while altered taste, early satiety and dry mouth were the most prevalent symptoms in outpatients. Nutritional impact symptoms were more prevalent in inpatients, than in outpatients (Table 2). Prevalence of cachexia was 51% (95%CI 40-63%) among inpatients and 22% (95%CI 17-27%) among outpatients. Prevalence varied depending on cancer type. It was highest in patients with gastrointestinal cancer (inpatients 62%/outpatients 42%) and lung cancer (83%/36%), and lowest in patients with breast cancer (-/11%) and hematologic cancer (13%/19%) (Table 3).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Prevalence was consistently higher in patients with incurable cancer (61%/26%) compared to curable cancer (43%/17%). Cachexia prevalence varied less with regard to cancer stage as it was only a little higher in patients with metastatic disease (52%/25%) compared to patients with local or locally advanced disease (44%/19%) (Table 3).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Multivariable logistic regression, adjusted by setting, confirmed that cachexia prevalence was strongly associated with cancer type. Lung cancer (OR 5.5, p &lt; 0.01) and gastrointestinal cancers (OR 4.4, p &lt; 0.001) were significantly more associated with cachexia compared to hematologic cancers. Treatment type, treatment intent, cancer stage, age and gender did not significantly contribute to the multivariable model, and were left out of the final model. </w:t>
      </w:r>
    </w:p>
    <w:p w:rsidR="00B65EA4" w:rsidRDefault="00B65EA4" w:rsidP="0048210C">
      <w:pPr>
        <w:spacing w:after="0" w:line="360" w:lineRule="auto"/>
        <w:jc w:val="both"/>
        <w:rPr>
          <w:lang w:val="en-US"/>
        </w:rPr>
      </w:pPr>
    </w:p>
    <w:p w:rsidR="00B65EA4" w:rsidRDefault="00B65EA4" w:rsidP="0048210C">
      <w:pPr>
        <w:pStyle w:val="Heading3"/>
        <w:spacing w:before="0" w:line="360" w:lineRule="auto"/>
        <w:jc w:val="both"/>
        <w:rPr>
          <w:lang w:val="en-US"/>
        </w:rPr>
      </w:pPr>
      <w:r>
        <w:rPr>
          <w:lang w:val="en-US"/>
        </w:rPr>
        <w:t>Clinical attention to weight loss and nutrition</w:t>
      </w:r>
    </w:p>
    <w:p w:rsidR="00B65EA4" w:rsidRDefault="00B65EA4" w:rsidP="0048210C">
      <w:pPr>
        <w:spacing w:after="0" w:line="360" w:lineRule="auto"/>
        <w:jc w:val="both"/>
        <w:rPr>
          <w:lang w:val="en-US"/>
        </w:rPr>
      </w:pPr>
      <w:r>
        <w:rPr>
          <w:lang w:val="en-US"/>
        </w:rPr>
        <w:t>When inpatients were asked whether they wanted their physician to focus less or more on weight and nutrition, 3% answered that they wanted “less focus” or “a lot less focus”, 78% that the attention was “sufficient as it is” and 20% that they wanted “more focus” or “a lot more focus”. Among outpatients, the respective proportions were 5%, 80% and 15%. When stratifying on cachexia, 37% of inpatients and 33% of outpatients with cachexia wanted “more focus” or “a lot more focus”, while only 3% of inpatients and 10% of outpatients without cachexia expressed the same need (Figure 1). Two inpatients and 46 outpatients did not answer the question.</w:t>
      </w:r>
    </w:p>
    <w:p w:rsidR="00B65EA4" w:rsidRPr="00284556" w:rsidRDefault="00B65EA4" w:rsidP="0048210C">
      <w:pPr>
        <w:spacing w:after="0" w:line="360" w:lineRule="auto"/>
        <w:jc w:val="both"/>
        <w:rPr>
          <w:lang w:val="en-US"/>
        </w:rPr>
      </w:pPr>
      <w:proofErr w:type="spellStart"/>
      <w:r>
        <w:rPr>
          <w:lang w:val="en-US"/>
        </w:rPr>
        <w:lastRenderedPageBreak/>
        <w:t>Univariable</w:t>
      </w:r>
      <w:proofErr w:type="spellEnd"/>
      <w:r>
        <w:rPr>
          <w:lang w:val="en-US"/>
        </w:rPr>
        <w:t xml:space="preserve"> analyses in respondents identified that the following factors were significantly associated with a request for more attention to weight loss and nutrition: Male gender, 10-12 years of education, cachexia, reduced food intake, lung cancer, symptoms of mood disorder and palliative treatment intention (Table 4). In the multivariable analyses,</w:t>
      </w:r>
      <w:r w:rsidRPr="00CC2C9B">
        <w:rPr>
          <w:lang w:val="en-US"/>
        </w:rPr>
        <w:t xml:space="preserve"> </w:t>
      </w:r>
      <w:r>
        <w:rPr>
          <w:lang w:val="en-US"/>
        </w:rPr>
        <w:t>adjusted by setting, it was shown that cachexia (p=0.02), symptoms of anxiety and depression (p=0.05), and male gender (p&lt;0.01)) were significant factors associated with wanting more attention to weight loss and nutrition.</w:t>
      </w:r>
      <w:r w:rsidRPr="002722CD">
        <w:rPr>
          <w:lang w:val="en-US"/>
        </w:rPr>
        <w:t xml:space="preserve"> </w:t>
      </w:r>
      <w:r>
        <w:rPr>
          <w:lang w:val="en-US"/>
        </w:rPr>
        <w:t xml:space="preserve">In addition, there was a significant positive interaction between cachexia and symptoms of anxiety and depression (p=0.01), meaning that the effect of cachexia increased with increasing severity of symptoms of anxiety and depression (Table 4). The sensitivity analysis confirmed the significance of the three former factors, and differed only with respect to the significance of the interaction term (data not shown). </w:t>
      </w:r>
    </w:p>
    <w:p w:rsidR="00B65EA4" w:rsidRDefault="00B65EA4" w:rsidP="0048210C">
      <w:pPr>
        <w:pStyle w:val="Heading1"/>
        <w:spacing w:before="0" w:line="360" w:lineRule="auto"/>
        <w:jc w:val="both"/>
        <w:rPr>
          <w:lang w:val="en-US"/>
        </w:rPr>
      </w:pPr>
    </w:p>
    <w:p w:rsidR="00B65EA4" w:rsidRPr="00600D5E" w:rsidRDefault="00B65EA4" w:rsidP="0048210C">
      <w:pPr>
        <w:pStyle w:val="Heading1"/>
        <w:spacing w:before="0" w:line="360" w:lineRule="auto"/>
        <w:jc w:val="both"/>
        <w:rPr>
          <w:lang w:val="en-US"/>
        </w:rPr>
      </w:pPr>
      <w:r w:rsidRPr="00600D5E">
        <w:rPr>
          <w:lang w:val="en-US"/>
        </w:rPr>
        <w:t>Discussion</w:t>
      </w:r>
    </w:p>
    <w:p w:rsidR="00B65EA4" w:rsidRDefault="00B65EA4" w:rsidP="0048210C">
      <w:pPr>
        <w:spacing w:after="0" w:line="360" w:lineRule="auto"/>
        <w:jc w:val="both"/>
        <w:rPr>
          <w:lang w:val="en-US"/>
        </w:rPr>
      </w:pPr>
      <w:r>
        <w:rPr>
          <w:lang w:val="en-US"/>
        </w:rPr>
        <w:t xml:space="preserve">This study shows that cachexia is a prevalent condition (51% of inpatients and 22% of outpatients) in an unselected sample of Norwegian hospital patients with cancer. A substantial number of patients expressed a need of increased clinical attention to the condition, in particular patients already suffering from cachexia.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Like previous studies, prevalence of cachexia was especially high in gastrointestinal and lung cancer, and lowest in breast cancer and hematologic cancer </w:t>
      </w:r>
      <w:r>
        <w:rPr>
          <w:noProof/>
          <w:lang w:val="en-US"/>
        </w:rPr>
        <w:t>[12]</w:t>
      </w:r>
      <w:r>
        <w:rPr>
          <w:lang w:val="en-US"/>
        </w:rPr>
        <w:t xml:space="preserve">. Cancer type was the one factor most strongly associated with cachexia, even when adjusting for other relevant factors, such as age, gender, and disease stage.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sidRPr="000D6227">
        <w:rPr>
          <w:lang w:val="en-US"/>
        </w:rPr>
        <w:t xml:space="preserve">Interestingly, the prevalence of cachexia was high, not only in patients with metastatic </w:t>
      </w:r>
      <w:r>
        <w:rPr>
          <w:lang w:val="en-US"/>
        </w:rPr>
        <w:t>cancer (55% in inpatients and 24% in outpatients)</w:t>
      </w:r>
      <w:r w:rsidRPr="000D6227">
        <w:rPr>
          <w:lang w:val="en-US"/>
        </w:rPr>
        <w:t xml:space="preserve">, but also in patients with localized (local or locally advanced) </w:t>
      </w:r>
      <w:r>
        <w:rPr>
          <w:lang w:val="en-US"/>
        </w:rPr>
        <w:t>cancer (48% and 19%)</w:t>
      </w:r>
      <w:r w:rsidRPr="000D6227">
        <w:rPr>
          <w:lang w:val="en-US"/>
        </w:rPr>
        <w:t>.</w:t>
      </w:r>
      <w:r>
        <w:rPr>
          <w:lang w:val="en-US"/>
        </w:rPr>
        <w:t xml:space="preserve"> In the regression analysis cancer stage did in fact not significantly associate with cachexia.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Other studies support that weight loss can occur early in the cancer trajectory </w:t>
      </w:r>
      <w:r>
        <w:rPr>
          <w:noProof/>
          <w:lang w:val="en-US"/>
        </w:rPr>
        <w:t>[12,26]</w:t>
      </w:r>
      <w:r>
        <w:rPr>
          <w:lang w:val="en-US"/>
        </w:rPr>
        <w:t xml:space="preserve">. The reason for this might be related to the cachexia pathophysiology. Inflammation is believed to be a driver of cachexia </w:t>
      </w:r>
      <w:r>
        <w:rPr>
          <w:noProof/>
          <w:lang w:val="en-US"/>
        </w:rPr>
        <w:t>[27]</w:t>
      </w:r>
      <w:r>
        <w:rPr>
          <w:lang w:val="en-US"/>
        </w:rPr>
        <w:t xml:space="preserve">, and </w:t>
      </w:r>
      <w:proofErr w:type="spellStart"/>
      <w:r>
        <w:rPr>
          <w:lang w:val="en-US"/>
        </w:rPr>
        <w:t>Martignoni</w:t>
      </w:r>
      <w:proofErr w:type="spellEnd"/>
      <w:r>
        <w:rPr>
          <w:lang w:val="en-US"/>
        </w:rPr>
        <w:t xml:space="preserve"> </w:t>
      </w:r>
      <w:r w:rsidRPr="005648C5">
        <w:rPr>
          <w:i/>
          <w:lang w:val="en-US"/>
        </w:rPr>
        <w:t>et al</w:t>
      </w:r>
      <w:r>
        <w:rPr>
          <w:lang w:val="en-US"/>
        </w:rPr>
        <w:t xml:space="preserve">. </w:t>
      </w:r>
      <w:r>
        <w:rPr>
          <w:noProof/>
          <w:lang w:val="en-US"/>
        </w:rPr>
        <w:t>[28]</w:t>
      </w:r>
      <w:r>
        <w:rPr>
          <w:lang w:val="en-US"/>
        </w:rPr>
        <w:t xml:space="preserve"> have shown that inflammatory changes in the liver in patients with pancreatic cancer and cachexia were not associated with presence of liver metastases, however, strongly associated with histopathologic grade. The authors suggest that cancers with certain histopathologic features might be able to invoke systemic inflammation and cachexia independent of tumor size, lymph node involvement and presence of metastases </w:t>
      </w:r>
      <w:r>
        <w:rPr>
          <w:noProof/>
          <w:lang w:val="en-US"/>
        </w:rPr>
        <w:t>[28]</w:t>
      </w:r>
      <w:r>
        <w:rPr>
          <w:lang w:val="en-US"/>
        </w:rPr>
        <w:t xml:space="preserve">. This challenges the impression that cachexia mainly is a problem in </w:t>
      </w:r>
      <w:r>
        <w:rPr>
          <w:lang w:val="en-US"/>
        </w:rPr>
        <w:lastRenderedPageBreak/>
        <w:t xml:space="preserve">patients with advanced cancer </w:t>
      </w:r>
      <w:r>
        <w:rPr>
          <w:noProof/>
          <w:lang w:val="en-US"/>
        </w:rPr>
        <w:t>[5]</w:t>
      </w:r>
      <w:r>
        <w:rPr>
          <w:lang w:val="en-US"/>
        </w:rPr>
        <w:t xml:space="preserve">, and signals that cachexia should be assessed early in the cancer trajectory.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Cachexia prevalence was consistently lower in patients with curative treatment intent compared to patients with palliative treatment intent (OR 1.6, p=0.03), although significance was not maintained in the multivariate model. Given that stage is of little importance to cachexia prevalence in this dataset, the explanation of the difference might be that curable cancers respond better to anti-cancer therapy, and thus cachexia is more effectively treated in these patients. Type of treatment (chemotherapy, radiotherapy etc.) did not significantly associate with cachexia and prevalence estimates were pointing in different directions for in- and outpatients.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The proportion of patients wanting more clinical attention to weight loss and nutrition was considerable, particularly in patients with cachexia, where one third of patients felt that the issue did not get enough attention. This indicates a sizeable unmet need. Apart from cachexia, the need of more attention was associated with several other factors (Table 3). However, after multivariable adjustment, the only factors still showing an association with a need of more attention were cachexia, symptoms of mood disorder</w:t>
      </w:r>
      <w:r w:rsidRPr="0052386A">
        <w:rPr>
          <w:lang w:val="en-US"/>
        </w:rPr>
        <w:t xml:space="preserve"> and</w:t>
      </w:r>
      <w:r>
        <w:rPr>
          <w:lang w:val="en-US"/>
        </w:rPr>
        <w:t xml:space="preserve"> gender. This confirms the findings of a previous qualitative study </w:t>
      </w:r>
      <w:r>
        <w:rPr>
          <w:noProof/>
          <w:lang w:val="en-US"/>
        </w:rPr>
        <w:t>[15]</w:t>
      </w:r>
      <w:r>
        <w:rPr>
          <w:lang w:val="en-US"/>
        </w:rPr>
        <w:t xml:space="preserve"> that patients with cachexia do want more attention to their condition. Thus, the fear that health care professionals may have of upsetting these patients with such attention </w:t>
      </w:r>
      <w:r>
        <w:rPr>
          <w:noProof/>
          <w:lang w:val="en-US"/>
        </w:rPr>
        <w:t>[16]</w:t>
      </w:r>
      <w:r>
        <w:rPr>
          <w:lang w:val="en-US"/>
        </w:rPr>
        <w:t xml:space="preserve"> do not seem justified (only 3% of patients with cachexia wanted less clinical attention to the condition). Interestingly, patients with symptoms of mood disorder</w:t>
      </w:r>
      <w:r w:rsidRPr="006A3598">
        <w:rPr>
          <w:lang w:val="en-US"/>
        </w:rPr>
        <w:t xml:space="preserve"> </w:t>
      </w:r>
      <w:r>
        <w:rPr>
          <w:lang w:val="en-US"/>
        </w:rPr>
        <w:t xml:space="preserve">(36% reported mild, moderate or severe symptoms, data not shown) </w:t>
      </w:r>
      <w:r w:rsidRPr="006A3598">
        <w:rPr>
          <w:lang w:val="en-US"/>
        </w:rPr>
        <w:t>also</w:t>
      </w:r>
      <w:r>
        <w:rPr>
          <w:lang w:val="en-US"/>
        </w:rPr>
        <w:t xml:space="preserve"> seem to have an increased need of attention to weight loss and nutrition. The reason for this might be that patients unable to eat often suffer mentally due to the loss of the social aspect of eating, conflicts with next of kin regarding food intake, and, ultimately, they may see anorexia as a sign of disease progression and impending death </w:t>
      </w:r>
      <w:r>
        <w:rPr>
          <w:noProof/>
          <w:lang w:val="en-US"/>
        </w:rPr>
        <w:t>[29]</w:t>
      </w:r>
      <w:r>
        <w:rPr>
          <w:lang w:val="en-US"/>
        </w:rPr>
        <w:t xml:space="preserve">. Male gender was also associated with a request for more attention. Although speculative, one explanation might be that women more often speak out about difficulties related to advanced disease, and thus, get the necessary attention, while men more often keep silent </w:t>
      </w:r>
      <w:r>
        <w:rPr>
          <w:noProof/>
          <w:lang w:val="en-US"/>
        </w:rPr>
        <w:t>[30]</w:t>
      </w:r>
      <w:r>
        <w:rPr>
          <w:lang w:val="en-US"/>
        </w:rPr>
        <w:t xml:space="preserve">.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The implication of these findings to health care professionals is that increased awareness to cachexia and patients’ needs related to the condition is necessary. Awareness seems especially important in patients with early stage cancer where cachexia may have been assumed less prevalent. Screening using body weight measurement and questions about previous weight loss, food intake and appetite seems necessary. The PROMs used in this </w:t>
      </w:r>
      <w:r>
        <w:rPr>
          <w:lang w:val="en-US"/>
        </w:rPr>
        <w:lastRenderedPageBreak/>
        <w:t xml:space="preserve">study apt for this purpose. Psychosocial consequences that might follow from anorexia should also be addressed.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On an organizational level, it is important that health care providers responsible for patients with cancer implement guidelines aimed to detect cachexia and malnutrition at all stages of cancer, but especially at early stages where this condition more likely is overlooked.</w:t>
      </w:r>
      <w:r w:rsidRPr="0070433F">
        <w:rPr>
          <w:lang w:val="en-US"/>
        </w:rPr>
        <w:t xml:space="preserve"> </w:t>
      </w:r>
      <w:r>
        <w:rPr>
          <w:lang w:val="en-US"/>
        </w:rPr>
        <w:t xml:space="preserve">This is an argument for early integration of palliative and oncologic care </w:t>
      </w:r>
      <w:r>
        <w:rPr>
          <w:noProof/>
          <w:lang w:val="en-US"/>
        </w:rPr>
        <w:t>[31]</w:t>
      </w:r>
      <w:r>
        <w:rPr>
          <w:lang w:val="en-US"/>
        </w:rPr>
        <w:t xml:space="preserve">. By taking a proactive approach to these issues and offer information and palliative care to the patients, one might prevent some of the psychosocial distress that cachexia patients are facing and increase patient satisfaction. </w:t>
      </w:r>
    </w:p>
    <w:p w:rsidR="00B65EA4" w:rsidRDefault="00B65EA4" w:rsidP="007E791F">
      <w:pPr>
        <w:pStyle w:val="Heading2"/>
        <w:spacing w:before="0" w:line="360" w:lineRule="auto"/>
        <w:jc w:val="both"/>
        <w:rPr>
          <w:lang w:val="en-US"/>
        </w:rPr>
      </w:pPr>
    </w:p>
    <w:p w:rsidR="00B65EA4" w:rsidRDefault="00B65EA4" w:rsidP="007E791F">
      <w:pPr>
        <w:pStyle w:val="Heading2"/>
        <w:spacing w:before="0" w:line="360" w:lineRule="auto"/>
        <w:jc w:val="both"/>
        <w:rPr>
          <w:lang w:val="en-US"/>
        </w:rPr>
      </w:pPr>
      <w:r>
        <w:rPr>
          <w:lang w:val="en-US"/>
        </w:rPr>
        <w:t>Limitations</w:t>
      </w:r>
    </w:p>
    <w:p w:rsidR="00B65EA4" w:rsidRDefault="00B65EA4" w:rsidP="0048210C">
      <w:pPr>
        <w:spacing w:after="0" w:line="360" w:lineRule="auto"/>
        <w:jc w:val="both"/>
        <w:rPr>
          <w:lang w:val="en-US"/>
        </w:rPr>
      </w:pPr>
      <w:r>
        <w:rPr>
          <w:lang w:val="en-US"/>
        </w:rPr>
        <w:t xml:space="preserve">This study was conducted within a single region, and thus, the external validity of this study depends on the local organization of cancer care. For example, who are treated as outpatients and who are treated as inpatients might vary. However, the Norwegian health care system is predominantly public, with equal distribution of resources and uniform training and licensing of health care personnel. The population and frequency of diseases are also relatively homogenous. Therefore the studied population is likely to be representative of every hospital cancer population resembling the Norwegian cancer population. The limited scope of operations also enabled us to approach most of the patients meeting the inclusion criteria within the region, which increases the internal validity of this study. </w:t>
      </w:r>
    </w:p>
    <w:p w:rsidR="00B65EA4" w:rsidRDefault="00B65EA4" w:rsidP="0048210C">
      <w:pPr>
        <w:spacing w:after="0" w:line="360" w:lineRule="auto"/>
        <w:jc w:val="both"/>
        <w:rPr>
          <w:lang w:val="en-US"/>
        </w:rPr>
      </w:pPr>
    </w:p>
    <w:p w:rsidR="00B65EA4" w:rsidRDefault="00B65EA4" w:rsidP="0048210C">
      <w:pPr>
        <w:spacing w:after="0" w:line="360" w:lineRule="auto"/>
        <w:jc w:val="both"/>
        <w:rPr>
          <w:lang w:val="en-US"/>
        </w:rPr>
      </w:pPr>
      <w:r>
        <w:rPr>
          <w:lang w:val="en-US"/>
        </w:rPr>
        <w:t xml:space="preserve">Another limitation concerns the choice only to include outpatients from the department of medical and radiation oncology. </w:t>
      </w:r>
      <w:r w:rsidRPr="00132902">
        <w:rPr>
          <w:lang w:val="en-US"/>
        </w:rPr>
        <w:t>This resulted in an under</w:t>
      </w:r>
      <w:r>
        <w:rPr>
          <w:lang w:val="en-US"/>
        </w:rPr>
        <w:t>r</w:t>
      </w:r>
      <w:r w:rsidRPr="00132902">
        <w:rPr>
          <w:lang w:val="en-US"/>
        </w:rPr>
        <w:t>epresentatio</w:t>
      </w:r>
      <w:r>
        <w:rPr>
          <w:lang w:val="en-US"/>
        </w:rPr>
        <w:t xml:space="preserve">n of patients with lung cancer, for whom the responsibility is divided between departments of oncology and internal medicine. Outpatients under surgical oncological care are not represented for the same reason. However, regarding the smaller sample of inpatients, patients from all branches of cancer care are represented. Consequently, there are some differences between outpatients and inpatients other than just provision of care, which is why results have been presented separately or adjustments made in regression analyses. </w:t>
      </w:r>
    </w:p>
    <w:p w:rsidR="00B65EA4" w:rsidRDefault="00B65EA4" w:rsidP="0048210C">
      <w:pPr>
        <w:spacing w:after="0" w:line="360" w:lineRule="auto"/>
        <w:jc w:val="both"/>
        <w:rPr>
          <w:lang w:val="en-US"/>
        </w:rPr>
      </w:pPr>
    </w:p>
    <w:p w:rsidR="00B65EA4" w:rsidRPr="00C508B9" w:rsidRDefault="00B65EA4" w:rsidP="0048210C">
      <w:pPr>
        <w:spacing w:after="0" w:line="360" w:lineRule="auto"/>
        <w:jc w:val="both"/>
        <w:rPr>
          <w:lang w:val="en-US"/>
        </w:rPr>
      </w:pPr>
      <w:r>
        <w:rPr>
          <w:lang w:val="en-US"/>
        </w:rPr>
        <w:t xml:space="preserve">Objective measures of muscle or fat mass were not used when defining cachexia although </w:t>
      </w:r>
      <w:r w:rsidRPr="00C508B9">
        <w:rPr>
          <w:lang w:val="en-US"/>
        </w:rPr>
        <w:t xml:space="preserve">sarcopenia is an element in the international consensus definition </w:t>
      </w:r>
      <w:r w:rsidRPr="00C508B9">
        <w:rPr>
          <w:noProof/>
          <w:lang w:val="en-US"/>
        </w:rPr>
        <w:t>[1]</w:t>
      </w:r>
      <w:r w:rsidRPr="00C508B9">
        <w:rPr>
          <w:lang w:val="en-US"/>
        </w:rPr>
        <w:t xml:space="preserve">. However, the definition used is also validated </w:t>
      </w:r>
      <w:r w:rsidRPr="00C508B9">
        <w:rPr>
          <w:noProof/>
          <w:lang w:val="en-US"/>
        </w:rPr>
        <w:t>[20]</w:t>
      </w:r>
      <w:r w:rsidRPr="00C508B9">
        <w:rPr>
          <w:lang w:val="en-US"/>
        </w:rPr>
        <w:t xml:space="preserve"> and the main criteria in the two definitions are equal. The possible underestimation of cachexia prevalence that might follow from this is believed to be small; according to a</w:t>
      </w:r>
      <w:r w:rsidRPr="00C508B9">
        <w:rPr>
          <w:rFonts w:cs="Times New Roman"/>
          <w:lang w:val="en-US"/>
        </w:rPr>
        <w:t xml:space="preserve"> recent publication </w:t>
      </w:r>
      <w:r w:rsidRPr="00C508B9">
        <w:rPr>
          <w:rFonts w:cs="Times New Roman"/>
          <w:noProof/>
          <w:lang w:val="en-US"/>
        </w:rPr>
        <w:t>[32]</w:t>
      </w:r>
      <w:r w:rsidRPr="00C508B9">
        <w:rPr>
          <w:rFonts w:cs="Times New Roman"/>
          <w:lang w:val="en-US"/>
        </w:rPr>
        <w:t xml:space="preserve">, up to 89% of patients with cachexia are defined </w:t>
      </w:r>
      <w:r w:rsidRPr="00C508B9">
        <w:rPr>
          <w:rFonts w:cs="Times New Roman"/>
          <w:lang w:val="en-US"/>
        </w:rPr>
        <w:lastRenderedPageBreak/>
        <w:t xml:space="preserve">cachectic based on weight loss regardless of presence of sarcopenia. </w:t>
      </w:r>
      <w:r w:rsidRPr="00C508B9">
        <w:rPr>
          <w:lang w:val="en-US"/>
        </w:rPr>
        <w:t xml:space="preserve">Additionally, while weight loss and BMI are regularly registered in clinical practice, the assessment of sarcopenia necessitates supplementary tests (computed tomography, bioelectrical impedance analysis etc.). Thus, the definition used in this study might be clinically more applicable. </w:t>
      </w:r>
    </w:p>
    <w:p w:rsidR="00B65EA4" w:rsidRPr="00C508B9" w:rsidRDefault="00B65EA4" w:rsidP="0048210C">
      <w:pPr>
        <w:spacing w:after="0" w:line="360" w:lineRule="auto"/>
        <w:jc w:val="both"/>
        <w:rPr>
          <w:lang w:val="en-US"/>
        </w:rPr>
      </w:pPr>
    </w:p>
    <w:p w:rsidR="00B65EA4" w:rsidRPr="00C508B9" w:rsidRDefault="00B65EA4" w:rsidP="00C65402">
      <w:pPr>
        <w:spacing w:after="0" w:line="360" w:lineRule="auto"/>
        <w:jc w:val="both"/>
        <w:rPr>
          <w:lang w:val="en-US"/>
        </w:rPr>
      </w:pPr>
      <w:r w:rsidRPr="00C508B9">
        <w:rPr>
          <w:lang w:val="en-US"/>
        </w:rPr>
        <w:t>Regarding treatment type, information was collected only on current treatment modality, and not on previous treatment. Hence, association between cachexia and treatment was based on ongoing treatment and not amount of treatment previously received. For the same reason was one unable to further describe the localized and metastatic cancer stages in terms of number of treatment lines received.</w:t>
      </w:r>
    </w:p>
    <w:p w:rsidR="00B65EA4" w:rsidRDefault="00B65EA4" w:rsidP="00C65402">
      <w:pPr>
        <w:spacing w:after="0" w:line="360" w:lineRule="auto"/>
        <w:jc w:val="both"/>
        <w:rPr>
          <w:lang w:val="en-US"/>
        </w:rPr>
      </w:pPr>
    </w:p>
    <w:p w:rsidR="00B65EA4" w:rsidRPr="00BE1899" w:rsidRDefault="00B65EA4" w:rsidP="0048210C">
      <w:pPr>
        <w:spacing w:after="0" w:line="360" w:lineRule="auto"/>
        <w:jc w:val="both"/>
        <w:rPr>
          <w:lang w:val="en-US"/>
        </w:rPr>
      </w:pPr>
      <w:r>
        <w:rPr>
          <w:lang w:val="en-US"/>
        </w:rPr>
        <w:t xml:space="preserve">Finally, a study-specific, not previously validated question was used to assess the need for clinical attention to cachexia, so this analysis needs to be viewed as exploratory. In particular, limiting the question to what </w:t>
      </w:r>
      <w:r w:rsidRPr="00B65313">
        <w:rPr>
          <w:i/>
          <w:lang w:val="en-US"/>
        </w:rPr>
        <w:t>the physician</w:t>
      </w:r>
      <w:r>
        <w:rPr>
          <w:lang w:val="en-US"/>
        </w:rPr>
        <w:t xml:space="preserve"> should focus on, might have underestimated the attention given to nutrition and weight loss by other health care workers. </w:t>
      </w:r>
    </w:p>
    <w:p w:rsidR="00B65EA4" w:rsidRDefault="00B65EA4" w:rsidP="00C508B9">
      <w:pPr>
        <w:pStyle w:val="Heading1"/>
        <w:spacing w:line="360" w:lineRule="auto"/>
        <w:jc w:val="both"/>
        <w:rPr>
          <w:lang w:val="en-US"/>
        </w:rPr>
      </w:pPr>
      <w:r>
        <w:rPr>
          <w:lang w:val="en-US"/>
        </w:rPr>
        <w:t>Conclusion</w:t>
      </w:r>
    </w:p>
    <w:p w:rsidR="00B65EA4" w:rsidRDefault="00B65EA4" w:rsidP="0048210C">
      <w:pPr>
        <w:spacing w:after="0" w:line="360" w:lineRule="auto"/>
        <w:jc w:val="both"/>
        <w:rPr>
          <w:lang w:val="en-US"/>
        </w:rPr>
      </w:pPr>
      <w:r>
        <w:rPr>
          <w:lang w:val="en-US"/>
        </w:rPr>
        <w:t>Cachexia is a prevalent condition, affecting both patients with localized and metastatic cancer. Clinical attention to the condition is a sizeable unmet need, and it is required that health care professionals and health care providers are aware of the problem to ensure proper clinical management, and that the informational and palliative care needs of patients are met.</w:t>
      </w:r>
    </w:p>
    <w:p w:rsidR="00B65EA4" w:rsidRDefault="00B65EA4" w:rsidP="00907647">
      <w:pPr>
        <w:pStyle w:val="Heading1"/>
        <w:spacing w:line="360" w:lineRule="auto"/>
        <w:rPr>
          <w:lang w:val="en-US"/>
        </w:rPr>
      </w:pPr>
      <w:r>
        <w:rPr>
          <w:lang w:val="en-US"/>
        </w:rPr>
        <w:t>Compliance with ethical standards</w:t>
      </w:r>
    </w:p>
    <w:p w:rsidR="00B65EA4" w:rsidRPr="00907647" w:rsidRDefault="00B65EA4" w:rsidP="00907647">
      <w:pPr>
        <w:spacing w:line="360" w:lineRule="auto"/>
        <w:rPr>
          <w:lang w:val="en-US"/>
        </w:rPr>
      </w:pPr>
      <w:r w:rsidRPr="00907647">
        <w:rPr>
          <w:lang w:val="en-US"/>
        </w:rPr>
        <w:t xml:space="preserve">All procedures performed in </w:t>
      </w:r>
      <w:r>
        <w:rPr>
          <w:lang w:val="en-US"/>
        </w:rPr>
        <w:t>this study</w:t>
      </w:r>
      <w:r w:rsidRPr="00907647">
        <w:rPr>
          <w:lang w:val="en-US"/>
        </w:rPr>
        <w:t xml:space="preserve"> were in accordance with the ethical standards of the </w:t>
      </w:r>
      <w:r>
        <w:rPr>
          <w:lang w:val="en-US"/>
        </w:rPr>
        <w:t xml:space="preserve">regional ethics </w:t>
      </w:r>
      <w:r w:rsidRPr="00907647">
        <w:rPr>
          <w:lang w:val="en-US"/>
        </w:rPr>
        <w:t>committee and with the 1964 Helsinki declaration and its later amendments or comparable ethical standards.</w:t>
      </w:r>
      <w:r>
        <w:rPr>
          <w:lang w:val="en-US"/>
        </w:rPr>
        <w:t xml:space="preserve"> </w:t>
      </w:r>
      <w:r w:rsidRPr="00907647">
        <w:rPr>
          <w:lang w:val="en-US"/>
        </w:rPr>
        <w:t>Informed consent was obtained from all individual participants included in the study.</w:t>
      </w:r>
    </w:p>
    <w:p w:rsidR="00B65EA4" w:rsidRDefault="00B65EA4" w:rsidP="00907647">
      <w:pPr>
        <w:pStyle w:val="Heading2"/>
        <w:spacing w:line="360" w:lineRule="auto"/>
        <w:rPr>
          <w:lang w:val="en-US"/>
        </w:rPr>
      </w:pPr>
      <w:r>
        <w:rPr>
          <w:lang w:val="en-US"/>
        </w:rPr>
        <w:t>Disclosure of potential conflicts of interest</w:t>
      </w:r>
    </w:p>
    <w:p w:rsidR="00B65EA4" w:rsidRPr="00907647" w:rsidRDefault="00B65EA4" w:rsidP="00907647">
      <w:pPr>
        <w:spacing w:line="360" w:lineRule="auto"/>
        <w:rPr>
          <w:lang w:val="en-US"/>
        </w:rPr>
      </w:pPr>
      <w:r>
        <w:rPr>
          <w:lang w:val="en-US"/>
        </w:rPr>
        <w:t xml:space="preserve">Stein Kaasa reports stock ownership in </w:t>
      </w:r>
      <w:proofErr w:type="spellStart"/>
      <w:r>
        <w:rPr>
          <w:lang w:val="en-US"/>
        </w:rPr>
        <w:t>Eir</w:t>
      </w:r>
      <w:proofErr w:type="spellEnd"/>
      <w:r>
        <w:rPr>
          <w:lang w:val="en-US"/>
        </w:rPr>
        <w:t xml:space="preserve"> </w:t>
      </w:r>
      <w:proofErr w:type="spellStart"/>
      <w:r>
        <w:rPr>
          <w:lang w:val="en-US"/>
        </w:rPr>
        <w:t>Soloutions</w:t>
      </w:r>
      <w:proofErr w:type="spellEnd"/>
      <w:r>
        <w:rPr>
          <w:lang w:val="en-US"/>
        </w:rPr>
        <w:t xml:space="preserve"> AS. Barry Laird reports personal fees from Chugai, outside the submitted work. </w:t>
      </w:r>
      <w:r w:rsidRPr="00907647">
        <w:rPr>
          <w:lang w:val="en-US"/>
        </w:rPr>
        <w:t>Ola Magne Vagnildhaug, Trude Rakel Balstad,</w:t>
      </w:r>
      <w:r w:rsidRPr="00907647">
        <w:rPr>
          <w:vertAlign w:val="superscript"/>
          <w:lang w:val="en-US"/>
        </w:rPr>
        <w:t xml:space="preserve"> </w:t>
      </w:r>
      <w:r w:rsidRPr="00907647">
        <w:rPr>
          <w:lang w:val="en-US"/>
        </w:rPr>
        <w:t>Sigrun Saur Almberg, Cinzia Brunelli, Anne Kari Knudsen, Morten Thronæs and Tora Skeidsvoll Solheim</w:t>
      </w:r>
      <w:r w:rsidRPr="00907647">
        <w:rPr>
          <w:vertAlign w:val="superscript"/>
          <w:lang w:val="en-US"/>
        </w:rPr>
        <w:t xml:space="preserve"> </w:t>
      </w:r>
      <w:r w:rsidRPr="00907647">
        <w:rPr>
          <w:lang w:val="en-US"/>
        </w:rPr>
        <w:t xml:space="preserve">have nothing to disclose. </w:t>
      </w:r>
    </w:p>
    <w:p w:rsidR="00B65EA4" w:rsidRPr="00907647" w:rsidRDefault="00B65EA4" w:rsidP="00907647">
      <w:pPr>
        <w:rPr>
          <w:lang w:val="en-US"/>
        </w:rPr>
      </w:pPr>
    </w:p>
    <w:p w:rsidR="00B65EA4" w:rsidRDefault="00B65EA4" w:rsidP="0048210C">
      <w:pPr>
        <w:pStyle w:val="Heading1"/>
        <w:spacing w:before="0" w:line="360" w:lineRule="auto"/>
        <w:jc w:val="both"/>
        <w:rPr>
          <w:lang w:val="en-US"/>
        </w:rPr>
      </w:pPr>
      <w:r>
        <w:rPr>
          <w:lang w:val="en-US"/>
        </w:rPr>
        <w:lastRenderedPageBreak/>
        <w:t>References</w:t>
      </w:r>
    </w:p>
    <w:p w:rsidR="00B65EA4" w:rsidRPr="00471E95" w:rsidRDefault="00B65EA4" w:rsidP="00471E95">
      <w:pPr>
        <w:pStyle w:val="EndNoteBibliography"/>
        <w:spacing w:after="0"/>
      </w:pPr>
      <w:r w:rsidRPr="00471E95">
        <w:t>1. Fearon K, Strasser F, Anker SD, Bosaeus I, Bruera E, Fainsinger RL, Jatoi A, Loprinzi C, MacDonald N, Mantovani G, Davis M, Muscaritoli M, Ottery F, Radbruch L, Ravasco P, Walsh D, Wilcock A, Kaasa S, Baracos VE (2011) Definition and classification of cancer cachexia: an international consensus. The Lancet Oncology 12 (5):489-495. doi:10.1016/S1470-2045(10)70218-7</w:t>
      </w:r>
    </w:p>
    <w:p w:rsidR="00B65EA4" w:rsidRPr="00471E95" w:rsidRDefault="00B65EA4" w:rsidP="00471E95">
      <w:pPr>
        <w:pStyle w:val="EndNoteBibliography"/>
        <w:spacing w:after="0"/>
      </w:pPr>
      <w:r w:rsidRPr="00471E95">
        <w:t>2. Hinsley R, Hughes R (2007) 'The reflections you get': an exploration of body image and cachexia. International journal of palliative nursing 13 (2):84-89. doi:10.12968/ijpn.2007.13.2.23068</w:t>
      </w:r>
    </w:p>
    <w:p w:rsidR="00B65EA4" w:rsidRPr="00471E95" w:rsidRDefault="00B65EA4" w:rsidP="00471E95">
      <w:pPr>
        <w:pStyle w:val="EndNoteBibliography"/>
        <w:spacing w:after="0"/>
      </w:pPr>
      <w:r w:rsidRPr="00471E95">
        <w:t>3. McClement S (2005) Cancer anorexia-cachexia syndrome: psychological effect on the patient and family. Journal of wound, ostomy, and continence nursing : official publication of The Wound, Ostomy and Continence Nurses Society / WOCN 32 (4):264-268</w:t>
      </w:r>
    </w:p>
    <w:p w:rsidR="00B65EA4" w:rsidRPr="00471E95" w:rsidRDefault="00B65EA4" w:rsidP="00471E95">
      <w:pPr>
        <w:pStyle w:val="EndNoteBibliography"/>
        <w:spacing w:after="0"/>
      </w:pPr>
      <w:r w:rsidRPr="00471E95">
        <w:t>4. Ross PJ, Ashley S, Norton A, Priest K, Waters JS, Eisen T, Smith IE, O'Brien ME (2004) Do patients with weight loss have a worse outcome when undergoing chemotherapy for lung cancers? Br J Cancer 90 (10):1905-1911. doi:10.1038/sj.bjc.6601781</w:t>
      </w:r>
    </w:p>
    <w:p w:rsidR="00B65EA4" w:rsidRPr="00471E95" w:rsidRDefault="00B65EA4" w:rsidP="00471E95">
      <w:pPr>
        <w:pStyle w:val="EndNoteBibliography"/>
        <w:spacing w:after="0"/>
      </w:pPr>
      <w:r w:rsidRPr="00471E95">
        <w:t>5. Tisdale MJ (2002) Cachexia in cancer patients. Nature reviews Cancer 2 (11):862-871. doi:10.1038/nrc927</w:t>
      </w:r>
    </w:p>
    <w:p w:rsidR="00B65EA4" w:rsidRPr="00471E95" w:rsidRDefault="00B65EA4" w:rsidP="00471E95">
      <w:pPr>
        <w:pStyle w:val="EndNoteBibliography"/>
        <w:spacing w:after="0"/>
      </w:pPr>
      <w:r w:rsidRPr="00471E95">
        <w:t>6. Farkas J, von Haehling S, Kalantar-Zadeh K, Morley JE, Anker SD, Lainscak M (2013) Cachexia as a major public health problem: frequent, costly, and deadly. J Cachexia Sarcopenia Muscle 4 (3):173-178. doi:10.1007/s13539-013-0105-y</w:t>
      </w:r>
    </w:p>
    <w:p w:rsidR="00B65EA4" w:rsidRPr="00471E95" w:rsidRDefault="00B65EA4" w:rsidP="00471E95">
      <w:pPr>
        <w:pStyle w:val="EndNoteBibliography"/>
        <w:spacing w:after="0"/>
      </w:pPr>
      <w:r w:rsidRPr="00471E95">
        <w:t>7. Konishi M, Ishida J, Springer J, Anker SD, von Haehling S (2016) Cachexia research in Japan: facts and numbers on prevalence, incidence and clinical impact. J Cachexia Sarcopenia Muscle 7 (5):515-519. doi:10.1002/jcsm.12117</w:t>
      </w:r>
    </w:p>
    <w:p w:rsidR="00B65EA4" w:rsidRPr="00471E95" w:rsidRDefault="00B65EA4" w:rsidP="00471E95">
      <w:pPr>
        <w:pStyle w:val="EndNoteBibliography"/>
        <w:spacing w:after="0"/>
      </w:pPr>
      <w:r w:rsidRPr="00471E95">
        <w:t>8. von Haehling S, Anker SD (2014) Prevalence, incidence and clinical impact of cachexia: facts and numbers-update 2014. J Cachexia Sarcopenia Muscle 5 (4):261-263. doi:10.1007/s13539-014-0164-8</w:t>
      </w:r>
    </w:p>
    <w:p w:rsidR="00B65EA4" w:rsidRPr="00471E95" w:rsidRDefault="00B65EA4" w:rsidP="00471E95">
      <w:pPr>
        <w:pStyle w:val="EndNoteBibliography"/>
        <w:spacing w:after="0"/>
      </w:pPr>
      <w:r w:rsidRPr="00471E95">
        <w:t>9. Blum D, Omlin A, Baracos VE, Solheim TS, Tan BH, Stone P, Kaasa S, Fearon K, Strasser F, European Palliative Care Research C (2011) Cancer cachexia: a systematic literature review of items and domains associated with involuntary weight loss in cancer. Crit Rev Oncol Hematol 80 (1):114-144. doi:10.1016/j.critrevonc.2010.10.004</w:t>
      </w:r>
    </w:p>
    <w:p w:rsidR="00B65EA4" w:rsidRPr="00471E95" w:rsidRDefault="00B65EA4" w:rsidP="00471E95">
      <w:pPr>
        <w:pStyle w:val="EndNoteBibliography"/>
        <w:spacing w:after="0"/>
      </w:pPr>
      <w:r w:rsidRPr="00471E95">
        <w:t>10. Wallengren O, Lundholm K, Bosaeus I (2013) Diagnostic criteria of cancer cachexia: relation to quality of life, exercise capacity and survival in unselected palliative care patients. Supportive care in cancer : official journal of the Multinational Association of Supportive Care in Cancer 21 (6):1569-1577. doi:10.1007/s00520-012-1697-z</w:t>
      </w:r>
    </w:p>
    <w:p w:rsidR="00B65EA4" w:rsidRPr="00471E95" w:rsidRDefault="00B65EA4" w:rsidP="00471E95">
      <w:pPr>
        <w:pStyle w:val="EndNoteBibliography"/>
        <w:spacing w:after="0"/>
      </w:pPr>
      <w:r w:rsidRPr="00471E95">
        <w:t>11. Sun L, Quan XQ, Yu S (2015) An Epidemiological Survey of Cachexia in Advanced Cancer Patients and Analysis on Its Diagnostic and Treatment Status. Nutrition and cancer 67 (7):1056-1062. doi:10.1080/01635581.2015.1073753</w:t>
      </w:r>
    </w:p>
    <w:p w:rsidR="00B65EA4" w:rsidRPr="00471E95" w:rsidRDefault="00B65EA4" w:rsidP="00471E95">
      <w:pPr>
        <w:pStyle w:val="EndNoteBibliography"/>
        <w:spacing w:after="0"/>
      </w:pPr>
      <w:r w:rsidRPr="00471E95">
        <w:t>12. Dewys WD, Begg C, Lavin PT, Band PR, Bennett JM, Bertino JR, Cohen MH, Douglass HO, Jr., Engstrom PF, Ezdinli EZ, Horton J, Johnson GJ, Moertel CG, Oken MM, Perlia C, Rosenbaum C, Silverstein MN, Skeel RT, Sponzo RW, Tormey DC (1980) Prognostic effect of weight loss prior to chemotherapy in cancer patients. Eastern Cooperative Oncology Group. The American journal of medicine 69 (4):491-497</w:t>
      </w:r>
    </w:p>
    <w:p w:rsidR="00B65EA4" w:rsidRPr="00471E95" w:rsidRDefault="00B65EA4" w:rsidP="00471E95">
      <w:pPr>
        <w:pStyle w:val="EndNoteBibliography"/>
        <w:spacing w:after="0"/>
      </w:pPr>
      <w:r w:rsidRPr="00471E95">
        <w:t>13. Temel JS, Abernethy AP, Currow DC, Friend J, Duus EM, Yan Y, Fearon KC (2016) Anamorelin in patients with non-small-cell lung cancer and cachexia (ROMANA 1 and ROMANA 2): results from two randomised, double-blind, phase 3 trials. The Lancet Oncology. doi:10.1016/S1470-2045(15)00558-6</w:t>
      </w:r>
    </w:p>
    <w:p w:rsidR="00B65EA4" w:rsidRPr="00471E95" w:rsidRDefault="00B65EA4" w:rsidP="00471E95">
      <w:pPr>
        <w:pStyle w:val="EndNoteBibliography"/>
        <w:spacing w:after="0"/>
      </w:pPr>
      <w:r w:rsidRPr="00471E95">
        <w:t>14. Hopkinson JB, Wright DN, McDonald JW, Corner JL (2006) The prevalence of concern about weight loss and change in eating habits in people with advanced cancer. J Pain Symptom Manage 32 (4):322-331. doi:10.1016/j.jpainsymman.2006.05.012</w:t>
      </w:r>
    </w:p>
    <w:p w:rsidR="00B65EA4" w:rsidRPr="00471E95" w:rsidRDefault="00B65EA4" w:rsidP="00471E95">
      <w:pPr>
        <w:pStyle w:val="EndNoteBibliography"/>
        <w:spacing w:after="0"/>
      </w:pPr>
      <w:r w:rsidRPr="00471E95">
        <w:t>15. Reid J, McKenna HP, Fitzsimons D, McCance TV (2010) An exploration of the experience of cancer cachexia: what patients and their families want from healthcare professionals. European journal of cancer care 19 (5):682-689. doi:10.1111/j.1365-2354.2009.01124.x</w:t>
      </w:r>
    </w:p>
    <w:p w:rsidR="00B65EA4" w:rsidRPr="00471E95" w:rsidRDefault="00B65EA4" w:rsidP="00471E95">
      <w:pPr>
        <w:pStyle w:val="EndNoteBibliography"/>
        <w:spacing w:after="0"/>
      </w:pPr>
      <w:r w:rsidRPr="00471E95">
        <w:lastRenderedPageBreak/>
        <w:t>16. Millar C, Reid J, Porter S (2013) Healthcare professionals' response to cachexia in advanced cancer: a qualitative study. Oncology nursing forum 40 (6):E393-402. doi:10.1188/13.onf.e393-e402</w:t>
      </w:r>
    </w:p>
    <w:p w:rsidR="00B65EA4" w:rsidRPr="00471E95" w:rsidRDefault="00B65EA4" w:rsidP="00471E95">
      <w:pPr>
        <w:pStyle w:val="EndNoteBibliography"/>
        <w:spacing w:after="0"/>
      </w:pPr>
      <w:r w:rsidRPr="00471E95">
        <w:t>17. Schag CC, Heinrich RL, Ganz PA (1984) Karnofsky performance status revisited: reliability, validity, and guidelines. Journal of clinical oncology : official journal of the American Society of Clinical Oncology 2 (3):187-193</w:t>
      </w:r>
    </w:p>
    <w:p w:rsidR="00B65EA4" w:rsidRPr="00471E95" w:rsidRDefault="00B65EA4" w:rsidP="00471E95">
      <w:pPr>
        <w:pStyle w:val="EndNoteBibliography"/>
        <w:spacing w:after="0"/>
      </w:pPr>
      <w:r w:rsidRPr="00471E95">
        <w:t>18. Oken MM, Creech RH, Tormey DC, Horton J, Davis TE, McFadden ET, Carbone PP (1982) Toxicity and response criteria of the Eastern Cooperative Oncology Group. American journal of clinical oncology 5 (6):649-655</w:t>
      </w:r>
    </w:p>
    <w:p w:rsidR="00B65EA4" w:rsidRPr="00471E95" w:rsidRDefault="00B65EA4" w:rsidP="00471E95">
      <w:pPr>
        <w:pStyle w:val="EndNoteBibliography"/>
        <w:spacing w:after="0"/>
      </w:pPr>
      <w:r w:rsidRPr="00471E95">
        <w:t>19. Buccheri G, Ferrigno D, Tamburini M (1996) Karnofsky and ECOG performance status scoring in lung cancer: a prospective, longitudinal study of 536 patients from a single institution. European journal of cancer (Oxford, England : 1990) 32a (7):1135-1141</w:t>
      </w:r>
    </w:p>
    <w:p w:rsidR="00B65EA4" w:rsidRPr="00471E95" w:rsidRDefault="00B65EA4" w:rsidP="00471E95">
      <w:pPr>
        <w:pStyle w:val="EndNoteBibliography"/>
        <w:spacing w:after="0"/>
      </w:pPr>
      <w:r w:rsidRPr="00471E95">
        <w:t>20. Blum D, Stene GB, Solheim TS, Fayers P, Hjermstad MJ, Baracos VE, Fearon K, Strasser F, Kaasa S, on behalf of E-I (2014) Validation of the Consensus-Definition for Cancer Cachexia and evaluation of a classification model - A study based on data from an international multicentre project (EPCRC-CSA). Annals of oncology : official journal of the European Society for Medical Oncology / ESMO. doi:10.1093/annonc/mdu086</w:t>
      </w:r>
    </w:p>
    <w:p w:rsidR="00B65EA4" w:rsidRPr="00471E95" w:rsidRDefault="00B65EA4" w:rsidP="00471E95">
      <w:pPr>
        <w:pStyle w:val="EndNoteBibliography"/>
        <w:spacing w:after="0"/>
      </w:pPr>
      <w:r w:rsidRPr="00471E95">
        <w:t>21. Bauer J, Capra S, Ferguson M (2002) Use of the scored Patient-Generated Subjective Global Assessment (PG-SGA) as a nutrition assessment tool in patients with cancer. European journal of clinical nutrition 56 (8):779-785. doi:10.1038/sj.ejcn.1601412</w:t>
      </w:r>
    </w:p>
    <w:p w:rsidR="00B65EA4" w:rsidRPr="00471E95" w:rsidRDefault="00B65EA4" w:rsidP="00471E95">
      <w:pPr>
        <w:pStyle w:val="EndNoteBibliography"/>
        <w:spacing w:after="0"/>
      </w:pPr>
      <w:r w:rsidRPr="00471E95">
        <w:t>22. Klepstad P, Loge JH, Borchgrevink PC, Mendoza TR, Cleeland CS, Kaasa S (2002) The Norwegian brief pain inventory questionnaire: translation and validation in cancer pain patients. J Pain Symptom Manage 24 (5):517-525</w:t>
      </w:r>
    </w:p>
    <w:p w:rsidR="00B65EA4" w:rsidRPr="00471E95" w:rsidRDefault="00B65EA4" w:rsidP="00471E95">
      <w:pPr>
        <w:pStyle w:val="EndNoteBibliography"/>
        <w:spacing w:after="0"/>
      </w:pPr>
      <w:r w:rsidRPr="00471E95">
        <w:t>23. Chalder T, Berelowitz G, Pawlikowska T, Watts L, Wessely S, Wright D, Wallace EP (1993) Development of a fatigue scale. Journal of psychosomatic research 37 (2):147-153</w:t>
      </w:r>
    </w:p>
    <w:p w:rsidR="00B65EA4" w:rsidRPr="00471E95" w:rsidRDefault="00B65EA4" w:rsidP="00471E95">
      <w:pPr>
        <w:pStyle w:val="EndNoteBibliography"/>
        <w:spacing w:after="0"/>
      </w:pPr>
      <w:r w:rsidRPr="00471E95">
        <w:t>24. Kroenke K, Spitzer RL, Williams JB, Lowe B (2009) An ultra-brief screening scale for anxiety and depression: the PHQ-4. Psychosomatics 50 (6):613-621. doi:10.1176/appi.psy.50.6.613</w:t>
      </w:r>
    </w:p>
    <w:p w:rsidR="00B65EA4" w:rsidRPr="00471E95" w:rsidRDefault="00B65EA4" w:rsidP="00471E95">
      <w:pPr>
        <w:pStyle w:val="EndNoteBibliography"/>
        <w:spacing w:after="0"/>
      </w:pPr>
      <w:r w:rsidRPr="00471E95">
        <w:t>25. Thronaes M, Raj SX, Brunelli C, Almberg SS, Vagnildhaug OM, Bruheim S, Helgheim B, Kaasa S, Knudsen AK (2016) Is it possible to detect an improvement in cancer pain management? A comparison of two Norwegian cross-sectional studies conducted 5 years apart. Supportive care in cancer : official journal of the Multinational Association of Supportive Care in Cancer 24 (6):2565-2574. doi:10.1007/s00520-015-3064-3</w:t>
      </w:r>
    </w:p>
    <w:p w:rsidR="00B65EA4" w:rsidRPr="00471E95" w:rsidRDefault="00B65EA4" w:rsidP="00471E95">
      <w:pPr>
        <w:pStyle w:val="EndNoteBibliography"/>
        <w:spacing w:after="0"/>
      </w:pPr>
      <w:r w:rsidRPr="00471E95">
        <w:t>26. Kritchevsky SB, Wilcosky TC, Morris DL, Truong KN, Tyroler HA (1991) Changes in plasma lipid and lipoprotein cholesterol and weight prior to the diagnosis of cancer. Cancer research 51 (12):3198-3203</w:t>
      </w:r>
    </w:p>
    <w:p w:rsidR="00B65EA4" w:rsidRPr="00471E95" w:rsidRDefault="00B65EA4" w:rsidP="00471E95">
      <w:pPr>
        <w:pStyle w:val="EndNoteBibliography"/>
        <w:spacing w:after="0"/>
      </w:pPr>
      <w:r w:rsidRPr="00471E95">
        <w:t>27. Fearon K, Arends J, Baracos V (2013) Understanding the mechanisms and treatment options in cancer cachexia. Nature reviews Clinical oncology 10 (2):90-99. doi:10.1038/nrclinonc.2012.209</w:t>
      </w:r>
    </w:p>
    <w:p w:rsidR="00B65EA4" w:rsidRPr="00471E95" w:rsidRDefault="00B65EA4" w:rsidP="00471E95">
      <w:pPr>
        <w:pStyle w:val="EndNoteBibliography"/>
        <w:spacing w:after="0"/>
      </w:pPr>
      <w:r w:rsidRPr="00471E95">
        <w:t>28. Martignoni ME, Dimitriu C, Bachmann J, Krakowski-Rosen H, Ketterer K, Kinscherf R, Friess H (2009) Liver macrophages contribute to pancreatic cancer-related cachexia. Oncology reports 21 (2):363-369</w:t>
      </w:r>
    </w:p>
    <w:p w:rsidR="00B65EA4" w:rsidRPr="00471E95" w:rsidRDefault="00B65EA4" w:rsidP="00471E95">
      <w:pPr>
        <w:pStyle w:val="EndNoteBibliography"/>
        <w:spacing w:after="0"/>
      </w:pPr>
      <w:r w:rsidRPr="00471E95">
        <w:t>29. Oberholzer R, Hopkinson JB, Baumann K, Omlin A, Kaasa S, Fearon KC, Strasser F (2013) Psychosocial effects of cancer cachexia: a systematic literature search and qualitative analysis. J Pain Symptom Manage 46 (1):77-95. doi:10.1016/j.jpainsymman.2012.06.020</w:t>
      </w:r>
    </w:p>
    <w:p w:rsidR="00B65EA4" w:rsidRPr="00471E95" w:rsidRDefault="00B65EA4" w:rsidP="00471E95">
      <w:pPr>
        <w:pStyle w:val="EndNoteBibliography"/>
        <w:spacing w:after="0"/>
      </w:pPr>
      <w:r w:rsidRPr="00471E95">
        <w:t>30. Skulason B, Hauksdottir A, Ahcic K, Helgason AR (2014) Death talk: gender differences in talking about one's own impending death. BMC palliative care 13 (1):8. doi:10.1186/1472-684x-13-8</w:t>
      </w:r>
    </w:p>
    <w:p w:rsidR="00B65EA4" w:rsidRPr="00471E95" w:rsidRDefault="00B65EA4" w:rsidP="00471E95">
      <w:pPr>
        <w:pStyle w:val="EndNoteBibliography"/>
        <w:spacing w:after="0"/>
      </w:pPr>
      <w:r w:rsidRPr="00471E95">
        <w:t>31. Hui D, Kim YJ, Park JC, Zhang Y, Strasser F, Cherny N, Kaasa S, Davis MP, Bruera E (2015) Integration of oncology and palliative care: a systematic review. Oncologist 20 (1):77-83. doi:10.1634/theoncologist.2014-0312</w:t>
      </w:r>
    </w:p>
    <w:p w:rsidR="00B65EA4" w:rsidRPr="00471E95" w:rsidRDefault="00B65EA4" w:rsidP="00471E95">
      <w:pPr>
        <w:pStyle w:val="EndNoteBibliography"/>
      </w:pPr>
      <w:r w:rsidRPr="00471E95">
        <w:t>32. Blauwhoff-Buskermolen S, Langius JAE, Becker A, Verheul HMW, de van der Schueren MAE (2017) The influence of different muscle mass measurements on the diagnosis of cancer cachexia. J Cachexia Sarcopenia Muscle. doi:10.1002/jcsm.12200</w:t>
      </w:r>
    </w:p>
    <w:p w:rsidR="003B7E53" w:rsidRDefault="003B7E53" w:rsidP="003B7E53">
      <w:pPr>
        <w:pStyle w:val="Caption"/>
        <w:keepNext/>
        <w:rPr>
          <w:rFonts w:cs="Arial"/>
          <w:color w:val="auto"/>
          <w:lang w:val="en-GB"/>
        </w:rPr>
      </w:pPr>
      <w:r>
        <w:rPr>
          <w:rFonts w:cs="Arial"/>
          <w:color w:val="auto"/>
          <w:lang w:val="en-GB"/>
        </w:rPr>
        <w:lastRenderedPageBreak/>
        <w:t>Table 1 Patient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1984"/>
        <w:gridCol w:w="1276"/>
        <w:gridCol w:w="1134"/>
        <w:gridCol w:w="1137"/>
      </w:tblGrid>
      <w:tr w:rsidR="003B7E53" w:rsidTr="003B7E53">
        <w:tc>
          <w:tcPr>
            <w:tcW w:w="250" w:type="dxa"/>
            <w:tcBorders>
              <w:top w:val="single" w:sz="4" w:space="0" w:color="auto"/>
              <w:left w:val="nil"/>
              <w:bottom w:val="single" w:sz="4" w:space="0" w:color="auto"/>
              <w:right w:val="nil"/>
            </w:tcBorders>
            <w:shd w:val="clear" w:color="auto" w:fill="BFBFBF" w:themeFill="background1" w:themeFillShade="BF"/>
          </w:tcPr>
          <w:p w:rsidR="003B7E53" w:rsidRDefault="003B7E53">
            <w:pPr>
              <w:rPr>
                <w:rFonts w:cs="Arial"/>
                <w:sz w:val="18"/>
                <w:szCs w:val="18"/>
                <w:lang w:val="en-GB"/>
              </w:rPr>
            </w:pPr>
          </w:p>
        </w:tc>
        <w:tc>
          <w:tcPr>
            <w:tcW w:w="567" w:type="dxa"/>
            <w:tcBorders>
              <w:top w:val="single" w:sz="4" w:space="0" w:color="auto"/>
              <w:left w:val="nil"/>
              <w:bottom w:val="single" w:sz="4" w:space="0" w:color="auto"/>
              <w:right w:val="nil"/>
            </w:tcBorders>
            <w:shd w:val="clear" w:color="auto" w:fill="BFBFBF" w:themeFill="background1" w:themeFillShade="BF"/>
          </w:tcPr>
          <w:p w:rsidR="003B7E53" w:rsidRDefault="003B7E53">
            <w:pPr>
              <w:rPr>
                <w:rFonts w:cs="Arial"/>
                <w:sz w:val="18"/>
                <w:szCs w:val="18"/>
                <w:lang w:val="en-GB"/>
              </w:rPr>
            </w:pPr>
          </w:p>
        </w:tc>
        <w:tc>
          <w:tcPr>
            <w:tcW w:w="1984" w:type="dxa"/>
            <w:tcBorders>
              <w:top w:val="single" w:sz="4" w:space="0" w:color="auto"/>
              <w:left w:val="nil"/>
              <w:bottom w:val="single" w:sz="4" w:space="0" w:color="auto"/>
              <w:right w:val="nil"/>
            </w:tcBorders>
            <w:shd w:val="clear" w:color="auto" w:fill="BFBFBF" w:themeFill="background1" w:themeFillShade="BF"/>
          </w:tcPr>
          <w:p w:rsidR="003B7E53" w:rsidRDefault="003B7E53">
            <w:pPr>
              <w:rPr>
                <w:rFonts w:cs="Arial"/>
                <w:sz w:val="18"/>
                <w:szCs w:val="18"/>
                <w:lang w:val="en-GB"/>
              </w:rPr>
            </w:pPr>
          </w:p>
        </w:tc>
        <w:tc>
          <w:tcPr>
            <w:tcW w:w="1276" w:type="dxa"/>
            <w:tcBorders>
              <w:top w:val="single" w:sz="4" w:space="0" w:color="auto"/>
              <w:left w:val="nil"/>
              <w:bottom w:val="single" w:sz="4" w:space="0" w:color="auto"/>
              <w:right w:val="nil"/>
            </w:tcBorders>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All patients</w:t>
            </w:r>
          </w:p>
        </w:tc>
        <w:tc>
          <w:tcPr>
            <w:tcW w:w="1134" w:type="dxa"/>
            <w:tcBorders>
              <w:top w:val="single" w:sz="4" w:space="0" w:color="auto"/>
              <w:left w:val="nil"/>
              <w:bottom w:val="single" w:sz="4" w:space="0" w:color="auto"/>
              <w:right w:val="nil"/>
            </w:tcBorders>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Inpatients</w:t>
            </w:r>
          </w:p>
        </w:tc>
        <w:tc>
          <w:tcPr>
            <w:tcW w:w="1137" w:type="dxa"/>
            <w:tcBorders>
              <w:top w:val="single" w:sz="4" w:space="0" w:color="auto"/>
              <w:left w:val="nil"/>
              <w:bottom w:val="single" w:sz="4" w:space="0" w:color="auto"/>
              <w:right w:val="nil"/>
            </w:tcBorders>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Outpatients</w:t>
            </w:r>
          </w:p>
        </w:tc>
      </w:tr>
      <w:tr w:rsidR="003B7E53" w:rsidTr="003B7E53">
        <w:tc>
          <w:tcPr>
            <w:tcW w:w="2801" w:type="dxa"/>
            <w:gridSpan w:val="3"/>
            <w:tcBorders>
              <w:top w:val="single" w:sz="4" w:space="0" w:color="auto"/>
              <w:left w:val="nil"/>
              <w:bottom w:val="nil"/>
              <w:right w:val="nil"/>
            </w:tcBorders>
            <w:hideMark/>
          </w:tcPr>
          <w:p w:rsidR="003B7E53" w:rsidRDefault="003B7E53">
            <w:pPr>
              <w:rPr>
                <w:rFonts w:cs="Arial"/>
                <w:b/>
                <w:sz w:val="18"/>
                <w:szCs w:val="18"/>
                <w:lang w:val="en-GB"/>
              </w:rPr>
            </w:pPr>
            <w:r>
              <w:rPr>
                <w:rFonts w:cs="Arial"/>
                <w:b/>
                <w:sz w:val="18"/>
                <w:szCs w:val="18"/>
                <w:lang w:val="en-GB"/>
              </w:rPr>
              <w:t>Total n</w:t>
            </w:r>
          </w:p>
        </w:tc>
        <w:tc>
          <w:tcPr>
            <w:tcW w:w="1276" w:type="dxa"/>
            <w:tcBorders>
              <w:top w:val="single" w:sz="4" w:space="0" w:color="auto"/>
              <w:left w:val="nil"/>
              <w:bottom w:val="nil"/>
              <w:right w:val="nil"/>
            </w:tcBorders>
            <w:hideMark/>
          </w:tcPr>
          <w:p w:rsidR="003B7E53" w:rsidRDefault="003B7E53">
            <w:pPr>
              <w:rPr>
                <w:rFonts w:cs="Arial"/>
                <w:b/>
                <w:sz w:val="18"/>
                <w:szCs w:val="18"/>
                <w:lang w:val="en-GB"/>
              </w:rPr>
            </w:pPr>
            <w:r>
              <w:rPr>
                <w:rFonts w:cs="Arial"/>
                <w:b/>
                <w:sz w:val="18"/>
                <w:szCs w:val="18"/>
                <w:lang w:val="en-GB"/>
              </w:rPr>
              <w:t>386</w:t>
            </w:r>
          </w:p>
        </w:tc>
        <w:tc>
          <w:tcPr>
            <w:tcW w:w="1134" w:type="dxa"/>
            <w:tcBorders>
              <w:top w:val="single" w:sz="4" w:space="0" w:color="auto"/>
              <w:left w:val="nil"/>
              <w:bottom w:val="nil"/>
              <w:right w:val="nil"/>
            </w:tcBorders>
            <w:hideMark/>
          </w:tcPr>
          <w:p w:rsidR="003B7E53" w:rsidRDefault="003B7E53">
            <w:pPr>
              <w:rPr>
                <w:rFonts w:cs="Arial"/>
                <w:sz w:val="18"/>
                <w:szCs w:val="18"/>
                <w:lang w:val="en-GB"/>
              </w:rPr>
            </w:pPr>
            <w:r>
              <w:rPr>
                <w:rFonts w:cs="Arial"/>
                <w:sz w:val="18"/>
                <w:szCs w:val="18"/>
                <w:lang w:val="en-GB"/>
              </w:rPr>
              <w:t>78</w:t>
            </w:r>
          </w:p>
        </w:tc>
        <w:tc>
          <w:tcPr>
            <w:tcW w:w="1137" w:type="dxa"/>
            <w:tcBorders>
              <w:top w:val="single" w:sz="4" w:space="0" w:color="auto"/>
              <w:left w:val="nil"/>
              <w:bottom w:val="nil"/>
              <w:right w:val="nil"/>
            </w:tcBorders>
            <w:hideMark/>
          </w:tcPr>
          <w:p w:rsidR="003B7E53" w:rsidRDefault="003B7E53">
            <w:pPr>
              <w:rPr>
                <w:rFonts w:cs="Arial"/>
                <w:sz w:val="18"/>
                <w:szCs w:val="18"/>
                <w:lang w:val="en-GB"/>
              </w:rPr>
            </w:pPr>
            <w:r>
              <w:rPr>
                <w:rFonts w:cs="Arial"/>
                <w:sz w:val="18"/>
                <w:szCs w:val="18"/>
                <w:lang w:val="en-GB"/>
              </w:rPr>
              <w:t>308</w:t>
            </w:r>
          </w:p>
        </w:tc>
      </w:tr>
      <w:tr w:rsidR="003B7E53" w:rsidTr="003B7E53">
        <w:tc>
          <w:tcPr>
            <w:tcW w:w="2801" w:type="dxa"/>
            <w:gridSpan w:val="3"/>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Median age (IQR)</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65 (56-72)</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69 (58-76)</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65 (55-71)</w:t>
            </w:r>
          </w:p>
        </w:tc>
      </w:tr>
      <w:tr w:rsidR="003B7E53" w:rsidTr="003B7E53">
        <w:tc>
          <w:tcPr>
            <w:tcW w:w="2801" w:type="dxa"/>
            <w:gridSpan w:val="3"/>
            <w:hideMark/>
          </w:tcPr>
          <w:p w:rsidR="003B7E53" w:rsidRDefault="003B7E53">
            <w:pPr>
              <w:rPr>
                <w:rFonts w:cs="Arial"/>
                <w:b/>
                <w:sz w:val="18"/>
                <w:szCs w:val="18"/>
                <w:lang w:val="en-GB"/>
              </w:rPr>
            </w:pPr>
            <w:r>
              <w:rPr>
                <w:rFonts w:cs="Arial"/>
                <w:b/>
                <w:sz w:val="18"/>
                <w:szCs w:val="18"/>
                <w:lang w:val="en-GB"/>
              </w:rPr>
              <w:t>Gender n (%)</w:t>
            </w:r>
          </w:p>
        </w:tc>
        <w:tc>
          <w:tcPr>
            <w:tcW w:w="1276" w:type="dxa"/>
          </w:tcPr>
          <w:p w:rsidR="003B7E53" w:rsidRDefault="003B7E53">
            <w:pPr>
              <w:rPr>
                <w:rFonts w:cs="Arial"/>
                <w:b/>
                <w:sz w:val="18"/>
                <w:szCs w:val="18"/>
                <w:lang w:val="en-GB"/>
              </w:rPr>
            </w:pPr>
          </w:p>
        </w:tc>
        <w:tc>
          <w:tcPr>
            <w:tcW w:w="1134" w:type="dxa"/>
          </w:tcPr>
          <w:p w:rsidR="003B7E53" w:rsidRDefault="003B7E53">
            <w:pPr>
              <w:rPr>
                <w:rFonts w:cs="Arial"/>
                <w:sz w:val="18"/>
                <w:szCs w:val="18"/>
                <w:lang w:val="en-GB"/>
              </w:rPr>
            </w:pPr>
          </w:p>
        </w:tc>
        <w:tc>
          <w:tcPr>
            <w:tcW w:w="1137" w:type="dxa"/>
          </w:tcPr>
          <w:p w:rsidR="003B7E53" w:rsidRDefault="003B7E53">
            <w:pPr>
              <w:rPr>
                <w:rFonts w:cs="Arial"/>
                <w:sz w:val="18"/>
                <w:szCs w:val="18"/>
                <w:lang w:val="en-GB"/>
              </w:rPr>
            </w:pPr>
          </w:p>
        </w:tc>
      </w:tr>
      <w:tr w:rsidR="003B7E53" w:rsidTr="003B7E53">
        <w:tc>
          <w:tcPr>
            <w:tcW w:w="250" w:type="dxa"/>
          </w:tcPr>
          <w:p w:rsidR="003B7E53" w:rsidRDefault="003B7E53">
            <w:pPr>
              <w:rPr>
                <w:rFonts w:cs="Arial"/>
                <w:sz w:val="18"/>
                <w:szCs w:val="18"/>
                <w:lang w:val="en-GB"/>
              </w:rPr>
            </w:pPr>
          </w:p>
        </w:tc>
        <w:tc>
          <w:tcPr>
            <w:tcW w:w="2551" w:type="dxa"/>
            <w:gridSpan w:val="2"/>
            <w:hideMark/>
          </w:tcPr>
          <w:p w:rsidR="003B7E53" w:rsidRDefault="003B7E53">
            <w:pPr>
              <w:rPr>
                <w:rFonts w:cs="Arial"/>
                <w:sz w:val="18"/>
                <w:szCs w:val="18"/>
                <w:lang w:val="en-GB"/>
              </w:rPr>
            </w:pPr>
            <w:r>
              <w:rPr>
                <w:rFonts w:cs="Arial"/>
                <w:sz w:val="18"/>
                <w:szCs w:val="18"/>
                <w:lang w:val="en-GB"/>
              </w:rPr>
              <w:t>Female</w:t>
            </w:r>
          </w:p>
        </w:tc>
        <w:tc>
          <w:tcPr>
            <w:tcW w:w="1276" w:type="dxa"/>
            <w:hideMark/>
          </w:tcPr>
          <w:p w:rsidR="003B7E53" w:rsidRDefault="003B7E53">
            <w:pPr>
              <w:rPr>
                <w:rFonts w:cs="Arial"/>
                <w:b/>
                <w:sz w:val="18"/>
                <w:szCs w:val="18"/>
                <w:lang w:val="en-GB"/>
              </w:rPr>
            </w:pPr>
            <w:r>
              <w:rPr>
                <w:rFonts w:cs="Arial"/>
                <w:b/>
                <w:sz w:val="18"/>
                <w:szCs w:val="18"/>
                <w:lang w:val="en-GB"/>
              </w:rPr>
              <w:t>172 (45)</w:t>
            </w:r>
          </w:p>
        </w:tc>
        <w:tc>
          <w:tcPr>
            <w:tcW w:w="1134" w:type="dxa"/>
            <w:hideMark/>
          </w:tcPr>
          <w:p w:rsidR="003B7E53" w:rsidRDefault="003B7E53">
            <w:pPr>
              <w:rPr>
                <w:rFonts w:cs="Arial"/>
                <w:sz w:val="18"/>
                <w:szCs w:val="18"/>
                <w:lang w:val="en-GB"/>
              </w:rPr>
            </w:pPr>
            <w:r>
              <w:rPr>
                <w:rFonts w:cs="Arial"/>
                <w:sz w:val="18"/>
                <w:szCs w:val="18"/>
                <w:lang w:val="en-GB"/>
              </w:rPr>
              <w:t>28 (36)</w:t>
            </w:r>
          </w:p>
        </w:tc>
        <w:tc>
          <w:tcPr>
            <w:tcW w:w="1137" w:type="dxa"/>
            <w:hideMark/>
          </w:tcPr>
          <w:p w:rsidR="003B7E53" w:rsidRDefault="003B7E53">
            <w:pPr>
              <w:rPr>
                <w:rFonts w:cs="Arial"/>
                <w:sz w:val="18"/>
                <w:szCs w:val="18"/>
                <w:lang w:val="en-GB"/>
              </w:rPr>
            </w:pPr>
            <w:r>
              <w:rPr>
                <w:rFonts w:cs="Arial"/>
                <w:sz w:val="18"/>
                <w:szCs w:val="18"/>
                <w:lang w:val="en-GB"/>
              </w:rPr>
              <w:t>144 (47)</w:t>
            </w:r>
          </w:p>
        </w:tc>
      </w:tr>
      <w:tr w:rsidR="003B7E53" w:rsidTr="003B7E53">
        <w:tc>
          <w:tcPr>
            <w:tcW w:w="250" w:type="dxa"/>
          </w:tcPr>
          <w:p w:rsidR="003B7E53" w:rsidRDefault="003B7E53">
            <w:pPr>
              <w:rPr>
                <w:rFonts w:cs="Arial"/>
                <w:sz w:val="18"/>
                <w:szCs w:val="18"/>
                <w:lang w:val="en-GB"/>
              </w:rPr>
            </w:pPr>
          </w:p>
        </w:tc>
        <w:tc>
          <w:tcPr>
            <w:tcW w:w="2551" w:type="dxa"/>
            <w:gridSpan w:val="2"/>
            <w:hideMark/>
          </w:tcPr>
          <w:p w:rsidR="003B7E53" w:rsidRDefault="003B7E53">
            <w:pPr>
              <w:rPr>
                <w:rFonts w:cs="Arial"/>
                <w:sz w:val="18"/>
                <w:szCs w:val="18"/>
                <w:lang w:val="en-GB"/>
              </w:rPr>
            </w:pPr>
            <w:r>
              <w:rPr>
                <w:rFonts w:cs="Arial"/>
                <w:sz w:val="18"/>
                <w:szCs w:val="18"/>
                <w:lang w:val="en-GB"/>
              </w:rPr>
              <w:t>Male</w:t>
            </w:r>
          </w:p>
        </w:tc>
        <w:tc>
          <w:tcPr>
            <w:tcW w:w="1276" w:type="dxa"/>
            <w:hideMark/>
          </w:tcPr>
          <w:p w:rsidR="003B7E53" w:rsidRDefault="003B7E53">
            <w:pPr>
              <w:rPr>
                <w:rFonts w:cs="Arial"/>
                <w:b/>
                <w:sz w:val="18"/>
                <w:szCs w:val="18"/>
                <w:lang w:val="en-GB"/>
              </w:rPr>
            </w:pPr>
            <w:r>
              <w:rPr>
                <w:rFonts w:cs="Arial"/>
                <w:b/>
                <w:sz w:val="18"/>
                <w:szCs w:val="18"/>
                <w:lang w:val="en-GB"/>
              </w:rPr>
              <w:t>214 (55)</w:t>
            </w:r>
          </w:p>
        </w:tc>
        <w:tc>
          <w:tcPr>
            <w:tcW w:w="1134" w:type="dxa"/>
            <w:hideMark/>
          </w:tcPr>
          <w:p w:rsidR="003B7E53" w:rsidRDefault="003B7E53">
            <w:pPr>
              <w:rPr>
                <w:rFonts w:cs="Arial"/>
                <w:sz w:val="18"/>
                <w:szCs w:val="18"/>
                <w:lang w:val="en-GB"/>
              </w:rPr>
            </w:pPr>
            <w:r>
              <w:rPr>
                <w:rFonts w:cs="Arial"/>
                <w:sz w:val="18"/>
                <w:szCs w:val="18"/>
                <w:lang w:val="en-GB"/>
              </w:rPr>
              <w:t>50 (64)</w:t>
            </w:r>
          </w:p>
        </w:tc>
        <w:tc>
          <w:tcPr>
            <w:tcW w:w="1137" w:type="dxa"/>
            <w:hideMark/>
          </w:tcPr>
          <w:p w:rsidR="003B7E53" w:rsidRDefault="003B7E53">
            <w:pPr>
              <w:rPr>
                <w:rFonts w:cs="Arial"/>
                <w:sz w:val="18"/>
                <w:szCs w:val="18"/>
                <w:lang w:val="en-GB"/>
              </w:rPr>
            </w:pPr>
            <w:r>
              <w:rPr>
                <w:rFonts w:cs="Arial"/>
                <w:sz w:val="18"/>
                <w:szCs w:val="18"/>
                <w:lang w:val="en-GB"/>
              </w:rPr>
              <w:t>164 (53)</w:t>
            </w:r>
          </w:p>
        </w:tc>
      </w:tr>
      <w:tr w:rsidR="003B7E53" w:rsidTr="003B7E53">
        <w:tc>
          <w:tcPr>
            <w:tcW w:w="2801" w:type="dxa"/>
            <w:gridSpan w:val="3"/>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Education n (%)</w:t>
            </w:r>
          </w:p>
        </w:tc>
        <w:tc>
          <w:tcPr>
            <w:tcW w:w="1276" w:type="dxa"/>
            <w:shd w:val="clear" w:color="auto" w:fill="BFBFBF" w:themeFill="background1" w:themeFillShade="BF"/>
          </w:tcPr>
          <w:p w:rsidR="003B7E53" w:rsidRDefault="003B7E53">
            <w:pPr>
              <w:rPr>
                <w:rFonts w:cs="Arial"/>
                <w:b/>
                <w:sz w:val="18"/>
                <w:szCs w:val="18"/>
                <w:lang w:val="en-GB"/>
              </w:rPr>
            </w:pPr>
          </w:p>
        </w:tc>
        <w:tc>
          <w:tcPr>
            <w:tcW w:w="1134" w:type="dxa"/>
            <w:shd w:val="clear" w:color="auto" w:fill="BFBFBF" w:themeFill="background1" w:themeFillShade="BF"/>
          </w:tcPr>
          <w:p w:rsidR="003B7E53" w:rsidRDefault="003B7E53">
            <w:pPr>
              <w:rPr>
                <w:rFonts w:cs="Arial"/>
                <w:sz w:val="18"/>
                <w:szCs w:val="18"/>
                <w:lang w:val="en-GB"/>
              </w:rPr>
            </w:pPr>
          </w:p>
        </w:tc>
        <w:tc>
          <w:tcPr>
            <w:tcW w:w="1137" w:type="dxa"/>
            <w:shd w:val="clear" w:color="auto" w:fill="BFBFBF" w:themeFill="background1" w:themeFillShade="BF"/>
          </w:tcPr>
          <w:p w:rsidR="003B7E53" w:rsidRDefault="003B7E53">
            <w:pPr>
              <w:rPr>
                <w:rFonts w:cs="Arial"/>
                <w:sz w:val="18"/>
                <w:szCs w:val="18"/>
                <w:lang w:val="en-GB"/>
              </w:rPr>
            </w:pP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 9 years</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81 (21)</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20 (26)</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61 (20)</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10-12 years</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167 (44)</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40 (52)</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127 (42)</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Higher degree ≤ 4 years</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73 (19)</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9 (12)</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64 (21)</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Higher degree &gt; 4 years</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58 (15)</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8 (10)</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50 (17)</w:t>
            </w:r>
          </w:p>
        </w:tc>
      </w:tr>
      <w:tr w:rsidR="003B7E53" w:rsidTr="003B7E53">
        <w:tc>
          <w:tcPr>
            <w:tcW w:w="2801" w:type="dxa"/>
            <w:gridSpan w:val="3"/>
            <w:shd w:val="clear" w:color="auto" w:fill="FFFFFF" w:themeFill="background1"/>
            <w:hideMark/>
          </w:tcPr>
          <w:p w:rsidR="003B7E53" w:rsidRDefault="003B7E53">
            <w:pPr>
              <w:rPr>
                <w:rFonts w:cs="Arial"/>
                <w:b/>
                <w:sz w:val="18"/>
                <w:szCs w:val="18"/>
                <w:lang w:val="en-GB"/>
              </w:rPr>
            </w:pPr>
            <w:r>
              <w:rPr>
                <w:rFonts w:cs="Arial"/>
                <w:b/>
                <w:sz w:val="18"/>
                <w:szCs w:val="18"/>
                <w:lang w:val="en-GB"/>
              </w:rPr>
              <w:t>Cancer type n (%)</w:t>
            </w:r>
          </w:p>
        </w:tc>
        <w:tc>
          <w:tcPr>
            <w:tcW w:w="1276" w:type="dxa"/>
            <w:shd w:val="clear" w:color="auto" w:fill="FFFFFF" w:themeFill="background1"/>
          </w:tcPr>
          <w:p w:rsidR="003B7E53" w:rsidRDefault="003B7E53">
            <w:pPr>
              <w:rPr>
                <w:rFonts w:cs="Arial"/>
                <w:b/>
                <w:sz w:val="18"/>
                <w:szCs w:val="18"/>
                <w:lang w:val="en-GB"/>
              </w:rPr>
            </w:pPr>
          </w:p>
        </w:tc>
        <w:tc>
          <w:tcPr>
            <w:tcW w:w="1134" w:type="dxa"/>
            <w:shd w:val="clear" w:color="auto" w:fill="FFFFFF" w:themeFill="background1"/>
          </w:tcPr>
          <w:p w:rsidR="003B7E53" w:rsidRDefault="003B7E53">
            <w:pPr>
              <w:rPr>
                <w:rFonts w:cs="Arial"/>
                <w:sz w:val="18"/>
                <w:szCs w:val="18"/>
                <w:lang w:val="en-GB"/>
              </w:rPr>
            </w:pPr>
          </w:p>
        </w:tc>
        <w:tc>
          <w:tcPr>
            <w:tcW w:w="1137" w:type="dxa"/>
            <w:shd w:val="clear" w:color="auto" w:fill="FFFFFF" w:themeFill="background1"/>
          </w:tcPr>
          <w:p w:rsidR="003B7E53" w:rsidRDefault="003B7E53">
            <w:pPr>
              <w:rPr>
                <w:rFonts w:cs="Arial"/>
                <w:sz w:val="18"/>
                <w:szCs w:val="18"/>
                <w:lang w:val="en-GB"/>
              </w:rPr>
            </w:pP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Gastrointestinal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85 (22)</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21 (27)</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64 (21)</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Colorectal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46 (12)</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11 (14)</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35 (11)</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Pancreatic</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14 (4)</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3 (4)</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11 (4)</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Gastric</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9 (2)</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2 (3)</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7 (2)</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Other gastrointestinal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16 (4)</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5 (6)</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11 (4)</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Urological/male genitalia</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79  (20)</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15 (19)</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64 (21)</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Prostate</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52 (13)</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6 (8)</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46 (15)</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Renal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12 (3)</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6 (8)</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 (2)</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Testicular</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7 (2)</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 (1)</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 (2)</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Other urological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8 (2)</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2 (3)</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 (2)</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Haematological</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68 (18)</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16 (21)</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52 (17)</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Lymphoma</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63 (16)</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11 (14)</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52 (17)</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Multiple myeloma</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2 (1)</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2 (3)</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567" w:type="dxa"/>
            <w:shd w:val="clear" w:color="auto" w:fill="FFFFFF" w:themeFill="background1"/>
          </w:tcPr>
          <w:p w:rsidR="003B7E53" w:rsidRDefault="003B7E53">
            <w:pPr>
              <w:rPr>
                <w:rFonts w:cs="Arial"/>
                <w:sz w:val="18"/>
                <w:szCs w:val="18"/>
                <w:lang w:val="en-GB"/>
              </w:rPr>
            </w:pPr>
          </w:p>
        </w:tc>
        <w:tc>
          <w:tcPr>
            <w:tcW w:w="1984" w:type="dxa"/>
            <w:shd w:val="clear" w:color="auto" w:fill="FFFFFF" w:themeFill="background1"/>
            <w:hideMark/>
          </w:tcPr>
          <w:p w:rsidR="003B7E53" w:rsidRDefault="003B7E53">
            <w:pPr>
              <w:rPr>
                <w:rFonts w:cs="Arial"/>
                <w:sz w:val="18"/>
                <w:szCs w:val="18"/>
                <w:lang w:val="en-GB"/>
              </w:rPr>
            </w:pPr>
            <w:r>
              <w:rPr>
                <w:rFonts w:cs="Arial"/>
                <w:sz w:val="18"/>
                <w:szCs w:val="18"/>
                <w:lang w:val="en-GB"/>
              </w:rPr>
              <w:t>Leukaemia</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3 (1)</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3 (4)</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Lung</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26 (7)</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12 (15)</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14 (5)</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Breast</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76 (20)</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 (1)</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75 (24)</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Other</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52 (13)</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13 (17)</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39 (13)</w:t>
            </w:r>
          </w:p>
        </w:tc>
      </w:tr>
      <w:tr w:rsidR="003B7E53" w:rsidTr="003B7E53">
        <w:tc>
          <w:tcPr>
            <w:tcW w:w="2801" w:type="dxa"/>
            <w:gridSpan w:val="3"/>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Cancer stage n (%)</w:t>
            </w:r>
          </w:p>
        </w:tc>
        <w:tc>
          <w:tcPr>
            <w:tcW w:w="1276" w:type="dxa"/>
            <w:shd w:val="clear" w:color="auto" w:fill="BFBFBF" w:themeFill="background1" w:themeFillShade="BF"/>
          </w:tcPr>
          <w:p w:rsidR="003B7E53" w:rsidRDefault="003B7E53">
            <w:pPr>
              <w:rPr>
                <w:rFonts w:cs="Arial"/>
                <w:b/>
                <w:sz w:val="18"/>
                <w:szCs w:val="18"/>
                <w:lang w:val="en-GB"/>
              </w:rPr>
            </w:pPr>
          </w:p>
        </w:tc>
        <w:tc>
          <w:tcPr>
            <w:tcW w:w="1134" w:type="dxa"/>
            <w:shd w:val="clear" w:color="auto" w:fill="BFBFBF" w:themeFill="background1" w:themeFillShade="BF"/>
          </w:tcPr>
          <w:p w:rsidR="003B7E53" w:rsidRDefault="003B7E53">
            <w:pPr>
              <w:rPr>
                <w:rFonts w:cs="Arial"/>
                <w:sz w:val="18"/>
                <w:szCs w:val="18"/>
                <w:lang w:val="en-GB"/>
              </w:rPr>
            </w:pPr>
          </w:p>
        </w:tc>
        <w:tc>
          <w:tcPr>
            <w:tcW w:w="1137" w:type="dxa"/>
            <w:shd w:val="clear" w:color="auto" w:fill="BFBFBF" w:themeFill="background1" w:themeFillShade="BF"/>
          </w:tcPr>
          <w:p w:rsidR="003B7E53" w:rsidRDefault="003B7E53">
            <w:pPr>
              <w:rPr>
                <w:rFonts w:cs="Arial"/>
                <w:sz w:val="18"/>
                <w:szCs w:val="18"/>
                <w:lang w:val="en-GB"/>
              </w:rPr>
            </w:pP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Local/locally advanced</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186 (48)</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40 (51)</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146 (47)</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Metastatic</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200 (52)</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38 (49)</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162 (53)</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Bone</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63 (16)</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15 (19)</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48 (16)</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Lung</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47 (12)</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12 (15)</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35 (11)</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Liver</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61 (16)</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14 (18)</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47 (15)</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Brain</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10 (3)</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2 (3)</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8 (3)</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Lymph nodes</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93 (24)</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18 (23)</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75 (24)</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567" w:type="dxa"/>
            <w:shd w:val="clear" w:color="auto" w:fill="BFBFBF" w:themeFill="background1" w:themeFillShade="BF"/>
          </w:tcPr>
          <w:p w:rsidR="003B7E53" w:rsidRDefault="003B7E53">
            <w:pPr>
              <w:rPr>
                <w:rFonts w:cs="Arial"/>
                <w:sz w:val="18"/>
                <w:szCs w:val="18"/>
                <w:lang w:val="en-GB"/>
              </w:rPr>
            </w:pPr>
          </w:p>
        </w:tc>
        <w:tc>
          <w:tcPr>
            <w:tcW w:w="198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Other</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45 (12)</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10 (13)</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35 (11)</w:t>
            </w:r>
          </w:p>
        </w:tc>
      </w:tr>
      <w:tr w:rsidR="003B7E53" w:rsidTr="003B7E53">
        <w:tc>
          <w:tcPr>
            <w:tcW w:w="2801" w:type="dxa"/>
            <w:gridSpan w:val="3"/>
            <w:shd w:val="clear" w:color="auto" w:fill="FFFFFF" w:themeFill="background1"/>
            <w:hideMark/>
          </w:tcPr>
          <w:p w:rsidR="003B7E53" w:rsidRDefault="003B7E53">
            <w:pPr>
              <w:rPr>
                <w:rFonts w:cs="Arial"/>
                <w:b/>
                <w:sz w:val="18"/>
                <w:szCs w:val="18"/>
                <w:lang w:val="en-GB"/>
              </w:rPr>
            </w:pPr>
            <w:r>
              <w:rPr>
                <w:rFonts w:cs="Arial"/>
                <w:b/>
                <w:sz w:val="18"/>
                <w:szCs w:val="18"/>
                <w:lang w:val="en-GB"/>
              </w:rPr>
              <w:t>Treatment intent n (%)</w:t>
            </w:r>
          </w:p>
        </w:tc>
        <w:tc>
          <w:tcPr>
            <w:tcW w:w="1276" w:type="dxa"/>
            <w:shd w:val="clear" w:color="auto" w:fill="FFFFFF" w:themeFill="background1"/>
          </w:tcPr>
          <w:p w:rsidR="003B7E53" w:rsidRDefault="003B7E53">
            <w:pPr>
              <w:rPr>
                <w:rFonts w:cs="Arial"/>
                <w:b/>
                <w:sz w:val="18"/>
                <w:szCs w:val="18"/>
                <w:lang w:val="en-GB"/>
              </w:rPr>
            </w:pPr>
          </w:p>
        </w:tc>
        <w:tc>
          <w:tcPr>
            <w:tcW w:w="1134" w:type="dxa"/>
            <w:shd w:val="clear" w:color="auto" w:fill="FFFFFF" w:themeFill="background1"/>
          </w:tcPr>
          <w:p w:rsidR="003B7E53" w:rsidRDefault="003B7E53">
            <w:pPr>
              <w:rPr>
                <w:rFonts w:cs="Arial"/>
                <w:sz w:val="18"/>
                <w:szCs w:val="18"/>
                <w:lang w:val="en-GB"/>
              </w:rPr>
            </w:pPr>
          </w:p>
        </w:tc>
        <w:tc>
          <w:tcPr>
            <w:tcW w:w="1137" w:type="dxa"/>
            <w:shd w:val="clear" w:color="auto" w:fill="FFFFFF" w:themeFill="background1"/>
          </w:tcPr>
          <w:p w:rsidR="003B7E53" w:rsidRDefault="003B7E53">
            <w:pPr>
              <w:rPr>
                <w:rFonts w:cs="Arial"/>
                <w:sz w:val="18"/>
                <w:szCs w:val="18"/>
                <w:lang w:val="en-GB"/>
              </w:rPr>
            </w:pP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vertAlign w:val="superscript"/>
                <w:lang w:val="en-GB"/>
              </w:rPr>
            </w:pPr>
            <w:proofErr w:type="spellStart"/>
            <w:r>
              <w:rPr>
                <w:rFonts w:cs="Arial"/>
                <w:sz w:val="18"/>
                <w:szCs w:val="18"/>
                <w:lang w:val="en-GB"/>
              </w:rPr>
              <w:t>Curative</w:t>
            </w:r>
            <w:r>
              <w:rPr>
                <w:rFonts w:cs="Arial"/>
                <w:sz w:val="18"/>
                <w:szCs w:val="18"/>
                <w:vertAlign w:val="superscript"/>
                <w:lang w:val="en-GB"/>
              </w:rPr>
              <w:t>a</w:t>
            </w:r>
            <w:proofErr w:type="spellEnd"/>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178 (46)</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40 (51)</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138 (45)</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Palliative</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208 (54)</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38 (49)</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170 (55)</w:t>
            </w:r>
          </w:p>
        </w:tc>
      </w:tr>
      <w:tr w:rsidR="003B7E53" w:rsidTr="003B7E53">
        <w:tc>
          <w:tcPr>
            <w:tcW w:w="2801" w:type="dxa"/>
            <w:gridSpan w:val="3"/>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Current treatment n (%)</w:t>
            </w:r>
          </w:p>
        </w:tc>
        <w:tc>
          <w:tcPr>
            <w:tcW w:w="1276" w:type="dxa"/>
            <w:shd w:val="clear" w:color="auto" w:fill="BFBFBF" w:themeFill="background1" w:themeFillShade="BF"/>
          </w:tcPr>
          <w:p w:rsidR="003B7E53" w:rsidRDefault="003B7E53">
            <w:pPr>
              <w:rPr>
                <w:rFonts w:cs="Arial"/>
                <w:b/>
                <w:sz w:val="18"/>
                <w:szCs w:val="18"/>
                <w:lang w:val="en-GB"/>
              </w:rPr>
            </w:pPr>
          </w:p>
        </w:tc>
        <w:tc>
          <w:tcPr>
            <w:tcW w:w="1134" w:type="dxa"/>
            <w:shd w:val="clear" w:color="auto" w:fill="BFBFBF" w:themeFill="background1" w:themeFillShade="BF"/>
          </w:tcPr>
          <w:p w:rsidR="003B7E53" w:rsidRDefault="003B7E53">
            <w:pPr>
              <w:rPr>
                <w:rFonts w:cs="Arial"/>
                <w:sz w:val="18"/>
                <w:szCs w:val="18"/>
                <w:lang w:val="en-GB"/>
              </w:rPr>
            </w:pPr>
          </w:p>
        </w:tc>
        <w:tc>
          <w:tcPr>
            <w:tcW w:w="1137" w:type="dxa"/>
            <w:shd w:val="clear" w:color="auto" w:fill="BFBFBF" w:themeFill="background1" w:themeFillShade="BF"/>
          </w:tcPr>
          <w:p w:rsidR="003B7E53" w:rsidRDefault="003B7E53">
            <w:pPr>
              <w:rPr>
                <w:rFonts w:cs="Arial"/>
                <w:sz w:val="18"/>
                <w:szCs w:val="18"/>
                <w:lang w:val="en-GB"/>
              </w:rPr>
            </w:pP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vertAlign w:val="superscript"/>
                <w:lang w:val="en-GB"/>
              </w:rPr>
            </w:pPr>
            <w:r>
              <w:rPr>
                <w:rFonts w:cs="Arial"/>
                <w:sz w:val="18"/>
                <w:szCs w:val="18"/>
                <w:lang w:val="en-GB"/>
              </w:rPr>
              <w:t xml:space="preserve">Chemotherapy/Targeted </w:t>
            </w:r>
            <w:proofErr w:type="spellStart"/>
            <w:r>
              <w:rPr>
                <w:rFonts w:cs="Arial"/>
                <w:sz w:val="18"/>
                <w:szCs w:val="18"/>
                <w:lang w:val="en-GB"/>
              </w:rPr>
              <w:t>therapy</w:t>
            </w:r>
            <w:r>
              <w:rPr>
                <w:rFonts w:cs="Arial"/>
                <w:sz w:val="18"/>
                <w:szCs w:val="18"/>
                <w:vertAlign w:val="superscript"/>
                <w:lang w:val="en-GB"/>
              </w:rPr>
              <w:t>b</w:t>
            </w:r>
            <w:proofErr w:type="spellEnd"/>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171 (44)</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30 (38)</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141 (46)</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vertAlign w:val="superscript"/>
                <w:lang w:val="en-GB"/>
              </w:rPr>
            </w:pPr>
            <w:proofErr w:type="spellStart"/>
            <w:r>
              <w:rPr>
                <w:rFonts w:cs="Arial"/>
                <w:sz w:val="18"/>
                <w:szCs w:val="18"/>
                <w:lang w:val="en-GB"/>
              </w:rPr>
              <w:t>Radiotherapy</w:t>
            </w:r>
            <w:r>
              <w:rPr>
                <w:rFonts w:cs="Arial"/>
                <w:sz w:val="18"/>
                <w:szCs w:val="18"/>
                <w:vertAlign w:val="superscript"/>
                <w:lang w:val="en-GB"/>
              </w:rPr>
              <w:t>c</w:t>
            </w:r>
            <w:proofErr w:type="spellEnd"/>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53 (14)</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7 (9)</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46 (15)</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Other</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46 (12)</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7 (9)</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39 (13)</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No treatment</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116 (30)</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34 (44)</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82 (27)</w:t>
            </w:r>
          </w:p>
        </w:tc>
      </w:tr>
      <w:tr w:rsidR="003B7E53" w:rsidTr="003B7E53">
        <w:tc>
          <w:tcPr>
            <w:tcW w:w="2801" w:type="dxa"/>
            <w:gridSpan w:val="3"/>
            <w:shd w:val="clear" w:color="auto" w:fill="FFFFFF" w:themeFill="background1"/>
            <w:hideMark/>
          </w:tcPr>
          <w:p w:rsidR="003B7E53" w:rsidRDefault="003B7E53">
            <w:pPr>
              <w:rPr>
                <w:rFonts w:cs="Arial"/>
                <w:b/>
                <w:sz w:val="18"/>
                <w:szCs w:val="18"/>
                <w:lang w:val="en-GB"/>
              </w:rPr>
            </w:pPr>
            <w:r>
              <w:rPr>
                <w:rFonts w:cs="Arial"/>
                <w:b/>
                <w:sz w:val="18"/>
                <w:szCs w:val="18"/>
                <w:lang w:val="en-GB"/>
              </w:rPr>
              <w:t>Performance status n (%)</w:t>
            </w:r>
          </w:p>
        </w:tc>
        <w:tc>
          <w:tcPr>
            <w:tcW w:w="1276" w:type="dxa"/>
            <w:shd w:val="clear" w:color="auto" w:fill="FFFFFF" w:themeFill="background1"/>
          </w:tcPr>
          <w:p w:rsidR="003B7E53" w:rsidRDefault="003B7E53">
            <w:pPr>
              <w:rPr>
                <w:rFonts w:cs="Arial"/>
                <w:b/>
                <w:sz w:val="18"/>
                <w:szCs w:val="18"/>
                <w:lang w:val="en-GB"/>
              </w:rPr>
            </w:pPr>
          </w:p>
        </w:tc>
        <w:tc>
          <w:tcPr>
            <w:tcW w:w="1134" w:type="dxa"/>
            <w:shd w:val="clear" w:color="auto" w:fill="FFFFFF" w:themeFill="background1"/>
          </w:tcPr>
          <w:p w:rsidR="003B7E53" w:rsidRDefault="003B7E53">
            <w:pPr>
              <w:rPr>
                <w:rFonts w:cs="Arial"/>
                <w:sz w:val="18"/>
                <w:szCs w:val="18"/>
                <w:lang w:val="en-GB"/>
              </w:rPr>
            </w:pPr>
          </w:p>
        </w:tc>
        <w:tc>
          <w:tcPr>
            <w:tcW w:w="1137" w:type="dxa"/>
            <w:shd w:val="clear" w:color="auto" w:fill="FFFFFF" w:themeFill="background1"/>
          </w:tcPr>
          <w:p w:rsidR="003B7E53" w:rsidRDefault="003B7E53">
            <w:pPr>
              <w:rPr>
                <w:rFonts w:cs="Arial"/>
                <w:sz w:val="18"/>
                <w:szCs w:val="18"/>
                <w:lang w:val="en-GB"/>
              </w:rPr>
            </w:pP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ECOG PS 0-1</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302 (78)</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39 (50)</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263 (85)</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ECOG PS 2</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62 (16)</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23 (29)</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39 (13)</w:t>
            </w:r>
          </w:p>
        </w:tc>
      </w:tr>
      <w:tr w:rsidR="003B7E53" w:rsidTr="003B7E53">
        <w:tc>
          <w:tcPr>
            <w:tcW w:w="250" w:type="dxa"/>
            <w:shd w:val="clear" w:color="auto" w:fill="FFFFFF" w:themeFill="background1"/>
          </w:tcPr>
          <w:p w:rsidR="003B7E53" w:rsidRDefault="003B7E53">
            <w:pPr>
              <w:rPr>
                <w:rFonts w:cs="Arial"/>
                <w:sz w:val="18"/>
                <w:szCs w:val="18"/>
                <w:lang w:val="en-GB"/>
              </w:rPr>
            </w:pPr>
          </w:p>
        </w:tc>
        <w:tc>
          <w:tcPr>
            <w:tcW w:w="2551" w:type="dxa"/>
            <w:gridSpan w:val="2"/>
            <w:shd w:val="clear" w:color="auto" w:fill="FFFFFF" w:themeFill="background1"/>
            <w:hideMark/>
          </w:tcPr>
          <w:p w:rsidR="003B7E53" w:rsidRDefault="003B7E53">
            <w:pPr>
              <w:rPr>
                <w:rFonts w:cs="Arial"/>
                <w:sz w:val="18"/>
                <w:szCs w:val="18"/>
                <w:lang w:val="en-GB"/>
              </w:rPr>
            </w:pPr>
            <w:r>
              <w:rPr>
                <w:rFonts w:cs="Arial"/>
                <w:sz w:val="18"/>
                <w:szCs w:val="18"/>
                <w:lang w:val="en-GB"/>
              </w:rPr>
              <w:t>ECOG PS 3-4</w:t>
            </w:r>
          </w:p>
        </w:tc>
        <w:tc>
          <w:tcPr>
            <w:tcW w:w="1276" w:type="dxa"/>
            <w:shd w:val="clear" w:color="auto" w:fill="FFFFFF" w:themeFill="background1"/>
            <w:hideMark/>
          </w:tcPr>
          <w:p w:rsidR="003B7E53" w:rsidRDefault="003B7E53">
            <w:pPr>
              <w:rPr>
                <w:rFonts w:cs="Arial"/>
                <w:b/>
                <w:sz w:val="18"/>
                <w:szCs w:val="18"/>
                <w:lang w:val="en-GB"/>
              </w:rPr>
            </w:pPr>
            <w:r>
              <w:rPr>
                <w:rFonts w:cs="Arial"/>
                <w:b/>
                <w:sz w:val="18"/>
                <w:szCs w:val="18"/>
                <w:lang w:val="en-GB"/>
              </w:rPr>
              <w:t>22 (6)</w:t>
            </w:r>
          </w:p>
        </w:tc>
        <w:tc>
          <w:tcPr>
            <w:tcW w:w="1134" w:type="dxa"/>
            <w:shd w:val="clear" w:color="auto" w:fill="FFFFFF" w:themeFill="background1"/>
            <w:hideMark/>
          </w:tcPr>
          <w:p w:rsidR="003B7E53" w:rsidRDefault="003B7E53">
            <w:pPr>
              <w:rPr>
                <w:rFonts w:cs="Arial"/>
                <w:sz w:val="18"/>
                <w:szCs w:val="18"/>
                <w:lang w:val="en-GB"/>
              </w:rPr>
            </w:pPr>
            <w:r>
              <w:rPr>
                <w:rFonts w:cs="Arial"/>
                <w:sz w:val="18"/>
                <w:szCs w:val="18"/>
                <w:lang w:val="en-GB"/>
              </w:rPr>
              <w:t>16 (21)</w:t>
            </w:r>
          </w:p>
        </w:tc>
        <w:tc>
          <w:tcPr>
            <w:tcW w:w="1137" w:type="dxa"/>
            <w:shd w:val="clear" w:color="auto" w:fill="FFFFFF" w:themeFill="background1"/>
            <w:hideMark/>
          </w:tcPr>
          <w:p w:rsidR="003B7E53" w:rsidRDefault="003B7E53">
            <w:pPr>
              <w:rPr>
                <w:rFonts w:cs="Arial"/>
                <w:sz w:val="18"/>
                <w:szCs w:val="18"/>
                <w:lang w:val="en-GB"/>
              </w:rPr>
            </w:pPr>
            <w:r>
              <w:rPr>
                <w:rFonts w:cs="Arial"/>
                <w:sz w:val="18"/>
                <w:szCs w:val="18"/>
                <w:lang w:val="en-GB"/>
              </w:rPr>
              <w:t>6 (2)</w:t>
            </w:r>
          </w:p>
        </w:tc>
      </w:tr>
      <w:tr w:rsidR="003B7E53" w:rsidTr="003B7E53">
        <w:tc>
          <w:tcPr>
            <w:tcW w:w="2801" w:type="dxa"/>
            <w:gridSpan w:val="3"/>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Department of care n (%)</w:t>
            </w:r>
          </w:p>
        </w:tc>
        <w:tc>
          <w:tcPr>
            <w:tcW w:w="1276" w:type="dxa"/>
            <w:shd w:val="clear" w:color="auto" w:fill="BFBFBF" w:themeFill="background1" w:themeFillShade="BF"/>
          </w:tcPr>
          <w:p w:rsidR="003B7E53" w:rsidRDefault="003B7E53">
            <w:pPr>
              <w:rPr>
                <w:rFonts w:cs="Arial"/>
                <w:b/>
                <w:sz w:val="18"/>
                <w:szCs w:val="18"/>
                <w:lang w:val="en-GB"/>
              </w:rPr>
            </w:pPr>
          </w:p>
        </w:tc>
        <w:tc>
          <w:tcPr>
            <w:tcW w:w="1134" w:type="dxa"/>
            <w:shd w:val="clear" w:color="auto" w:fill="BFBFBF" w:themeFill="background1" w:themeFillShade="BF"/>
          </w:tcPr>
          <w:p w:rsidR="003B7E53" w:rsidRDefault="003B7E53">
            <w:pPr>
              <w:rPr>
                <w:rFonts w:cs="Arial"/>
                <w:sz w:val="18"/>
                <w:szCs w:val="18"/>
                <w:lang w:val="en-GB"/>
              </w:rPr>
            </w:pPr>
          </w:p>
        </w:tc>
        <w:tc>
          <w:tcPr>
            <w:tcW w:w="1137" w:type="dxa"/>
            <w:shd w:val="clear" w:color="auto" w:fill="BFBFBF" w:themeFill="background1" w:themeFillShade="BF"/>
          </w:tcPr>
          <w:p w:rsidR="003B7E53" w:rsidRDefault="003B7E53">
            <w:pPr>
              <w:rPr>
                <w:rFonts w:cs="Arial"/>
                <w:sz w:val="18"/>
                <w:szCs w:val="18"/>
                <w:lang w:val="en-GB"/>
              </w:rPr>
            </w:pP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Oncology</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330 (85)</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22 (28)</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308 (100)</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Internal medicine</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19 (5)</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19 (24)</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w:t>
            </w:r>
          </w:p>
        </w:tc>
      </w:tr>
      <w:tr w:rsidR="003B7E53" w:rsidTr="003B7E53">
        <w:tc>
          <w:tcPr>
            <w:tcW w:w="250" w:type="dxa"/>
            <w:shd w:val="clear" w:color="auto" w:fill="BFBFBF" w:themeFill="background1" w:themeFillShade="BF"/>
          </w:tcPr>
          <w:p w:rsidR="003B7E53" w:rsidRDefault="003B7E53">
            <w:pPr>
              <w:rPr>
                <w:rFonts w:cs="Arial"/>
                <w:sz w:val="18"/>
                <w:szCs w:val="18"/>
                <w:lang w:val="en-GB"/>
              </w:rPr>
            </w:pPr>
          </w:p>
        </w:tc>
        <w:tc>
          <w:tcPr>
            <w:tcW w:w="2551" w:type="dxa"/>
            <w:gridSpan w:val="2"/>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Surgery</w:t>
            </w:r>
          </w:p>
        </w:tc>
        <w:tc>
          <w:tcPr>
            <w:tcW w:w="1276" w:type="dxa"/>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33 (9)</w:t>
            </w:r>
          </w:p>
        </w:tc>
        <w:tc>
          <w:tcPr>
            <w:tcW w:w="1134"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33 (42)</w:t>
            </w:r>
          </w:p>
        </w:tc>
        <w:tc>
          <w:tcPr>
            <w:tcW w:w="1137" w:type="dxa"/>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w:t>
            </w:r>
          </w:p>
        </w:tc>
      </w:tr>
      <w:tr w:rsidR="003B7E53" w:rsidTr="003B7E53">
        <w:tc>
          <w:tcPr>
            <w:tcW w:w="250" w:type="dxa"/>
            <w:tcBorders>
              <w:top w:val="nil"/>
              <w:left w:val="nil"/>
              <w:bottom w:val="single" w:sz="4" w:space="0" w:color="auto"/>
              <w:right w:val="nil"/>
            </w:tcBorders>
            <w:shd w:val="clear" w:color="auto" w:fill="BFBFBF" w:themeFill="background1" w:themeFillShade="BF"/>
          </w:tcPr>
          <w:p w:rsidR="003B7E53" w:rsidRDefault="003B7E53">
            <w:pPr>
              <w:rPr>
                <w:rFonts w:cs="Arial"/>
                <w:sz w:val="18"/>
                <w:szCs w:val="18"/>
                <w:lang w:val="en-GB"/>
              </w:rPr>
            </w:pPr>
          </w:p>
        </w:tc>
        <w:tc>
          <w:tcPr>
            <w:tcW w:w="2551" w:type="dxa"/>
            <w:gridSpan w:val="2"/>
            <w:tcBorders>
              <w:top w:val="nil"/>
              <w:left w:val="nil"/>
              <w:bottom w:val="single" w:sz="4" w:space="0" w:color="auto"/>
              <w:right w:val="nil"/>
            </w:tcBorders>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Community hospital</w:t>
            </w:r>
          </w:p>
        </w:tc>
        <w:tc>
          <w:tcPr>
            <w:tcW w:w="1276" w:type="dxa"/>
            <w:tcBorders>
              <w:top w:val="nil"/>
              <w:left w:val="nil"/>
              <w:bottom w:val="single" w:sz="4" w:space="0" w:color="auto"/>
              <w:right w:val="nil"/>
            </w:tcBorders>
            <w:shd w:val="clear" w:color="auto" w:fill="BFBFBF" w:themeFill="background1" w:themeFillShade="BF"/>
            <w:hideMark/>
          </w:tcPr>
          <w:p w:rsidR="003B7E53" w:rsidRDefault="003B7E53">
            <w:pPr>
              <w:rPr>
                <w:rFonts w:cs="Arial"/>
                <w:b/>
                <w:sz w:val="18"/>
                <w:szCs w:val="18"/>
                <w:lang w:val="en-GB"/>
              </w:rPr>
            </w:pPr>
            <w:r>
              <w:rPr>
                <w:rFonts w:cs="Arial"/>
                <w:b/>
                <w:sz w:val="18"/>
                <w:szCs w:val="18"/>
                <w:lang w:val="en-GB"/>
              </w:rPr>
              <w:t>4 (1)</w:t>
            </w:r>
          </w:p>
        </w:tc>
        <w:tc>
          <w:tcPr>
            <w:tcW w:w="1134" w:type="dxa"/>
            <w:tcBorders>
              <w:top w:val="nil"/>
              <w:left w:val="nil"/>
              <w:bottom w:val="single" w:sz="4" w:space="0" w:color="auto"/>
              <w:right w:val="nil"/>
            </w:tcBorders>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4 (5)</w:t>
            </w:r>
          </w:p>
        </w:tc>
        <w:tc>
          <w:tcPr>
            <w:tcW w:w="1137" w:type="dxa"/>
            <w:tcBorders>
              <w:top w:val="nil"/>
              <w:left w:val="nil"/>
              <w:bottom w:val="single" w:sz="4" w:space="0" w:color="auto"/>
              <w:right w:val="nil"/>
            </w:tcBorders>
            <w:shd w:val="clear" w:color="auto" w:fill="BFBFBF" w:themeFill="background1" w:themeFillShade="BF"/>
            <w:hideMark/>
          </w:tcPr>
          <w:p w:rsidR="003B7E53" w:rsidRDefault="003B7E53">
            <w:pPr>
              <w:rPr>
                <w:rFonts w:cs="Arial"/>
                <w:sz w:val="18"/>
                <w:szCs w:val="18"/>
                <w:lang w:val="en-GB"/>
              </w:rPr>
            </w:pPr>
            <w:r>
              <w:rPr>
                <w:rFonts w:cs="Arial"/>
                <w:sz w:val="18"/>
                <w:szCs w:val="18"/>
                <w:lang w:val="en-GB"/>
              </w:rPr>
              <w:t>-</w:t>
            </w:r>
          </w:p>
        </w:tc>
      </w:tr>
    </w:tbl>
    <w:p w:rsidR="003B7E53" w:rsidRDefault="003B7E53" w:rsidP="003B7E53">
      <w:pPr>
        <w:spacing w:after="0"/>
        <w:ind w:right="2551"/>
        <w:rPr>
          <w:rFonts w:cs="Arial"/>
          <w:sz w:val="18"/>
          <w:szCs w:val="18"/>
          <w:lang w:val="en-US"/>
        </w:rPr>
      </w:pPr>
      <w:r>
        <w:rPr>
          <w:rFonts w:cs="Arial"/>
          <w:sz w:val="18"/>
          <w:szCs w:val="18"/>
          <w:lang w:val="en-US"/>
        </w:rPr>
        <w:t>Abbreviations: IQR, Interquartile range; ECOG PS, Eastern Cooperative Oncology Group Performance status</w:t>
      </w:r>
    </w:p>
    <w:p w:rsidR="003B7E53" w:rsidRDefault="003B7E53" w:rsidP="003B7E53">
      <w:pPr>
        <w:spacing w:after="0"/>
        <w:ind w:right="2551"/>
        <w:rPr>
          <w:rFonts w:cs="Arial"/>
          <w:sz w:val="18"/>
          <w:szCs w:val="18"/>
          <w:lang w:val="en-US"/>
        </w:rPr>
      </w:pPr>
      <w:proofErr w:type="spellStart"/>
      <w:proofErr w:type="gramStart"/>
      <w:r>
        <w:rPr>
          <w:rFonts w:cs="Arial"/>
          <w:sz w:val="18"/>
          <w:szCs w:val="18"/>
          <w:vertAlign w:val="superscript"/>
          <w:lang w:val="en-US"/>
        </w:rPr>
        <w:t>a</w:t>
      </w:r>
      <w:r>
        <w:rPr>
          <w:rFonts w:cs="Arial"/>
          <w:sz w:val="18"/>
          <w:szCs w:val="18"/>
          <w:lang w:val="en-US"/>
        </w:rPr>
        <w:t>Approximately</w:t>
      </w:r>
      <w:proofErr w:type="spellEnd"/>
      <w:proofErr w:type="gramEnd"/>
      <w:r>
        <w:rPr>
          <w:rFonts w:cs="Arial"/>
          <w:sz w:val="18"/>
          <w:szCs w:val="18"/>
          <w:lang w:val="en-US"/>
        </w:rPr>
        <w:t xml:space="preserve"> one third of gastrointestinal and lung cancers, half of urological, </w:t>
      </w:r>
      <w:proofErr w:type="spellStart"/>
      <w:r>
        <w:rPr>
          <w:rFonts w:cs="Arial"/>
          <w:sz w:val="18"/>
          <w:szCs w:val="18"/>
          <w:lang w:val="en-US"/>
        </w:rPr>
        <w:t>haematological</w:t>
      </w:r>
      <w:proofErr w:type="spellEnd"/>
      <w:r>
        <w:rPr>
          <w:rFonts w:cs="Arial"/>
          <w:sz w:val="18"/>
          <w:szCs w:val="18"/>
          <w:lang w:val="en-US"/>
        </w:rPr>
        <w:t xml:space="preserve"> and other cancers and two thirds of breast cancers. </w:t>
      </w:r>
      <w:proofErr w:type="spellStart"/>
      <w:proofErr w:type="gramStart"/>
      <w:r>
        <w:rPr>
          <w:rFonts w:cs="Arial"/>
          <w:sz w:val="18"/>
          <w:szCs w:val="18"/>
          <w:vertAlign w:val="superscript"/>
          <w:lang w:val="en-US"/>
        </w:rPr>
        <w:t>b</w:t>
      </w:r>
      <w:r>
        <w:rPr>
          <w:rFonts w:cs="Arial"/>
          <w:sz w:val="18"/>
          <w:szCs w:val="18"/>
          <w:lang w:val="en-US"/>
        </w:rPr>
        <w:t>Alone</w:t>
      </w:r>
      <w:proofErr w:type="spellEnd"/>
      <w:proofErr w:type="gramEnd"/>
      <w:r>
        <w:rPr>
          <w:rFonts w:cs="Arial"/>
          <w:sz w:val="18"/>
          <w:szCs w:val="18"/>
          <w:lang w:val="en-US"/>
        </w:rPr>
        <w:t xml:space="preserve"> or in combination with radio-therapy or other treatment.</w:t>
      </w:r>
      <w:r>
        <w:rPr>
          <w:rFonts w:cs="Arial"/>
          <w:sz w:val="18"/>
          <w:szCs w:val="18"/>
          <w:vertAlign w:val="superscript"/>
          <w:lang w:val="en-US"/>
        </w:rPr>
        <w:t xml:space="preserve"> </w:t>
      </w:r>
      <w:proofErr w:type="spellStart"/>
      <w:proofErr w:type="gramStart"/>
      <w:r>
        <w:rPr>
          <w:rFonts w:cs="Arial"/>
          <w:sz w:val="18"/>
          <w:szCs w:val="18"/>
          <w:vertAlign w:val="superscript"/>
          <w:lang w:val="en-US"/>
        </w:rPr>
        <w:t>c</w:t>
      </w:r>
      <w:r>
        <w:rPr>
          <w:rFonts w:cs="Arial"/>
          <w:sz w:val="18"/>
          <w:szCs w:val="18"/>
          <w:lang w:val="en-US"/>
        </w:rPr>
        <w:t>Alone</w:t>
      </w:r>
      <w:proofErr w:type="spellEnd"/>
      <w:proofErr w:type="gramEnd"/>
      <w:r>
        <w:rPr>
          <w:rFonts w:cs="Arial"/>
          <w:sz w:val="18"/>
          <w:szCs w:val="18"/>
          <w:lang w:val="en-US"/>
        </w:rPr>
        <w:t xml:space="preserve"> or in combination with treatment other than chemotherapy or targeted therapy.</w:t>
      </w:r>
    </w:p>
    <w:p w:rsidR="003B7E53" w:rsidRDefault="003B7E53" w:rsidP="003B7E53">
      <w:pPr>
        <w:ind w:right="2551"/>
        <w:rPr>
          <w:rFonts w:cs="Arial"/>
          <w:sz w:val="18"/>
          <w:szCs w:val="18"/>
          <w:lang w:val="en-US"/>
        </w:rPr>
      </w:pPr>
    </w:p>
    <w:p w:rsidR="003B7E53" w:rsidRDefault="003B7E53" w:rsidP="003B7E53">
      <w:pPr>
        <w:rPr>
          <w:rFonts w:cs="Arial"/>
          <w:sz w:val="24"/>
          <w:lang w:val="en-US"/>
        </w:rPr>
      </w:pPr>
    </w:p>
    <w:p w:rsidR="003B7E53" w:rsidRDefault="003B7E53" w:rsidP="003B7E53">
      <w:pPr>
        <w:pStyle w:val="Caption"/>
        <w:keepNext/>
        <w:spacing w:after="0"/>
        <w:ind w:right="708"/>
        <w:rPr>
          <w:rFonts w:cs="Arial"/>
          <w:lang w:val="en-GB"/>
        </w:rPr>
      </w:pPr>
      <w:r>
        <w:rPr>
          <w:rFonts w:cs="Arial"/>
          <w:lang w:val="en-GB"/>
        </w:rPr>
        <w:lastRenderedPageBreak/>
        <w:t>Table 2 Anthropometric and nutritional parameters</w:t>
      </w:r>
    </w:p>
    <w:p w:rsidR="003B7E53" w:rsidRDefault="003B7E53" w:rsidP="003B7E53">
      <w:pPr>
        <w:spacing w:after="0"/>
        <w:rPr>
          <w:rFonts w:eastAsia="Times New Roman" w:cs="Arial"/>
          <w:lang w:val="en-GB" w:eastAsia="nb-NO"/>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276"/>
        <w:gridCol w:w="1316"/>
        <w:gridCol w:w="1316"/>
        <w:gridCol w:w="1316"/>
      </w:tblGrid>
      <w:tr w:rsidR="003B7E53" w:rsidTr="003B7E53">
        <w:trPr>
          <w:trHeight w:val="210"/>
        </w:trPr>
        <w:tc>
          <w:tcPr>
            <w:tcW w:w="2668" w:type="dxa"/>
            <w:gridSpan w:val="2"/>
            <w:tcBorders>
              <w:top w:val="single" w:sz="4" w:space="0" w:color="auto"/>
              <w:left w:val="nil"/>
              <w:bottom w:val="single" w:sz="4" w:space="0" w:color="auto"/>
              <w:right w:val="nil"/>
            </w:tcBorders>
            <w:shd w:val="clear" w:color="auto" w:fill="A6A6A6" w:themeFill="background1" w:themeFillShade="A6"/>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 xml:space="preserve"> </w:t>
            </w:r>
          </w:p>
        </w:tc>
        <w:tc>
          <w:tcPr>
            <w:tcW w:w="1316" w:type="dxa"/>
            <w:tcBorders>
              <w:top w:val="single" w:sz="4" w:space="0" w:color="auto"/>
              <w:left w:val="nil"/>
              <w:bottom w:val="single" w:sz="4" w:space="0" w:color="auto"/>
              <w:right w:val="nil"/>
            </w:tcBorders>
            <w:shd w:val="clear" w:color="auto" w:fill="A6A6A6" w:themeFill="background1" w:themeFillShade="A6"/>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All patients</w:t>
            </w:r>
          </w:p>
        </w:tc>
        <w:tc>
          <w:tcPr>
            <w:tcW w:w="1316" w:type="dxa"/>
            <w:tcBorders>
              <w:top w:val="single" w:sz="4" w:space="0" w:color="auto"/>
              <w:left w:val="nil"/>
              <w:bottom w:val="single" w:sz="4" w:space="0" w:color="auto"/>
              <w:right w:val="nil"/>
            </w:tcBorders>
            <w:shd w:val="clear" w:color="auto" w:fill="A6A6A6" w:themeFill="background1" w:themeFillShade="A6"/>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Inpatients</w:t>
            </w:r>
          </w:p>
        </w:tc>
        <w:tc>
          <w:tcPr>
            <w:tcW w:w="1316" w:type="dxa"/>
            <w:tcBorders>
              <w:top w:val="single" w:sz="4" w:space="0" w:color="auto"/>
              <w:left w:val="nil"/>
              <w:bottom w:val="single" w:sz="4" w:space="0" w:color="auto"/>
              <w:right w:val="nil"/>
            </w:tcBorders>
            <w:shd w:val="clear" w:color="auto" w:fill="A6A6A6" w:themeFill="background1" w:themeFillShade="A6"/>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Outpatients</w:t>
            </w:r>
          </w:p>
        </w:tc>
      </w:tr>
      <w:tr w:rsidR="003B7E53" w:rsidTr="003B7E53">
        <w:trPr>
          <w:trHeight w:val="210"/>
        </w:trPr>
        <w:tc>
          <w:tcPr>
            <w:tcW w:w="2668" w:type="dxa"/>
            <w:gridSpan w:val="2"/>
            <w:tcBorders>
              <w:top w:val="single" w:sz="4" w:space="0" w:color="auto"/>
              <w:left w:val="nil"/>
              <w:bottom w:val="nil"/>
              <w:right w:val="nil"/>
            </w:tcBorders>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Mean weight (SD) [kg]</w:t>
            </w:r>
          </w:p>
        </w:tc>
        <w:tc>
          <w:tcPr>
            <w:tcW w:w="1316" w:type="dxa"/>
            <w:tcBorders>
              <w:top w:val="single" w:sz="4" w:space="0" w:color="auto"/>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77.7 (16.4)</w:t>
            </w:r>
          </w:p>
        </w:tc>
        <w:tc>
          <w:tcPr>
            <w:tcW w:w="1316" w:type="dxa"/>
            <w:tcBorders>
              <w:top w:val="single" w:sz="4" w:space="0" w:color="auto"/>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76.9 (16.2)</w:t>
            </w:r>
          </w:p>
        </w:tc>
        <w:tc>
          <w:tcPr>
            <w:tcW w:w="1316" w:type="dxa"/>
            <w:tcBorders>
              <w:top w:val="single" w:sz="4" w:space="0" w:color="auto"/>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77.9 (16.5)</w:t>
            </w:r>
          </w:p>
        </w:tc>
      </w:tr>
      <w:tr w:rsidR="003B7E53" w:rsidTr="003B7E53">
        <w:trPr>
          <w:trHeight w:val="210"/>
        </w:trPr>
        <w:tc>
          <w:tcPr>
            <w:tcW w:w="2668" w:type="dxa"/>
            <w:gridSpan w:val="2"/>
            <w:tcBorders>
              <w:top w:val="nil"/>
              <w:left w:val="nil"/>
              <w:bottom w:val="nil"/>
              <w:right w:val="nil"/>
            </w:tcBorders>
            <w:shd w:val="clear" w:color="auto" w:fill="A6A6A6" w:themeFill="background1" w:themeFillShade="A6"/>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BMI (SD) [kg/m</w:t>
            </w:r>
            <w:r>
              <w:rPr>
                <w:rFonts w:eastAsia="Times New Roman" w:cs="Arial"/>
                <w:b/>
                <w:sz w:val="18"/>
                <w:szCs w:val="18"/>
                <w:vertAlign w:val="superscript"/>
                <w:lang w:val="en-US" w:eastAsia="nb-NO"/>
              </w:rPr>
              <w:t>2</w:t>
            </w:r>
            <w:r>
              <w:rPr>
                <w:rFonts w:eastAsia="Times New Roman" w:cs="Arial"/>
                <w:b/>
                <w:sz w:val="18"/>
                <w:szCs w:val="18"/>
                <w:lang w:val="en-US" w:eastAsia="nb-NO"/>
              </w:rPr>
              <w:t>]</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25.6 (4.3)</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25.2 (4.3)</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25.7 (4.3)</w:t>
            </w:r>
          </w:p>
        </w:tc>
      </w:tr>
      <w:tr w:rsidR="003B7E53" w:rsidTr="003B7E53">
        <w:trPr>
          <w:trHeight w:val="210"/>
        </w:trPr>
        <w:tc>
          <w:tcPr>
            <w:tcW w:w="2668" w:type="dxa"/>
            <w:gridSpan w:val="2"/>
            <w:tcBorders>
              <w:top w:val="nil"/>
              <w:left w:val="nil"/>
              <w:bottom w:val="nil"/>
              <w:right w:val="nil"/>
            </w:tcBorders>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Mean weight loss (SD) [%]</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2.6 (7.1)</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6.3 (8.4)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1.7 (6.5)</w:t>
            </w:r>
          </w:p>
        </w:tc>
      </w:tr>
      <w:tr w:rsidR="003B7E53" w:rsidTr="003B7E53">
        <w:trPr>
          <w:trHeight w:val="210"/>
        </w:trPr>
        <w:tc>
          <w:tcPr>
            <w:tcW w:w="2668" w:type="dxa"/>
            <w:gridSpan w:val="2"/>
            <w:tcBorders>
              <w:top w:val="nil"/>
              <w:left w:val="nil"/>
              <w:bottom w:val="nil"/>
              <w:right w:val="nil"/>
            </w:tcBorders>
            <w:shd w:val="clear" w:color="auto" w:fill="A6A6A6" w:themeFill="background1" w:themeFillShade="A6"/>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Dietary intake n (%)</w:t>
            </w:r>
          </w:p>
        </w:tc>
        <w:tc>
          <w:tcPr>
            <w:tcW w:w="1316" w:type="dxa"/>
            <w:tcBorders>
              <w:top w:val="nil"/>
              <w:left w:val="nil"/>
              <w:bottom w:val="nil"/>
              <w:right w:val="nil"/>
            </w:tcBorders>
            <w:shd w:val="clear" w:color="auto" w:fill="A6A6A6" w:themeFill="background1" w:themeFillShade="A6"/>
            <w:vAlign w:val="center"/>
          </w:tcPr>
          <w:p w:rsidR="003B7E53" w:rsidRDefault="003B7E53">
            <w:pPr>
              <w:jc w:val="center"/>
              <w:rPr>
                <w:rFonts w:eastAsia="Times New Roman" w:cs="Arial"/>
                <w:sz w:val="18"/>
                <w:szCs w:val="18"/>
                <w:lang w:val="en-US" w:eastAsia="nb-NO"/>
              </w:rPr>
            </w:pPr>
          </w:p>
        </w:tc>
        <w:tc>
          <w:tcPr>
            <w:tcW w:w="1316" w:type="dxa"/>
            <w:tcBorders>
              <w:top w:val="nil"/>
              <w:left w:val="nil"/>
              <w:bottom w:val="nil"/>
              <w:right w:val="nil"/>
            </w:tcBorders>
            <w:shd w:val="clear" w:color="auto" w:fill="A6A6A6" w:themeFill="background1" w:themeFillShade="A6"/>
            <w:vAlign w:val="center"/>
          </w:tcPr>
          <w:p w:rsidR="003B7E53" w:rsidRDefault="003B7E53">
            <w:pPr>
              <w:jc w:val="center"/>
              <w:rPr>
                <w:rFonts w:eastAsia="Times New Roman" w:cs="Arial"/>
                <w:sz w:val="18"/>
                <w:szCs w:val="18"/>
                <w:lang w:val="en-US" w:eastAsia="nb-NO"/>
              </w:rPr>
            </w:pPr>
          </w:p>
        </w:tc>
        <w:tc>
          <w:tcPr>
            <w:tcW w:w="1316" w:type="dxa"/>
            <w:tcBorders>
              <w:top w:val="nil"/>
              <w:left w:val="nil"/>
              <w:bottom w:val="nil"/>
              <w:right w:val="nil"/>
            </w:tcBorders>
            <w:shd w:val="clear" w:color="auto" w:fill="A6A6A6" w:themeFill="background1" w:themeFillShade="A6"/>
            <w:vAlign w:val="center"/>
          </w:tcPr>
          <w:p w:rsidR="003B7E53" w:rsidRDefault="003B7E53">
            <w:pPr>
              <w:jc w:val="center"/>
              <w:rPr>
                <w:rFonts w:eastAsia="Times New Roman" w:cs="Arial"/>
                <w:sz w:val="18"/>
                <w:szCs w:val="18"/>
                <w:lang w:val="en-US" w:eastAsia="nb-NO"/>
              </w:rPr>
            </w:pPr>
          </w:p>
        </w:tc>
      </w:tr>
      <w:tr w:rsidR="003B7E53" w:rsidTr="003B7E53">
        <w:trPr>
          <w:trHeight w:val="210"/>
        </w:trPr>
        <w:tc>
          <w:tcPr>
            <w:tcW w:w="392" w:type="dxa"/>
            <w:tcBorders>
              <w:top w:val="nil"/>
              <w:left w:val="nil"/>
              <w:bottom w:val="nil"/>
              <w:right w:val="nil"/>
            </w:tcBorders>
            <w:shd w:val="clear" w:color="auto" w:fill="A6A6A6" w:themeFill="background1" w:themeFillShade="A6"/>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shd w:val="clear" w:color="auto" w:fill="A6A6A6" w:themeFill="background1" w:themeFillShade="A6"/>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More than usual</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33 (9)</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5 (6)</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28 (9)</w:t>
            </w:r>
          </w:p>
        </w:tc>
      </w:tr>
      <w:tr w:rsidR="003B7E53" w:rsidTr="003B7E53">
        <w:trPr>
          <w:trHeight w:val="210"/>
        </w:trPr>
        <w:tc>
          <w:tcPr>
            <w:tcW w:w="392" w:type="dxa"/>
            <w:tcBorders>
              <w:top w:val="nil"/>
              <w:left w:val="nil"/>
              <w:bottom w:val="nil"/>
              <w:right w:val="nil"/>
            </w:tcBorders>
            <w:shd w:val="clear" w:color="auto" w:fill="A6A6A6" w:themeFill="background1" w:themeFillShade="A6"/>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shd w:val="clear" w:color="auto" w:fill="A6A6A6" w:themeFill="background1" w:themeFillShade="A6"/>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Unchanged</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232 (60)</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 (32)</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207 (67)</w:t>
            </w:r>
          </w:p>
        </w:tc>
      </w:tr>
      <w:tr w:rsidR="003B7E53" w:rsidTr="003B7E53">
        <w:trPr>
          <w:trHeight w:val="210"/>
        </w:trPr>
        <w:tc>
          <w:tcPr>
            <w:tcW w:w="392" w:type="dxa"/>
            <w:tcBorders>
              <w:top w:val="nil"/>
              <w:left w:val="nil"/>
              <w:bottom w:val="nil"/>
              <w:right w:val="nil"/>
            </w:tcBorders>
            <w:shd w:val="clear" w:color="auto" w:fill="A6A6A6" w:themeFill="background1" w:themeFillShade="A6"/>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shd w:val="clear" w:color="auto" w:fill="A6A6A6" w:themeFill="background1" w:themeFillShade="A6"/>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Less than usual</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121 (31)</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48 (62)</w:t>
            </w:r>
          </w:p>
        </w:tc>
        <w:tc>
          <w:tcPr>
            <w:tcW w:w="1316" w:type="dxa"/>
            <w:tcBorders>
              <w:top w:val="nil"/>
              <w:left w:val="nil"/>
              <w:bottom w:val="nil"/>
              <w:right w:val="nil"/>
            </w:tcBorders>
            <w:shd w:val="clear" w:color="auto" w:fill="A6A6A6" w:themeFill="background1" w:themeFillShade="A6"/>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73 (24)</w:t>
            </w:r>
          </w:p>
        </w:tc>
      </w:tr>
      <w:tr w:rsidR="003B7E53" w:rsidTr="003B7E53">
        <w:trPr>
          <w:trHeight w:val="210"/>
        </w:trPr>
        <w:tc>
          <w:tcPr>
            <w:tcW w:w="2668" w:type="dxa"/>
            <w:gridSpan w:val="2"/>
            <w:tcBorders>
              <w:top w:val="nil"/>
              <w:left w:val="nil"/>
              <w:bottom w:val="nil"/>
              <w:right w:val="nil"/>
            </w:tcBorders>
            <w:hideMark/>
          </w:tcPr>
          <w:p w:rsidR="003B7E53" w:rsidRDefault="003B7E53">
            <w:pPr>
              <w:rPr>
                <w:rFonts w:eastAsia="Times New Roman" w:cs="Arial"/>
                <w:b/>
                <w:sz w:val="18"/>
                <w:szCs w:val="18"/>
                <w:lang w:val="en-US" w:eastAsia="nb-NO"/>
              </w:rPr>
            </w:pPr>
            <w:r>
              <w:rPr>
                <w:rFonts w:eastAsia="Times New Roman" w:cs="Arial"/>
                <w:b/>
                <w:sz w:val="18"/>
                <w:szCs w:val="18"/>
                <w:lang w:val="en-US" w:eastAsia="nb-NO"/>
              </w:rPr>
              <w:t>Nutritional impact symptoms n (%)</w:t>
            </w:r>
          </w:p>
        </w:tc>
        <w:tc>
          <w:tcPr>
            <w:tcW w:w="1316" w:type="dxa"/>
            <w:tcBorders>
              <w:top w:val="nil"/>
              <w:left w:val="nil"/>
              <w:bottom w:val="nil"/>
              <w:right w:val="nil"/>
            </w:tcBorders>
            <w:vAlign w:val="center"/>
          </w:tcPr>
          <w:p w:rsidR="003B7E53" w:rsidRDefault="003B7E53">
            <w:pPr>
              <w:jc w:val="center"/>
              <w:rPr>
                <w:rFonts w:eastAsia="Times New Roman" w:cs="Arial"/>
                <w:sz w:val="18"/>
                <w:szCs w:val="18"/>
                <w:lang w:val="en-US" w:eastAsia="nb-NO"/>
              </w:rPr>
            </w:pPr>
          </w:p>
        </w:tc>
        <w:tc>
          <w:tcPr>
            <w:tcW w:w="1316" w:type="dxa"/>
            <w:tcBorders>
              <w:top w:val="nil"/>
              <w:left w:val="nil"/>
              <w:bottom w:val="nil"/>
              <w:right w:val="nil"/>
            </w:tcBorders>
            <w:vAlign w:val="center"/>
          </w:tcPr>
          <w:p w:rsidR="003B7E53" w:rsidRDefault="003B7E53">
            <w:pPr>
              <w:jc w:val="center"/>
              <w:rPr>
                <w:rFonts w:eastAsia="Times New Roman" w:cs="Arial"/>
                <w:sz w:val="18"/>
                <w:szCs w:val="18"/>
                <w:lang w:val="en-US" w:eastAsia="nb-NO"/>
              </w:rPr>
            </w:pPr>
          </w:p>
        </w:tc>
        <w:tc>
          <w:tcPr>
            <w:tcW w:w="1316" w:type="dxa"/>
            <w:tcBorders>
              <w:top w:val="nil"/>
              <w:left w:val="nil"/>
              <w:bottom w:val="nil"/>
              <w:right w:val="nil"/>
            </w:tcBorders>
            <w:vAlign w:val="center"/>
          </w:tcPr>
          <w:p w:rsidR="003B7E53" w:rsidRDefault="003B7E53">
            <w:pPr>
              <w:jc w:val="center"/>
              <w:rPr>
                <w:rFonts w:eastAsia="Times New Roman" w:cs="Arial"/>
                <w:sz w:val="18"/>
                <w:szCs w:val="18"/>
                <w:lang w:val="en-US" w:eastAsia="nb-NO"/>
              </w:rPr>
            </w:pP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Altered taste</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74 (19)</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26 (33)</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48 (16)</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Early satiety</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67 (17)</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 (32)</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42 (14)</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vAlign w:val="center"/>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Appetite loss</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63 (16)</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31 (40)</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32 (10)</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Fatigue</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52 (13)</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20 (26)</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32 (10)</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Nausea</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50 (13)</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21 (27)</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29 (9)</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Dry mouth</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47 (12)</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14 (18)</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33 (11)</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Stomatitis</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32 (8)</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13 (17)</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19 (6)</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Dysphagia</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29 (8)</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11 (14)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18 (6)</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Dyspnea</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28 (7)</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11 (14)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17 (6)</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Diarrhea</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27 (7)</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11 (14)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16 (5)</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Constipation</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25 (6)</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9 (12)</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16 (5)</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Vomiting</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24 (6)</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14 (18)</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10 (3)</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Bothered by smell</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23 (6)</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9 (12)</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14 (5)</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Pain</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16 (4)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9 (12)</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7 (2)</w:t>
            </w:r>
          </w:p>
        </w:tc>
      </w:tr>
      <w:tr w:rsidR="003B7E53" w:rsidTr="003B7E53">
        <w:trPr>
          <w:trHeight w:val="210"/>
        </w:trPr>
        <w:tc>
          <w:tcPr>
            <w:tcW w:w="392" w:type="dxa"/>
            <w:tcBorders>
              <w:top w:val="nil"/>
              <w:left w:val="nil"/>
              <w:bottom w:val="nil"/>
              <w:right w:val="nil"/>
            </w:tcBorders>
          </w:tcPr>
          <w:p w:rsidR="003B7E53" w:rsidRDefault="003B7E53">
            <w:pPr>
              <w:rPr>
                <w:rFonts w:eastAsia="Times New Roman" w:cs="Arial"/>
                <w:sz w:val="18"/>
                <w:szCs w:val="18"/>
                <w:lang w:val="en-US" w:eastAsia="nb-NO"/>
              </w:rPr>
            </w:pPr>
          </w:p>
        </w:tc>
        <w:tc>
          <w:tcPr>
            <w:tcW w:w="2276" w:type="dxa"/>
            <w:tcBorders>
              <w:top w:val="nil"/>
              <w:left w:val="nil"/>
              <w:bottom w:val="nil"/>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Other</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14 (4)</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6 (8)</w:t>
            </w:r>
          </w:p>
        </w:tc>
        <w:tc>
          <w:tcPr>
            <w:tcW w:w="1316" w:type="dxa"/>
            <w:tcBorders>
              <w:top w:val="nil"/>
              <w:left w:val="nil"/>
              <w:bottom w:val="nil"/>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8 (3)</w:t>
            </w:r>
          </w:p>
        </w:tc>
      </w:tr>
      <w:tr w:rsidR="003B7E53" w:rsidTr="003B7E53">
        <w:trPr>
          <w:trHeight w:val="210"/>
        </w:trPr>
        <w:tc>
          <w:tcPr>
            <w:tcW w:w="392" w:type="dxa"/>
            <w:tcBorders>
              <w:top w:val="nil"/>
              <w:left w:val="nil"/>
              <w:bottom w:val="single" w:sz="4" w:space="0" w:color="auto"/>
              <w:right w:val="nil"/>
            </w:tcBorders>
          </w:tcPr>
          <w:p w:rsidR="003B7E53" w:rsidRDefault="003B7E53">
            <w:pPr>
              <w:rPr>
                <w:rFonts w:eastAsia="Times New Roman" w:cs="Arial"/>
                <w:sz w:val="18"/>
                <w:szCs w:val="18"/>
                <w:lang w:val="en-US" w:eastAsia="nb-NO"/>
              </w:rPr>
            </w:pPr>
          </w:p>
        </w:tc>
        <w:tc>
          <w:tcPr>
            <w:tcW w:w="2276" w:type="dxa"/>
            <w:tcBorders>
              <w:top w:val="nil"/>
              <w:left w:val="nil"/>
              <w:bottom w:val="single" w:sz="4" w:space="0" w:color="auto"/>
              <w:right w:val="nil"/>
            </w:tcBorders>
            <w:hideMark/>
          </w:tcPr>
          <w:p w:rsidR="003B7E53" w:rsidRDefault="003B7E53">
            <w:pPr>
              <w:rPr>
                <w:rFonts w:eastAsia="Times New Roman" w:cs="Arial"/>
                <w:sz w:val="18"/>
                <w:szCs w:val="18"/>
                <w:lang w:val="en-US" w:eastAsia="nb-NO"/>
              </w:rPr>
            </w:pPr>
            <w:r>
              <w:rPr>
                <w:rFonts w:eastAsia="Times New Roman" w:cs="Arial"/>
                <w:sz w:val="18"/>
                <w:szCs w:val="18"/>
                <w:lang w:val="en-US" w:eastAsia="nb-NO"/>
              </w:rPr>
              <w:t>No problems</w:t>
            </w:r>
          </w:p>
        </w:tc>
        <w:tc>
          <w:tcPr>
            <w:tcW w:w="1316" w:type="dxa"/>
            <w:tcBorders>
              <w:top w:val="nil"/>
              <w:left w:val="nil"/>
              <w:bottom w:val="single" w:sz="4" w:space="0" w:color="auto"/>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204 (53)</w:t>
            </w:r>
          </w:p>
        </w:tc>
        <w:tc>
          <w:tcPr>
            <w:tcW w:w="1316" w:type="dxa"/>
            <w:tcBorders>
              <w:top w:val="nil"/>
              <w:left w:val="nil"/>
              <w:bottom w:val="single" w:sz="4" w:space="0" w:color="auto"/>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22 (28)</w:t>
            </w:r>
          </w:p>
        </w:tc>
        <w:tc>
          <w:tcPr>
            <w:tcW w:w="1316" w:type="dxa"/>
            <w:tcBorders>
              <w:top w:val="nil"/>
              <w:left w:val="nil"/>
              <w:bottom w:val="single" w:sz="4" w:space="0" w:color="auto"/>
              <w:right w:val="nil"/>
            </w:tcBorders>
            <w:vAlign w:val="center"/>
            <w:hideMark/>
          </w:tcPr>
          <w:p w:rsidR="003B7E53" w:rsidRDefault="003B7E53">
            <w:pPr>
              <w:jc w:val="center"/>
              <w:rPr>
                <w:rFonts w:eastAsia="Times New Roman" w:cs="Arial"/>
                <w:sz w:val="18"/>
                <w:szCs w:val="18"/>
                <w:lang w:val="en-US" w:eastAsia="nb-NO"/>
              </w:rPr>
            </w:pPr>
            <w:r>
              <w:rPr>
                <w:rFonts w:eastAsia="Times New Roman" w:cs="Arial"/>
                <w:sz w:val="18"/>
                <w:szCs w:val="18"/>
                <w:lang w:val="en-US" w:eastAsia="nb-NO"/>
              </w:rPr>
              <w:t>182 (59)</w:t>
            </w:r>
          </w:p>
        </w:tc>
      </w:tr>
    </w:tbl>
    <w:p w:rsidR="003B7E53" w:rsidRDefault="003B7E53" w:rsidP="003B7E53">
      <w:pPr>
        <w:spacing w:after="0"/>
        <w:rPr>
          <w:rFonts w:cs="Arial"/>
          <w:sz w:val="18"/>
          <w:szCs w:val="18"/>
          <w:lang w:val="en-US"/>
        </w:rPr>
      </w:pPr>
      <w:r>
        <w:rPr>
          <w:rFonts w:eastAsia="Times New Roman" w:cs="Arial"/>
          <w:sz w:val="18"/>
          <w:szCs w:val="18"/>
          <w:lang w:val="en-US" w:eastAsia="nb-NO"/>
        </w:rPr>
        <w:t>Abbreviations</w:t>
      </w:r>
      <w:r>
        <w:rPr>
          <w:rFonts w:cs="Arial"/>
          <w:sz w:val="18"/>
          <w:szCs w:val="18"/>
          <w:lang w:val="en-US"/>
        </w:rPr>
        <w:t>: SD, Standard deviation;</w:t>
      </w:r>
    </w:p>
    <w:p w:rsidR="003B7E53" w:rsidRDefault="003B7E53">
      <w:pPr>
        <w:spacing w:line="276" w:lineRule="auto"/>
        <w:rPr>
          <w:rFonts w:cs="Arial"/>
          <w:b/>
          <w:sz w:val="18"/>
          <w:szCs w:val="18"/>
          <w:lang w:val="en-US"/>
        </w:rPr>
      </w:pPr>
      <w:r>
        <w:rPr>
          <w:rFonts w:cs="Arial"/>
          <w:b/>
          <w:sz w:val="18"/>
          <w:szCs w:val="18"/>
          <w:lang w:val="en-US"/>
        </w:rPr>
        <w:br w:type="page"/>
      </w:r>
    </w:p>
    <w:p w:rsidR="003B7E53" w:rsidRDefault="003B7E53" w:rsidP="003B7E53">
      <w:pPr>
        <w:rPr>
          <w:rFonts w:cs="Arial"/>
          <w:b/>
          <w:sz w:val="18"/>
          <w:szCs w:val="18"/>
          <w:lang w:val="en-US"/>
        </w:rPr>
      </w:pPr>
      <w:r>
        <w:rPr>
          <w:rFonts w:cs="Arial"/>
          <w:b/>
          <w:sz w:val="18"/>
          <w:szCs w:val="18"/>
          <w:lang w:val="en-US"/>
        </w:rPr>
        <w:lastRenderedPageBreak/>
        <w:t>Table 3 Cachexia prevalence and -association of patient-, disease- and treatment related factors</w:t>
      </w:r>
    </w:p>
    <w:tbl>
      <w:tblPr>
        <w:tblW w:w="0" w:type="auto"/>
        <w:tblLayout w:type="fixed"/>
        <w:tblCellMar>
          <w:left w:w="0" w:type="dxa"/>
          <w:right w:w="0" w:type="dxa"/>
        </w:tblCellMar>
        <w:tblLook w:val="04A0" w:firstRow="1" w:lastRow="0" w:firstColumn="1" w:lastColumn="0" w:noHBand="0" w:noVBand="1"/>
      </w:tblPr>
      <w:tblGrid>
        <w:gridCol w:w="277"/>
        <w:gridCol w:w="2099"/>
        <w:gridCol w:w="1568"/>
        <w:gridCol w:w="1571"/>
        <w:gridCol w:w="1114"/>
        <w:gridCol w:w="567"/>
        <w:gridCol w:w="131"/>
        <w:gridCol w:w="1134"/>
        <w:gridCol w:w="567"/>
      </w:tblGrid>
      <w:tr w:rsidR="003B7E53" w:rsidTr="003B7E53">
        <w:trPr>
          <w:trHeight w:val="70"/>
        </w:trPr>
        <w:tc>
          <w:tcPr>
            <w:tcW w:w="277" w:type="dxa"/>
            <w:tcBorders>
              <w:top w:val="single" w:sz="4" w:space="0" w:color="auto"/>
              <w:left w:val="nil"/>
              <w:bottom w:val="nil"/>
              <w:right w:val="nil"/>
            </w:tcBorders>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tcBorders>
              <w:top w:val="single" w:sz="4" w:space="0" w:color="auto"/>
              <w:left w:val="nil"/>
              <w:bottom w:val="nil"/>
              <w:right w:val="nil"/>
            </w:tcBorders>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6652" w:type="dxa"/>
            <w:gridSpan w:val="7"/>
            <w:tcBorders>
              <w:top w:val="single" w:sz="4" w:space="0" w:color="auto"/>
              <w:left w:val="nil"/>
              <w:bottom w:val="nil"/>
              <w:right w:val="nil"/>
            </w:tcBorders>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b/>
                <w:sz w:val="18"/>
                <w:szCs w:val="18"/>
                <w:lang w:val="en-GB" w:eastAsia="nb-NO"/>
              </w:rPr>
            </w:pPr>
            <w:r>
              <w:rPr>
                <w:rFonts w:eastAsia="Times New Roman" w:cs="Arial"/>
                <w:b/>
                <w:sz w:val="18"/>
                <w:szCs w:val="18"/>
                <w:lang w:val="en-GB" w:eastAsia="nb-NO"/>
              </w:rPr>
              <w:t>Cachexia</w:t>
            </w:r>
          </w:p>
        </w:tc>
      </w:tr>
      <w:tr w:rsidR="003B7E53" w:rsidTr="003B7E53">
        <w:trPr>
          <w:trHeight w:val="70"/>
        </w:trPr>
        <w:tc>
          <w:tcPr>
            <w:tcW w:w="277"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tcBorders>
              <w:top w:val="nil"/>
              <w:left w:val="nil"/>
              <w:bottom w:val="single" w:sz="4" w:space="0" w:color="auto"/>
              <w:right w:val="nil"/>
            </w:tcBorders>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568"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681" w:type="dxa"/>
            <w:gridSpan w:val="2"/>
            <w:tcBorders>
              <w:top w:val="nil"/>
              <w:left w:val="nil"/>
              <w:bottom w:val="single" w:sz="4" w:space="0" w:color="auto"/>
              <w:right w:val="nil"/>
            </w:tcBorders>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proofErr w:type="spellStart"/>
            <w:r>
              <w:rPr>
                <w:rFonts w:eastAsia="Times New Roman" w:cs="Arial"/>
                <w:sz w:val="18"/>
                <w:szCs w:val="18"/>
                <w:lang w:val="en-GB" w:eastAsia="nb-NO"/>
              </w:rPr>
              <w:t>Univariable</w:t>
            </w:r>
            <w:proofErr w:type="spellEnd"/>
            <w:r>
              <w:rPr>
                <w:rFonts w:eastAsia="Times New Roman" w:cs="Arial"/>
                <w:sz w:val="18"/>
                <w:szCs w:val="18"/>
                <w:lang w:val="en-GB" w:eastAsia="nb-NO"/>
              </w:rPr>
              <w:t xml:space="preserve"> </w:t>
            </w:r>
          </w:p>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analysis</w:t>
            </w:r>
          </w:p>
        </w:tc>
        <w:tc>
          <w:tcPr>
            <w:tcW w:w="131" w:type="dxa"/>
            <w:tcBorders>
              <w:top w:val="nil"/>
              <w:left w:val="nil"/>
              <w:bottom w:val="single" w:sz="4" w:space="0" w:color="auto"/>
              <w:right w:val="nil"/>
            </w:tcBorders>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701" w:type="dxa"/>
            <w:gridSpan w:val="2"/>
            <w:tcBorders>
              <w:top w:val="nil"/>
              <w:left w:val="nil"/>
              <w:bottom w:val="single" w:sz="4" w:space="0" w:color="auto"/>
              <w:right w:val="nil"/>
            </w:tcBorders>
            <w:shd w:val="clear" w:color="auto" w:fill="BFBFBF" w:themeFill="background1" w:themeFillShade="BF"/>
            <w:hideMark/>
          </w:tcPr>
          <w:p w:rsidR="003B7E53" w:rsidRDefault="003B7E53">
            <w:pPr>
              <w:spacing w:after="0"/>
              <w:jc w:val="center"/>
              <w:rPr>
                <w:rFonts w:eastAsia="Times New Roman" w:cs="Arial"/>
                <w:sz w:val="18"/>
                <w:szCs w:val="18"/>
                <w:vertAlign w:val="superscript"/>
                <w:lang w:val="en-GB" w:eastAsia="nb-NO"/>
              </w:rPr>
            </w:pPr>
            <w:r>
              <w:rPr>
                <w:rFonts w:eastAsia="Times New Roman" w:cs="Arial"/>
                <w:sz w:val="18"/>
                <w:szCs w:val="18"/>
                <w:lang w:val="en-GB" w:eastAsia="nb-NO"/>
              </w:rPr>
              <w:t xml:space="preserve">Multivariable </w:t>
            </w:r>
            <w:proofErr w:type="spellStart"/>
            <w:r>
              <w:rPr>
                <w:rFonts w:eastAsia="Times New Roman" w:cs="Arial"/>
                <w:sz w:val="18"/>
                <w:szCs w:val="18"/>
                <w:lang w:val="en-GB" w:eastAsia="nb-NO"/>
              </w:rPr>
              <w:t>analysis</w:t>
            </w:r>
            <w:r>
              <w:rPr>
                <w:rFonts w:eastAsia="Times New Roman" w:cs="Arial"/>
                <w:sz w:val="18"/>
                <w:szCs w:val="18"/>
                <w:vertAlign w:val="superscript"/>
                <w:lang w:val="en-GB" w:eastAsia="nb-NO"/>
              </w:rPr>
              <w:t>a</w:t>
            </w:r>
            <w:proofErr w:type="spellEnd"/>
          </w:p>
        </w:tc>
      </w:tr>
      <w:tr w:rsidR="003B7E53" w:rsidTr="003B7E53">
        <w:trPr>
          <w:trHeight w:val="70"/>
        </w:trPr>
        <w:tc>
          <w:tcPr>
            <w:tcW w:w="277"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tcBorders>
              <w:top w:val="nil"/>
              <w:left w:val="nil"/>
              <w:bottom w:val="single" w:sz="4" w:space="0" w:color="auto"/>
              <w:right w:val="nil"/>
            </w:tcBorders>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568"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Prevalence in inpatients </w:t>
            </w:r>
          </w:p>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(95% CI)</w:t>
            </w:r>
          </w:p>
        </w:tc>
        <w:tc>
          <w:tcPr>
            <w:tcW w:w="1571" w:type="dxa"/>
            <w:tcBorders>
              <w:top w:val="nil"/>
              <w:left w:val="nil"/>
              <w:bottom w:val="single" w:sz="4" w:space="0" w:color="auto"/>
              <w:right w:val="nil"/>
            </w:tcBorders>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Prevalence in outpatients </w:t>
            </w:r>
          </w:p>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(95% CI)</w:t>
            </w:r>
          </w:p>
        </w:tc>
        <w:tc>
          <w:tcPr>
            <w:tcW w:w="1114" w:type="dxa"/>
            <w:tcBorders>
              <w:top w:val="nil"/>
              <w:left w:val="nil"/>
              <w:bottom w:val="single" w:sz="4" w:space="0" w:color="auto"/>
              <w:right w:val="nil"/>
            </w:tcBorders>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OR</w:t>
            </w:r>
          </w:p>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(95% CI)</w:t>
            </w:r>
          </w:p>
        </w:tc>
        <w:tc>
          <w:tcPr>
            <w:tcW w:w="567" w:type="dxa"/>
            <w:tcBorders>
              <w:top w:val="nil"/>
              <w:left w:val="nil"/>
              <w:bottom w:val="single" w:sz="4" w:space="0" w:color="auto"/>
              <w:right w:val="nil"/>
            </w:tcBorders>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p</w:t>
            </w:r>
          </w:p>
        </w:tc>
        <w:tc>
          <w:tcPr>
            <w:tcW w:w="131" w:type="dxa"/>
            <w:tcBorders>
              <w:top w:val="nil"/>
              <w:left w:val="nil"/>
              <w:bottom w:val="single" w:sz="4" w:space="0" w:color="auto"/>
              <w:right w:val="nil"/>
            </w:tcBorders>
            <w:shd w:val="clear" w:color="auto" w:fill="BFBFBF" w:themeFill="background1" w:themeFillShade="BF"/>
            <w:vAlign w:val="center"/>
          </w:tcPr>
          <w:p w:rsidR="003B7E53" w:rsidRDefault="003B7E53">
            <w:pPr>
              <w:spacing w:after="0"/>
              <w:jc w:val="center"/>
              <w:rPr>
                <w:rFonts w:eastAsia="Times New Roman" w:cs="Arial"/>
                <w:sz w:val="18"/>
                <w:szCs w:val="18"/>
                <w:lang w:val="en-GB" w:eastAsia="nb-NO"/>
              </w:rPr>
            </w:pPr>
          </w:p>
        </w:tc>
        <w:tc>
          <w:tcPr>
            <w:tcW w:w="1134" w:type="dxa"/>
            <w:tcBorders>
              <w:top w:val="nil"/>
              <w:left w:val="nil"/>
              <w:bottom w:val="single" w:sz="4" w:space="0" w:color="auto"/>
              <w:right w:val="nil"/>
            </w:tcBorders>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OR</w:t>
            </w:r>
          </w:p>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(95% CI)</w:t>
            </w:r>
          </w:p>
        </w:tc>
        <w:tc>
          <w:tcPr>
            <w:tcW w:w="567" w:type="dxa"/>
            <w:tcBorders>
              <w:top w:val="nil"/>
              <w:left w:val="nil"/>
              <w:bottom w:val="single" w:sz="4" w:space="0" w:color="auto"/>
              <w:right w:val="nil"/>
            </w:tcBorders>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p</w:t>
            </w:r>
          </w:p>
        </w:tc>
      </w:tr>
      <w:tr w:rsidR="003B7E53" w:rsidTr="003B7E53">
        <w:trPr>
          <w:trHeight w:val="70"/>
        </w:trPr>
        <w:tc>
          <w:tcPr>
            <w:tcW w:w="2376" w:type="dxa"/>
            <w:gridSpan w:val="2"/>
            <w:tcBorders>
              <w:top w:val="single" w:sz="4" w:space="0" w:color="auto"/>
              <w:left w:val="nil"/>
              <w:bottom w:val="nil"/>
              <w:right w:val="nil"/>
            </w:tcBorders>
            <w:tcMar>
              <w:top w:w="0" w:type="dxa"/>
              <w:left w:w="108" w:type="dxa"/>
              <w:bottom w:w="0" w:type="dxa"/>
              <w:right w:w="108" w:type="dxa"/>
            </w:tcMar>
            <w:vAlign w:val="cente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Total</w:t>
            </w:r>
          </w:p>
        </w:tc>
        <w:tc>
          <w:tcPr>
            <w:tcW w:w="1568" w:type="dxa"/>
            <w:tcBorders>
              <w:top w:val="single" w:sz="4" w:space="0" w:color="auto"/>
              <w:left w:val="nil"/>
              <w:bottom w:val="nil"/>
              <w:right w:val="nil"/>
            </w:tcBorders>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51% (40-63)</w:t>
            </w:r>
          </w:p>
        </w:tc>
        <w:tc>
          <w:tcPr>
            <w:tcW w:w="1571" w:type="dxa"/>
            <w:tcBorders>
              <w:top w:val="single" w:sz="4" w:space="0" w:color="auto"/>
              <w:left w:val="nil"/>
              <w:bottom w:val="nil"/>
              <w:right w:val="nil"/>
            </w:tcBorders>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22% (17-27)</w:t>
            </w:r>
          </w:p>
        </w:tc>
        <w:tc>
          <w:tcPr>
            <w:tcW w:w="1114" w:type="dxa"/>
            <w:tcBorders>
              <w:top w:val="single" w:sz="4" w:space="0" w:color="auto"/>
              <w:left w:val="nil"/>
              <w:bottom w:val="nil"/>
              <w:right w:val="nil"/>
            </w:tcBorders>
          </w:tcPr>
          <w:p w:rsidR="003B7E53" w:rsidRDefault="003B7E53">
            <w:pPr>
              <w:spacing w:after="0"/>
              <w:jc w:val="center"/>
              <w:rPr>
                <w:rFonts w:eastAsia="Times New Roman" w:cs="Arial"/>
                <w:sz w:val="18"/>
                <w:szCs w:val="18"/>
                <w:lang w:val="en-GB" w:eastAsia="nb-NO"/>
              </w:rPr>
            </w:pPr>
          </w:p>
        </w:tc>
        <w:tc>
          <w:tcPr>
            <w:tcW w:w="567" w:type="dxa"/>
            <w:tcBorders>
              <w:top w:val="single" w:sz="4" w:space="0" w:color="auto"/>
              <w:left w:val="nil"/>
              <w:bottom w:val="nil"/>
              <w:right w:val="nil"/>
            </w:tcBorders>
          </w:tcPr>
          <w:p w:rsidR="003B7E53" w:rsidRDefault="003B7E53">
            <w:pPr>
              <w:spacing w:after="0"/>
              <w:jc w:val="center"/>
              <w:rPr>
                <w:rFonts w:eastAsia="Times New Roman" w:cs="Arial"/>
                <w:sz w:val="18"/>
                <w:szCs w:val="18"/>
                <w:lang w:val="en-GB" w:eastAsia="nb-NO"/>
              </w:rPr>
            </w:pPr>
          </w:p>
        </w:tc>
        <w:tc>
          <w:tcPr>
            <w:tcW w:w="131" w:type="dxa"/>
            <w:tcBorders>
              <w:top w:val="single" w:sz="4" w:space="0" w:color="auto"/>
              <w:left w:val="nil"/>
              <w:bottom w:val="nil"/>
              <w:right w:val="nil"/>
            </w:tcBorders>
          </w:tcPr>
          <w:p w:rsidR="003B7E53" w:rsidRDefault="003B7E53">
            <w:pPr>
              <w:spacing w:after="0"/>
              <w:jc w:val="center"/>
              <w:rPr>
                <w:rFonts w:eastAsia="Times New Roman" w:cs="Arial"/>
                <w:sz w:val="18"/>
                <w:szCs w:val="18"/>
                <w:lang w:val="en-GB" w:eastAsia="nb-NO"/>
              </w:rPr>
            </w:pPr>
          </w:p>
        </w:tc>
        <w:tc>
          <w:tcPr>
            <w:tcW w:w="1134" w:type="dxa"/>
            <w:tcBorders>
              <w:top w:val="single" w:sz="4" w:space="0" w:color="auto"/>
              <w:left w:val="nil"/>
              <w:bottom w:val="nil"/>
              <w:right w:val="nil"/>
            </w:tcBorders>
          </w:tcPr>
          <w:p w:rsidR="003B7E53" w:rsidRDefault="003B7E53">
            <w:pPr>
              <w:spacing w:after="0"/>
              <w:jc w:val="center"/>
              <w:rPr>
                <w:rFonts w:eastAsia="Times New Roman" w:cs="Arial"/>
                <w:sz w:val="18"/>
                <w:szCs w:val="18"/>
                <w:lang w:val="en-GB" w:eastAsia="nb-NO"/>
              </w:rPr>
            </w:pPr>
          </w:p>
        </w:tc>
        <w:tc>
          <w:tcPr>
            <w:tcW w:w="567" w:type="dxa"/>
            <w:tcBorders>
              <w:top w:val="single" w:sz="4" w:space="0" w:color="auto"/>
              <w:left w:val="nil"/>
              <w:bottom w:val="nil"/>
              <w:right w:val="nil"/>
            </w:tcBorders>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376" w:type="dxa"/>
            <w:gridSpan w:val="2"/>
            <w:shd w:val="clear" w:color="auto" w:fill="BFBFBF" w:themeFill="background1" w:themeFillShade="BF"/>
            <w:tcMar>
              <w:top w:w="0" w:type="dxa"/>
              <w:left w:w="108" w:type="dxa"/>
              <w:bottom w:w="0" w:type="dxa"/>
              <w:right w:w="108" w:type="dxa"/>
            </w:tcMa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Age</w:t>
            </w:r>
          </w:p>
        </w:tc>
        <w:tc>
          <w:tcPr>
            <w:tcW w:w="1568"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 60</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39% (20-61)</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21% (14-30)</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 xml:space="preserve">61 – 75 </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55% (36-72)</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22% (16-29)</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1.2 (0.7-2.0)</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0.52</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&gt; 75</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59% (36-79)</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22% (9-40)</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1.8 (0.9-3.6)</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0.08</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376" w:type="dxa"/>
            <w:gridSpan w:val="2"/>
            <w:shd w:val="clear" w:color="auto" w:fill="FFFFFF" w:themeFill="background1"/>
            <w:tcMar>
              <w:top w:w="0" w:type="dxa"/>
              <w:left w:w="108" w:type="dxa"/>
              <w:bottom w:w="0" w:type="dxa"/>
              <w:right w:w="108" w:type="dxa"/>
            </w:tcMa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Gender</w:t>
            </w:r>
          </w:p>
        </w:tc>
        <w:tc>
          <w:tcPr>
            <w:tcW w:w="1568" w:type="dxa"/>
            <w:shd w:val="clear" w:color="auto" w:fill="FFFFFF" w:themeFill="background1"/>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shd w:val="clear" w:color="auto" w:fill="FFFFFF" w:themeFill="background1"/>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567"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131"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1134"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567" w:type="dxa"/>
            <w:shd w:val="clear" w:color="auto" w:fill="FFFFFF" w:themeFill="background1"/>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FFFFFF" w:themeFill="background1"/>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FFFFFF" w:themeFill="background1"/>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Female</w:t>
            </w:r>
          </w:p>
        </w:tc>
        <w:tc>
          <w:tcPr>
            <w:tcW w:w="1568" w:type="dxa"/>
            <w:shd w:val="clear" w:color="auto" w:fill="FFFFFF" w:themeFill="background1"/>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39% (22-59)</w:t>
            </w:r>
          </w:p>
        </w:tc>
        <w:tc>
          <w:tcPr>
            <w:tcW w:w="1571" w:type="dxa"/>
            <w:shd w:val="clear" w:color="auto" w:fill="FFFFFF" w:themeFill="background1"/>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22% (15-29)</w:t>
            </w:r>
          </w:p>
        </w:tc>
        <w:tc>
          <w:tcPr>
            <w:tcW w:w="1114" w:type="dxa"/>
            <w:shd w:val="clear" w:color="auto" w:fill="FFFFFF" w:themeFill="background1"/>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shd w:val="clear" w:color="auto" w:fill="FFFFFF" w:themeFill="background1"/>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1134"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567" w:type="dxa"/>
            <w:shd w:val="clear" w:color="auto" w:fill="FFFFFF" w:themeFill="background1"/>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FFFFFF" w:themeFill="background1"/>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FFFFFF" w:themeFill="background1"/>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Male</w:t>
            </w:r>
          </w:p>
        </w:tc>
        <w:tc>
          <w:tcPr>
            <w:tcW w:w="1568" w:type="dxa"/>
            <w:shd w:val="clear" w:color="auto" w:fill="FFFFFF" w:themeFill="background1"/>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58% (43-72)</w:t>
            </w:r>
          </w:p>
        </w:tc>
        <w:tc>
          <w:tcPr>
            <w:tcW w:w="1571" w:type="dxa"/>
            <w:shd w:val="clear" w:color="auto" w:fill="FFFFFF" w:themeFill="background1"/>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22% (16-29)</w:t>
            </w:r>
          </w:p>
        </w:tc>
        <w:tc>
          <w:tcPr>
            <w:tcW w:w="1114" w:type="dxa"/>
            <w:shd w:val="clear" w:color="auto" w:fill="FFFFFF" w:themeFill="background1"/>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1.3 (0.9-2.1)</w:t>
            </w:r>
          </w:p>
        </w:tc>
        <w:tc>
          <w:tcPr>
            <w:tcW w:w="567" w:type="dxa"/>
            <w:shd w:val="clear" w:color="auto" w:fill="FFFFFF" w:themeFill="background1"/>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0.20</w:t>
            </w:r>
          </w:p>
        </w:tc>
        <w:tc>
          <w:tcPr>
            <w:tcW w:w="131" w:type="dxa"/>
            <w:shd w:val="clear" w:color="auto" w:fill="FFFFFF" w:themeFill="background1"/>
          </w:tcPr>
          <w:p w:rsidR="003B7E53" w:rsidRDefault="003B7E53">
            <w:pPr>
              <w:spacing w:after="0"/>
              <w:jc w:val="center"/>
              <w:rPr>
                <w:rFonts w:eastAsia="Times New Roman" w:cs="Arial"/>
                <w:sz w:val="18"/>
                <w:szCs w:val="18"/>
                <w:lang w:val="en-GB" w:eastAsia="nb-NO"/>
              </w:rPr>
            </w:pPr>
          </w:p>
        </w:tc>
        <w:tc>
          <w:tcPr>
            <w:tcW w:w="1134" w:type="dxa"/>
            <w:shd w:val="clear" w:color="auto" w:fill="FFFFFF" w:themeFill="background1"/>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FFFFFF" w:themeFill="background1"/>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376" w:type="dxa"/>
            <w:gridSpan w:val="2"/>
            <w:shd w:val="clear" w:color="auto" w:fill="BFBFBF" w:themeFill="background1" w:themeFillShade="BF"/>
            <w:tcMar>
              <w:top w:w="0" w:type="dxa"/>
              <w:left w:w="108" w:type="dxa"/>
              <w:bottom w:w="0" w:type="dxa"/>
              <w:right w:w="108" w:type="dxa"/>
            </w:tcMa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Cancer type</w:t>
            </w:r>
          </w:p>
        </w:tc>
        <w:tc>
          <w:tcPr>
            <w:tcW w:w="1568"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Haematological</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13% (2-38)</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19% (10-33)</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Breast</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vertAlign w:val="superscript"/>
                <w:lang w:val="en-GB" w:eastAsia="nb-NO"/>
              </w:rPr>
            </w:pPr>
            <w:r>
              <w:rPr>
                <w:rFonts w:eastAsia="Times New Roman" w:cs="Arial"/>
                <w:sz w:val="18"/>
                <w:szCs w:val="18"/>
                <w:lang w:val="en-GB" w:eastAsia="nb-NO"/>
              </w:rPr>
              <w:t>-</w:t>
            </w:r>
            <w:r>
              <w:rPr>
                <w:rFonts w:eastAsia="Times New Roman" w:cs="Arial"/>
                <w:sz w:val="18"/>
                <w:szCs w:val="18"/>
                <w:vertAlign w:val="superscript"/>
                <w:lang w:val="en-GB" w:eastAsia="nb-NO"/>
              </w:rPr>
              <w:t xml:space="preserve"> b</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11% (5-20)</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0.5 (0.2-1.4)</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0.22</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0.7(0.3-2.0)</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0.57</w:t>
            </w: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Urological/Male genitalia</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53% (27-79)</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13% (6-23)</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1.2 (0.5-2.7)</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0.69</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1.3 (0.5-3.0)</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0.58</w:t>
            </w: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Other</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54% (25-81)</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23% (11-39)</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2.1 (0.9-4.9)</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0.10</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2.1 (0.9-5.1)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0.10</w:t>
            </w: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Gastrointestinal</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62% (38-82)</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42% (30-55)</w:t>
            </w:r>
          </w:p>
        </w:tc>
        <w:tc>
          <w:tcPr>
            <w:tcW w:w="1114"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4.1 (1.9-8.8)</w:t>
            </w:r>
          </w:p>
        </w:tc>
        <w:tc>
          <w:tcPr>
            <w:tcW w:w="567"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&lt;0.001</w:t>
            </w:r>
          </w:p>
        </w:tc>
        <w:tc>
          <w:tcPr>
            <w:tcW w:w="131" w:type="dxa"/>
            <w:shd w:val="clear" w:color="auto" w:fill="BFBFBF" w:themeFill="background1" w:themeFillShade="BF"/>
            <w:vAlign w:val="center"/>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4.4 (2.0-9.6)</w:t>
            </w:r>
          </w:p>
        </w:tc>
        <w:tc>
          <w:tcPr>
            <w:tcW w:w="567"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&lt;0.001</w:t>
            </w: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Lung</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83% (52-98)</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36% (13-65)</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6.3 (2.3-17.2)</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&lt;0.001</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5.5 (2.0-15.1)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&lt;0.01</w:t>
            </w:r>
          </w:p>
        </w:tc>
      </w:tr>
      <w:tr w:rsidR="003B7E53" w:rsidTr="003B7E53">
        <w:trPr>
          <w:trHeight w:val="70"/>
        </w:trPr>
        <w:tc>
          <w:tcPr>
            <w:tcW w:w="2376" w:type="dxa"/>
            <w:gridSpan w:val="2"/>
            <w:tcMar>
              <w:top w:w="0" w:type="dxa"/>
              <w:left w:w="108" w:type="dxa"/>
              <w:bottom w:w="0" w:type="dxa"/>
              <w:right w:w="108" w:type="dxa"/>
            </w:tcMa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Disease stage</w:t>
            </w:r>
          </w:p>
        </w:tc>
        <w:tc>
          <w:tcPr>
            <w:tcW w:w="1568" w:type="dxa"/>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c>
          <w:tcPr>
            <w:tcW w:w="131" w:type="dxa"/>
          </w:tcPr>
          <w:p w:rsidR="003B7E53" w:rsidRDefault="003B7E53">
            <w:pPr>
              <w:spacing w:after="0"/>
              <w:jc w:val="center"/>
              <w:rPr>
                <w:rFonts w:eastAsia="Times New Roman" w:cs="Arial"/>
                <w:sz w:val="18"/>
                <w:szCs w:val="18"/>
                <w:lang w:val="en-GB" w:eastAsia="nb-NO"/>
              </w:rPr>
            </w:pPr>
          </w:p>
        </w:tc>
        <w:tc>
          <w:tcPr>
            <w:tcW w:w="113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Local/locally advanced</w:t>
            </w:r>
          </w:p>
        </w:tc>
        <w:tc>
          <w:tcPr>
            <w:tcW w:w="1568"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48% (32-64)</w:t>
            </w:r>
          </w:p>
        </w:tc>
        <w:tc>
          <w:tcPr>
            <w:tcW w:w="1571"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19% (13-27)</w:t>
            </w:r>
          </w:p>
        </w:tc>
        <w:tc>
          <w:tcPr>
            <w:tcW w:w="1114"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tcPr>
          <w:p w:rsidR="003B7E53" w:rsidRDefault="003B7E53">
            <w:pPr>
              <w:spacing w:after="0"/>
              <w:jc w:val="center"/>
              <w:rPr>
                <w:rFonts w:eastAsia="Times New Roman" w:cs="Arial"/>
                <w:sz w:val="18"/>
                <w:szCs w:val="18"/>
                <w:lang w:val="en-GB" w:eastAsia="nb-NO"/>
              </w:rPr>
            </w:pPr>
          </w:p>
        </w:tc>
        <w:tc>
          <w:tcPr>
            <w:tcW w:w="113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Metastatic</w:t>
            </w:r>
          </w:p>
        </w:tc>
        <w:tc>
          <w:tcPr>
            <w:tcW w:w="1568"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55% (38-71)</w:t>
            </w:r>
          </w:p>
        </w:tc>
        <w:tc>
          <w:tcPr>
            <w:tcW w:w="1571"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24% (18-31)</w:t>
            </w:r>
          </w:p>
        </w:tc>
        <w:tc>
          <w:tcPr>
            <w:tcW w:w="1114"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1.3 (0.8-2.0)</w:t>
            </w:r>
          </w:p>
        </w:tc>
        <w:tc>
          <w:tcPr>
            <w:tcW w:w="567"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0.30</w:t>
            </w:r>
          </w:p>
        </w:tc>
        <w:tc>
          <w:tcPr>
            <w:tcW w:w="131" w:type="dxa"/>
          </w:tcPr>
          <w:p w:rsidR="003B7E53" w:rsidRDefault="003B7E53">
            <w:pPr>
              <w:spacing w:after="0"/>
              <w:jc w:val="center"/>
              <w:rPr>
                <w:rFonts w:eastAsia="Times New Roman" w:cs="Arial"/>
                <w:sz w:val="18"/>
                <w:szCs w:val="18"/>
                <w:lang w:val="en-GB" w:eastAsia="nb-NO"/>
              </w:rPr>
            </w:pPr>
          </w:p>
        </w:tc>
        <w:tc>
          <w:tcPr>
            <w:tcW w:w="1134" w:type="dxa"/>
          </w:tcPr>
          <w:p w:rsidR="003B7E53" w:rsidRDefault="003B7E53">
            <w:pPr>
              <w:spacing w:after="0"/>
              <w:jc w:val="center"/>
              <w:rPr>
                <w:rFonts w:eastAsia="Times New Roman" w:cs="Arial"/>
                <w:sz w:val="18"/>
                <w:szCs w:val="18"/>
                <w:vertAlign w:val="superscript"/>
                <w:lang w:val="en-GB" w:eastAsia="nb-NO"/>
              </w:rPr>
            </w:pPr>
          </w:p>
        </w:tc>
        <w:tc>
          <w:tcPr>
            <w:tcW w:w="567" w:type="dxa"/>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376" w:type="dxa"/>
            <w:gridSpan w:val="2"/>
            <w:shd w:val="clear" w:color="auto" w:fill="BFBFBF" w:themeFill="background1" w:themeFillShade="BF"/>
            <w:tcMar>
              <w:top w:w="0" w:type="dxa"/>
              <w:left w:w="108" w:type="dxa"/>
              <w:bottom w:w="0" w:type="dxa"/>
              <w:right w:w="108" w:type="dxa"/>
            </w:tcMar>
            <w:vAlign w:val="cente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Cancer treatment</w:t>
            </w:r>
          </w:p>
        </w:tc>
        <w:tc>
          <w:tcPr>
            <w:tcW w:w="1568"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shd w:val="clear" w:color="auto" w:fill="BFBFBF" w:themeFill="background1" w:themeFillShade="BF"/>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No treatment</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56% (38-73)</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20% (12-30)</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vertAlign w:val="superscript"/>
                <w:lang w:val="en-GB" w:eastAsia="nb-NO"/>
              </w:rPr>
            </w:pPr>
            <w:r>
              <w:rPr>
                <w:rFonts w:eastAsia="Times New Roman" w:cs="Arial"/>
                <w:sz w:val="18"/>
                <w:szCs w:val="18"/>
                <w:lang w:val="en-GB" w:eastAsia="nb-NO"/>
              </w:rPr>
              <w:t xml:space="preserve">Chemotherapy/Targeted </w:t>
            </w:r>
            <w:proofErr w:type="spellStart"/>
            <w:r>
              <w:rPr>
                <w:rFonts w:eastAsia="Times New Roman" w:cs="Arial"/>
                <w:sz w:val="18"/>
                <w:szCs w:val="18"/>
                <w:lang w:val="en-GB" w:eastAsia="nb-NO"/>
              </w:rPr>
              <w:t>therapy</w:t>
            </w:r>
            <w:r>
              <w:rPr>
                <w:rFonts w:eastAsia="Times New Roman" w:cs="Arial"/>
                <w:sz w:val="18"/>
                <w:szCs w:val="18"/>
                <w:vertAlign w:val="superscript"/>
                <w:lang w:val="en-GB" w:eastAsia="nb-NO"/>
              </w:rPr>
              <w:t>c</w:t>
            </w:r>
            <w:proofErr w:type="spellEnd"/>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37% (20-56)</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28% (20-36)</w:t>
            </w:r>
          </w:p>
        </w:tc>
        <w:tc>
          <w:tcPr>
            <w:tcW w:w="1114"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1.0 (0.6-1.6)</w:t>
            </w:r>
          </w:p>
        </w:tc>
        <w:tc>
          <w:tcPr>
            <w:tcW w:w="567" w:type="dxa"/>
            <w:shd w:val="clear" w:color="auto" w:fill="BFBFBF" w:themeFill="background1" w:themeFillShade="BF"/>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0.87</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vertAlign w:val="superscript"/>
                <w:lang w:val="en-GB" w:eastAsia="nb-NO"/>
              </w:rPr>
            </w:pPr>
            <w:proofErr w:type="spellStart"/>
            <w:r>
              <w:rPr>
                <w:rFonts w:eastAsia="Times New Roman" w:cs="Arial"/>
                <w:sz w:val="18"/>
                <w:szCs w:val="18"/>
                <w:lang w:val="en-GB" w:eastAsia="nb-NO"/>
              </w:rPr>
              <w:t>Radiotherapy</w:t>
            </w:r>
            <w:r>
              <w:rPr>
                <w:rFonts w:eastAsia="Times New Roman" w:cs="Arial"/>
                <w:sz w:val="18"/>
                <w:szCs w:val="18"/>
                <w:vertAlign w:val="superscript"/>
                <w:lang w:val="en-GB" w:eastAsia="nb-NO"/>
              </w:rPr>
              <w:t>d</w:t>
            </w:r>
            <w:proofErr w:type="spellEnd"/>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86% (42-100)</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20% (9-34)</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0.9 (0.4-1.9)</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0.80</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shd w:val="clear" w:color="auto" w:fill="BFBFBF" w:themeFill="background1" w:themeFillShade="BF"/>
            <w:tcMar>
              <w:top w:w="0" w:type="dxa"/>
              <w:left w:w="108" w:type="dxa"/>
              <w:bottom w:w="0" w:type="dxa"/>
              <w:right w:w="108" w:type="dxa"/>
            </w:tcMar>
          </w:tcPr>
          <w:p w:rsidR="003B7E53" w:rsidRDefault="003B7E53">
            <w:pPr>
              <w:spacing w:after="0"/>
              <w:rPr>
                <w:rFonts w:eastAsia="Times New Roman" w:cs="Arial"/>
                <w:sz w:val="18"/>
                <w:szCs w:val="18"/>
                <w:lang w:val="en-GB" w:eastAsia="nb-NO"/>
              </w:rPr>
            </w:pPr>
          </w:p>
        </w:tc>
        <w:tc>
          <w:tcPr>
            <w:tcW w:w="2099" w:type="dxa"/>
            <w:shd w:val="clear" w:color="auto" w:fill="BFBFBF" w:themeFill="background1" w:themeFillShade="BF"/>
            <w:vAlign w:val="center"/>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Other treatment</w:t>
            </w:r>
          </w:p>
        </w:tc>
        <w:tc>
          <w:tcPr>
            <w:tcW w:w="1568"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57% (18-90)</w:t>
            </w:r>
          </w:p>
        </w:tc>
        <w:tc>
          <w:tcPr>
            <w:tcW w:w="1571" w:type="dxa"/>
            <w:shd w:val="clear" w:color="auto" w:fill="BFBFBF" w:themeFill="background1" w:themeFillShade="BF"/>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8% (2-21)</w:t>
            </w:r>
          </w:p>
        </w:tc>
        <w:tc>
          <w:tcPr>
            <w:tcW w:w="1114"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0.4 (0.2-1.0)</w:t>
            </w:r>
          </w:p>
        </w:tc>
        <w:tc>
          <w:tcPr>
            <w:tcW w:w="567" w:type="dxa"/>
            <w:shd w:val="clear" w:color="auto" w:fill="BFBFBF" w:themeFill="background1" w:themeFillShade="BF"/>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0.06</w:t>
            </w:r>
          </w:p>
        </w:tc>
        <w:tc>
          <w:tcPr>
            <w:tcW w:w="131"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c>
          <w:tcPr>
            <w:tcW w:w="1134" w:type="dxa"/>
            <w:shd w:val="clear" w:color="auto" w:fill="BFBFBF" w:themeFill="background1" w:themeFillShade="BF"/>
          </w:tcPr>
          <w:p w:rsidR="003B7E53" w:rsidRDefault="003B7E53">
            <w:pPr>
              <w:spacing w:after="0"/>
              <w:jc w:val="center"/>
              <w:rPr>
                <w:rFonts w:eastAsia="Times New Roman" w:cs="Arial"/>
                <w:sz w:val="18"/>
                <w:szCs w:val="18"/>
                <w:vertAlign w:val="superscript"/>
                <w:lang w:val="en-GB" w:eastAsia="nb-NO"/>
              </w:rPr>
            </w:pPr>
          </w:p>
        </w:tc>
        <w:tc>
          <w:tcPr>
            <w:tcW w:w="567" w:type="dxa"/>
            <w:shd w:val="clear" w:color="auto" w:fill="BFBFBF" w:themeFill="background1" w:themeFillShade="BF"/>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376" w:type="dxa"/>
            <w:gridSpan w:val="2"/>
            <w:tcMar>
              <w:top w:w="0" w:type="dxa"/>
              <w:left w:w="108" w:type="dxa"/>
              <w:bottom w:w="0" w:type="dxa"/>
              <w:right w:w="108" w:type="dxa"/>
            </w:tcMar>
            <w:hideMark/>
          </w:tcPr>
          <w:p w:rsidR="003B7E53" w:rsidRDefault="003B7E53">
            <w:pPr>
              <w:spacing w:after="0"/>
              <w:rPr>
                <w:rFonts w:eastAsia="Times New Roman" w:cs="Arial"/>
                <w:b/>
                <w:sz w:val="18"/>
                <w:szCs w:val="18"/>
                <w:lang w:val="en-GB" w:eastAsia="nb-NO"/>
              </w:rPr>
            </w:pPr>
            <w:r>
              <w:rPr>
                <w:rFonts w:eastAsia="Times New Roman" w:cs="Arial"/>
                <w:b/>
                <w:sz w:val="18"/>
                <w:szCs w:val="18"/>
                <w:lang w:val="en-GB" w:eastAsia="nb-NO"/>
              </w:rPr>
              <w:t>Treatment intent</w:t>
            </w:r>
          </w:p>
        </w:tc>
        <w:tc>
          <w:tcPr>
            <w:tcW w:w="1568" w:type="dxa"/>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571" w:type="dxa"/>
            <w:tcMar>
              <w:top w:w="0" w:type="dxa"/>
              <w:left w:w="108" w:type="dxa"/>
              <w:bottom w:w="0" w:type="dxa"/>
              <w:right w:w="108" w:type="dxa"/>
            </w:tcMar>
            <w:vAlign w:val="center"/>
          </w:tcPr>
          <w:p w:rsidR="003B7E53" w:rsidRDefault="003B7E53">
            <w:pPr>
              <w:spacing w:after="0"/>
              <w:jc w:val="center"/>
              <w:rPr>
                <w:rFonts w:eastAsia="Times New Roman" w:cs="Arial"/>
                <w:sz w:val="18"/>
                <w:szCs w:val="18"/>
                <w:lang w:val="en-GB" w:eastAsia="nb-NO"/>
              </w:rPr>
            </w:pPr>
          </w:p>
        </w:tc>
        <w:tc>
          <w:tcPr>
            <w:tcW w:w="111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c>
          <w:tcPr>
            <w:tcW w:w="131" w:type="dxa"/>
          </w:tcPr>
          <w:p w:rsidR="003B7E53" w:rsidRDefault="003B7E53">
            <w:pPr>
              <w:spacing w:after="0"/>
              <w:jc w:val="center"/>
              <w:rPr>
                <w:rFonts w:eastAsia="Times New Roman" w:cs="Arial"/>
                <w:sz w:val="18"/>
                <w:szCs w:val="18"/>
                <w:lang w:val="en-GB" w:eastAsia="nb-NO"/>
              </w:rPr>
            </w:pPr>
          </w:p>
        </w:tc>
        <w:tc>
          <w:tcPr>
            <w:tcW w:w="113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tcMar>
              <w:top w:w="0" w:type="dxa"/>
              <w:left w:w="108" w:type="dxa"/>
              <w:bottom w:w="0" w:type="dxa"/>
              <w:right w:w="108" w:type="dxa"/>
            </w:tcMar>
          </w:tcPr>
          <w:p w:rsidR="003B7E53" w:rsidRDefault="003B7E53">
            <w:pPr>
              <w:spacing w:after="0"/>
              <w:rPr>
                <w:rFonts w:eastAsia="Times New Roman" w:cs="Arial"/>
                <w:b/>
                <w:sz w:val="18"/>
                <w:szCs w:val="18"/>
                <w:lang w:val="en-GB" w:eastAsia="nb-NO"/>
              </w:rPr>
            </w:pPr>
          </w:p>
        </w:tc>
        <w:tc>
          <w:tcPr>
            <w:tcW w:w="2099" w:type="dxa"/>
            <w:hideMark/>
          </w:tcPr>
          <w:p w:rsidR="003B7E53" w:rsidRDefault="003B7E53">
            <w:pPr>
              <w:spacing w:after="0"/>
              <w:rPr>
                <w:rFonts w:eastAsia="Times New Roman" w:cs="Arial"/>
                <w:sz w:val="18"/>
                <w:szCs w:val="18"/>
                <w:vertAlign w:val="superscript"/>
                <w:lang w:val="en-GB" w:eastAsia="nb-NO"/>
              </w:rPr>
            </w:pPr>
            <w:r>
              <w:rPr>
                <w:rFonts w:eastAsia="Times New Roman" w:cs="Arial"/>
                <w:sz w:val="18"/>
                <w:szCs w:val="18"/>
                <w:lang w:val="en-GB" w:eastAsia="nb-NO"/>
              </w:rPr>
              <w:t>Curative</w:t>
            </w:r>
          </w:p>
        </w:tc>
        <w:tc>
          <w:tcPr>
            <w:tcW w:w="1568"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43% (27-59)</w:t>
            </w:r>
          </w:p>
        </w:tc>
        <w:tc>
          <w:tcPr>
            <w:tcW w:w="1571" w:type="dxa"/>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17% (11-24)</w:t>
            </w:r>
          </w:p>
        </w:tc>
        <w:tc>
          <w:tcPr>
            <w:tcW w:w="1114"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w:t>
            </w:r>
          </w:p>
        </w:tc>
        <w:tc>
          <w:tcPr>
            <w:tcW w:w="567" w:type="dxa"/>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w:t>
            </w:r>
          </w:p>
        </w:tc>
        <w:tc>
          <w:tcPr>
            <w:tcW w:w="131" w:type="dxa"/>
          </w:tcPr>
          <w:p w:rsidR="003B7E53" w:rsidRDefault="003B7E53">
            <w:pPr>
              <w:spacing w:after="0"/>
              <w:jc w:val="center"/>
              <w:rPr>
                <w:rFonts w:eastAsia="Times New Roman" w:cs="Arial"/>
                <w:sz w:val="18"/>
                <w:szCs w:val="18"/>
                <w:lang w:val="en-GB" w:eastAsia="nb-NO"/>
              </w:rPr>
            </w:pPr>
          </w:p>
        </w:tc>
        <w:tc>
          <w:tcPr>
            <w:tcW w:w="1134" w:type="dxa"/>
          </w:tcPr>
          <w:p w:rsidR="003B7E53" w:rsidRDefault="003B7E53">
            <w:pPr>
              <w:spacing w:after="0"/>
              <w:jc w:val="center"/>
              <w:rPr>
                <w:rFonts w:eastAsia="Times New Roman" w:cs="Arial"/>
                <w:sz w:val="18"/>
                <w:szCs w:val="18"/>
                <w:lang w:val="en-GB" w:eastAsia="nb-NO"/>
              </w:rPr>
            </w:pPr>
          </w:p>
        </w:tc>
        <w:tc>
          <w:tcPr>
            <w:tcW w:w="567" w:type="dxa"/>
          </w:tcPr>
          <w:p w:rsidR="003B7E53" w:rsidRDefault="003B7E53">
            <w:pPr>
              <w:spacing w:after="0"/>
              <w:jc w:val="center"/>
              <w:rPr>
                <w:rFonts w:eastAsia="Times New Roman" w:cs="Arial"/>
                <w:sz w:val="18"/>
                <w:szCs w:val="18"/>
                <w:lang w:val="en-GB" w:eastAsia="nb-NO"/>
              </w:rPr>
            </w:pPr>
          </w:p>
        </w:tc>
      </w:tr>
      <w:tr w:rsidR="003B7E53" w:rsidTr="003B7E53">
        <w:trPr>
          <w:trHeight w:val="70"/>
        </w:trPr>
        <w:tc>
          <w:tcPr>
            <w:tcW w:w="277" w:type="dxa"/>
            <w:tcBorders>
              <w:top w:val="nil"/>
              <w:left w:val="nil"/>
              <w:bottom w:val="single" w:sz="4" w:space="0" w:color="auto"/>
              <w:right w:val="nil"/>
            </w:tcBorders>
            <w:tcMar>
              <w:top w:w="0" w:type="dxa"/>
              <w:left w:w="108" w:type="dxa"/>
              <w:bottom w:w="0" w:type="dxa"/>
              <w:right w:w="108" w:type="dxa"/>
            </w:tcMar>
          </w:tcPr>
          <w:p w:rsidR="003B7E53" w:rsidRDefault="003B7E53">
            <w:pPr>
              <w:spacing w:after="0"/>
              <w:rPr>
                <w:rFonts w:eastAsia="Times New Roman" w:cs="Arial"/>
                <w:b/>
                <w:sz w:val="18"/>
                <w:szCs w:val="18"/>
                <w:lang w:val="en-GB" w:eastAsia="nb-NO"/>
              </w:rPr>
            </w:pPr>
          </w:p>
        </w:tc>
        <w:tc>
          <w:tcPr>
            <w:tcW w:w="2099" w:type="dxa"/>
            <w:tcBorders>
              <w:top w:val="nil"/>
              <w:left w:val="nil"/>
              <w:bottom w:val="single" w:sz="4" w:space="0" w:color="auto"/>
              <w:right w:val="nil"/>
            </w:tcBorders>
            <w:hideMark/>
          </w:tcPr>
          <w:p w:rsidR="003B7E53" w:rsidRDefault="003B7E53">
            <w:pPr>
              <w:spacing w:after="0"/>
              <w:rPr>
                <w:rFonts w:eastAsia="Times New Roman" w:cs="Arial"/>
                <w:sz w:val="18"/>
                <w:szCs w:val="18"/>
                <w:lang w:val="en-GB" w:eastAsia="nb-NO"/>
              </w:rPr>
            </w:pPr>
            <w:r>
              <w:rPr>
                <w:rFonts w:eastAsia="Times New Roman" w:cs="Arial"/>
                <w:sz w:val="18"/>
                <w:szCs w:val="18"/>
                <w:lang w:val="en-GB" w:eastAsia="nb-NO"/>
              </w:rPr>
              <w:t>Palliative</w:t>
            </w:r>
          </w:p>
        </w:tc>
        <w:tc>
          <w:tcPr>
            <w:tcW w:w="1568" w:type="dxa"/>
            <w:tcBorders>
              <w:top w:val="nil"/>
              <w:left w:val="nil"/>
              <w:bottom w:val="single" w:sz="4" w:space="0" w:color="auto"/>
              <w:right w:val="nil"/>
            </w:tcBorders>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61% (43-76)</w:t>
            </w:r>
          </w:p>
        </w:tc>
        <w:tc>
          <w:tcPr>
            <w:tcW w:w="1571" w:type="dxa"/>
            <w:tcBorders>
              <w:top w:val="nil"/>
              <w:left w:val="nil"/>
              <w:bottom w:val="single" w:sz="4" w:space="0" w:color="auto"/>
              <w:right w:val="nil"/>
            </w:tcBorders>
            <w:tcMar>
              <w:top w:w="0" w:type="dxa"/>
              <w:left w:w="108" w:type="dxa"/>
              <w:bottom w:w="0" w:type="dxa"/>
              <w:right w:w="108" w:type="dxa"/>
            </w:tcMar>
            <w:vAlign w:val="center"/>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 xml:space="preserve"> 26% (19-33)</w:t>
            </w:r>
          </w:p>
        </w:tc>
        <w:tc>
          <w:tcPr>
            <w:tcW w:w="1114" w:type="dxa"/>
            <w:tcBorders>
              <w:top w:val="nil"/>
              <w:left w:val="nil"/>
              <w:bottom w:val="single" w:sz="4" w:space="0" w:color="auto"/>
              <w:right w:val="nil"/>
            </w:tcBorders>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1.6 (1.0-2.6)</w:t>
            </w:r>
          </w:p>
        </w:tc>
        <w:tc>
          <w:tcPr>
            <w:tcW w:w="567" w:type="dxa"/>
            <w:tcBorders>
              <w:top w:val="nil"/>
              <w:left w:val="nil"/>
              <w:bottom w:val="single" w:sz="4" w:space="0" w:color="auto"/>
              <w:right w:val="nil"/>
            </w:tcBorders>
            <w:hideMark/>
          </w:tcPr>
          <w:p w:rsidR="003B7E53" w:rsidRDefault="003B7E53">
            <w:pPr>
              <w:spacing w:after="0"/>
              <w:jc w:val="center"/>
              <w:rPr>
                <w:rFonts w:eastAsia="Times New Roman" w:cs="Arial"/>
                <w:sz w:val="18"/>
                <w:szCs w:val="18"/>
                <w:lang w:val="en-GB" w:eastAsia="nb-NO"/>
              </w:rPr>
            </w:pPr>
            <w:r>
              <w:rPr>
                <w:rFonts w:eastAsia="Times New Roman" w:cs="Arial"/>
                <w:sz w:val="18"/>
                <w:szCs w:val="18"/>
                <w:lang w:val="en-GB" w:eastAsia="nb-NO"/>
              </w:rPr>
              <w:t>0.03</w:t>
            </w:r>
          </w:p>
        </w:tc>
        <w:tc>
          <w:tcPr>
            <w:tcW w:w="131" w:type="dxa"/>
            <w:tcBorders>
              <w:top w:val="nil"/>
              <w:left w:val="nil"/>
              <w:bottom w:val="single" w:sz="4" w:space="0" w:color="auto"/>
              <w:right w:val="nil"/>
            </w:tcBorders>
          </w:tcPr>
          <w:p w:rsidR="003B7E53" w:rsidRDefault="003B7E53">
            <w:pPr>
              <w:spacing w:after="0"/>
              <w:jc w:val="center"/>
              <w:rPr>
                <w:rFonts w:eastAsia="Times New Roman" w:cs="Arial"/>
                <w:sz w:val="18"/>
                <w:szCs w:val="18"/>
                <w:lang w:val="en-GB" w:eastAsia="nb-NO"/>
              </w:rPr>
            </w:pPr>
          </w:p>
        </w:tc>
        <w:tc>
          <w:tcPr>
            <w:tcW w:w="1134" w:type="dxa"/>
            <w:tcBorders>
              <w:top w:val="nil"/>
              <w:left w:val="nil"/>
              <w:bottom w:val="single" w:sz="4" w:space="0" w:color="auto"/>
              <w:right w:val="nil"/>
            </w:tcBorders>
          </w:tcPr>
          <w:p w:rsidR="003B7E53" w:rsidRDefault="003B7E53">
            <w:pPr>
              <w:spacing w:after="0"/>
              <w:jc w:val="center"/>
              <w:rPr>
                <w:rFonts w:eastAsia="Times New Roman" w:cs="Arial"/>
                <w:sz w:val="18"/>
                <w:szCs w:val="18"/>
                <w:vertAlign w:val="superscript"/>
                <w:lang w:val="en-GB" w:eastAsia="nb-NO"/>
              </w:rPr>
            </w:pPr>
          </w:p>
        </w:tc>
        <w:tc>
          <w:tcPr>
            <w:tcW w:w="567" w:type="dxa"/>
            <w:tcBorders>
              <w:top w:val="nil"/>
              <w:left w:val="nil"/>
              <w:bottom w:val="single" w:sz="4" w:space="0" w:color="auto"/>
              <w:right w:val="nil"/>
            </w:tcBorders>
          </w:tcPr>
          <w:p w:rsidR="003B7E53" w:rsidRDefault="003B7E53">
            <w:pPr>
              <w:spacing w:after="0"/>
              <w:jc w:val="center"/>
              <w:rPr>
                <w:rFonts w:eastAsia="Times New Roman" w:cs="Arial"/>
                <w:sz w:val="18"/>
                <w:szCs w:val="18"/>
                <w:lang w:val="en-GB" w:eastAsia="nb-NO"/>
              </w:rPr>
            </w:pPr>
          </w:p>
        </w:tc>
      </w:tr>
    </w:tbl>
    <w:p w:rsidR="003B7E53" w:rsidRDefault="003B7E53" w:rsidP="003B7E53">
      <w:pPr>
        <w:spacing w:after="0"/>
        <w:rPr>
          <w:rFonts w:cs="Arial"/>
          <w:sz w:val="18"/>
          <w:szCs w:val="18"/>
          <w:lang w:val="en-US"/>
        </w:rPr>
      </w:pPr>
      <w:r>
        <w:rPr>
          <w:rFonts w:cs="Arial"/>
          <w:sz w:val="18"/>
          <w:szCs w:val="18"/>
          <w:lang w:val="en-US"/>
        </w:rPr>
        <w:t xml:space="preserve">Abbreviations: CI, Confidence interval; OR, Odds ratio; </w:t>
      </w:r>
    </w:p>
    <w:p w:rsidR="003B7E53" w:rsidRDefault="003B7E53" w:rsidP="003B7E53">
      <w:pPr>
        <w:rPr>
          <w:rFonts w:cs="Arial"/>
          <w:sz w:val="24"/>
          <w:lang w:val="en-US"/>
        </w:rPr>
      </w:pPr>
      <w:proofErr w:type="spellStart"/>
      <w:proofErr w:type="gramStart"/>
      <w:r>
        <w:rPr>
          <w:rFonts w:cs="Arial"/>
          <w:sz w:val="18"/>
          <w:szCs w:val="18"/>
          <w:vertAlign w:val="superscript"/>
          <w:lang w:val="en-US"/>
        </w:rPr>
        <w:t>a</w:t>
      </w:r>
      <w:r>
        <w:rPr>
          <w:rFonts w:cs="Arial"/>
          <w:sz w:val="18"/>
          <w:szCs w:val="18"/>
          <w:lang w:val="en-US"/>
        </w:rPr>
        <w:t>Adjusted</w:t>
      </w:r>
      <w:proofErr w:type="spellEnd"/>
      <w:proofErr w:type="gramEnd"/>
      <w:r>
        <w:rPr>
          <w:rFonts w:cs="Arial"/>
          <w:sz w:val="18"/>
          <w:szCs w:val="18"/>
          <w:lang w:val="en-US"/>
        </w:rPr>
        <w:t xml:space="preserve"> for in-/outpatients due to the setting.</w:t>
      </w:r>
      <w:r>
        <w:rPr>
          <w:rFonts w:cs="Arial"/>
          <w:sz w:val="18"/>
          <w:szCs w:val="18"/>
          <w:vertAlign w:val="superscript"/>
          <w:lang w:val="en-US"/>
        </w:rPr>
        <w:t xml:space="preserve"> </w:t>
      </w:r>
      <w:proofErr w:type="spellStart"/>
      <w:proofErr w:type="gramStart"/>
      <w:r>
        <w:rPr>
          <w:rFonts w:cs="Arial"/>
          <w:sz w:val="18"/>
          <w:szCs w:val="18"/>
          <w:vertAlign w:val="superscript"/>
          <w:lang w:val="en-US"/>
        </w:rPr>
        <w:t>b</w:t>
      </w:r>
      <w:r>
        <w:rPr>
          <w:rFonts w:cs="Arial"/>
          <w:sz w:val="18"/>
          <w:szCs w:val="18"/>
          <w:lang w:val="en-US"/>
        </w:rPr>
        <w:t>Omitted</w:t>
      </w:r>
      <w:proofErr w:type="spellEnd"/>
      <w:proofErr w:type="gramEnd"/>
      <w:r>
        <w:rPr>
          <w:rFonts w:cs="Arial"/>
          <w:sz w:val="18"/>
          <w:szCs w:val="18"/>
          <w:lang w:val="en-US"/>
        </w:rPr>
        <w:t xml:space="preserve">: only one observation. </w:t>
      </w:r>
      <w:proofErr w:type="spellStart"/>
      <w:proofErr w:type="gramStart"/>
      <w:r>
        <w:rPr>
          <w:rFonts w:cs="Arial"/>
          <w:sz w:val="18"/>
          <w:szCs w:val="18"/>
          <w:vertAlign w:val="superscript"/>
          <w:lang w:val="en-US"/>
        </w:rPr>
        <w:t>c</w:t>
      </w:r>
      <w:r>
        <w:rPr>
          <w:rFonts w:cs="Arial"/>
          <w:sz w:val="18"/>
          <w:szCs w:val="18"/>
          <w:lang w:val="en-US"/>
        </w:rPr>
        <w:t>Alone</w:t>
      </w:r>
      <w:proofErr w:type="spellEnd"/>
      <w:proofErr w:type="gramEnd"/>
      <w:r>
        <w:rPr>
          <w:rFonts w:cs="Arial"/>
          <w:sz w:val="18"/>
          <w:szCs w:val="18"/>
          <w:lang w:val="en-US"/>
        </w:rPr>
        <w:t xml:space="preserve"> or in combination with radio-therapy or other treatment. </w:t>
      </w:r>
      <w:proofErr w:type="spellStart"/>
      <w:proofErr w:type="gramStart"/>
      <w:r>
        <w:rPr>
          <w:rFonts w:cs="Arial"/>
          <w:sz w:val="18"/>
          <w:szCs w:val="18"/>
          <w:vertAlign w:val="superscript"/>
          <w:lang w:val="en-US"/>
        </w:rPr>
        <w:t>d</w:t>
      </w:r>
      <w:r>
        <w:rPr>
          <w:rFonts w:cs="Arial"/>
          <w:sz w:val="18"/>
          <w:szCs w:val="18"/>
          <w:lang w:val="en-US"/>
        </w:rPr>
        <w:t>Alone</w:t>
      </w:r>
      <w:proofErr w:type="spellEnd"/>
      <w:proofErr w:type="gramEnd"/>
      <w:r>
        <w:rPr>
          <w:rFonts w:cs="Arial"/>
          <w:sz w:val="18"/>
          <w:szCs w:val="18"/>
          <w:lang w:val="en-US"/>
        </w:rPr>
        <w:t xml:space="preserve"> or in combination with treatment other than chemotherapy or targeted therapy.</w:t>
      </w:r>
    </w:p>
    <w:p w:rsidR="003B7E53" w:rsidRPr="003B7E53" w:rsidRDefault="003B7E53" w:rsidP="003B7E53">
      <w:pPr>
        <w:rPr>
          <w:rFonts w:cs="Arial"/>
          <w:lang w:val="en-US"/>
        </w:rPr>
      </w:pPr>
    </w:p>
    <w:p w:rsidR="003B7E53" w:rsidRDefault="003B7E53">
      <w:pPr>
        <w:spacing w:line="276" w:lineRule="auto"/>
        <w:rPr>
          <w:rFonts w:cs="Arial"/>
          <w:b/>
          <w:bCs/>
          <w:sz w:val="18"/>
          <w:szCs w:val="18"/>
          <w:lang w:val="en-GB"/>
        </w:rPr>
      </w:pPr>
      <w:r>
        <w:rPr>
          <w:rFonts w:cs="Arial"/>
          <w:lang w:val="en-GB"/>
        </w:rPr>
        <w:br w:type="page"/>
      </w:r>
    </w:p>
    <w:p w:rsidR="003B7E53" w:rsidRDefault="003B7E53" w:rsidP="003B7E53">
      <w:pPr>
        <w:pStyle w:val="Caption"/>
        <w:keepNext/>
        <w:ind w:right="708"/>
        <w:rPr>
          <w:rFonts w:cs="Arial"/>
          <w:color w:val="auto"/>
          <w:lang w:val="en-GB"/>
        </w:rPr>
      </w:pPr>
      <w:r>
        <w:rPr>
          <w:rFonts w:cs="Arial"/>
          <w:color w:val="auto"/>
          <w:lang w:val="en-GB"/>
        </w:rPr>
        <w:lastRenderedPageBreak/>
        <w:t xml:space="preserve">Table 4 </w:t>
      </w:r>
      <w:proofErr w:type="spellStart"/>
      <w:r>
        <w:rPr>
          <w:rFonts w:cs="Arial"/>
          <w:color w:val="auto"/>
          <w:lang w:val="en-GB"/>
        </w:rPr>
        <w:t>Univariable</w:t>
      </w:r>
      <w:proofErr w:type="spellEnd"/>
      <w:r>
        <w:rPr>
          <w:rFonts w:cs="Arial"/>
          <w:color w:val="auto"/>
          <w:lang w:val="en-GB"/>
        </w:rPr>
        <w:t xml:space="preserve"> and multivariable analyses of the association between wanting more focus on weight </w:t>
      </w:r>
      <w:proofErr w:type="gramStart"/>
      <w:r>
        <w:rPr>
          <w:rFonts w:cs="Arial"/>
          <w:color w:val="auto"/>
          <w:lang w:val="en-GB"/>
        </w:rPr>
        <w:t>loss and nutrition</w:t>
      </w:r>
      <w:proofErr w:type="gramEnd"/>
      <w:r>
        <w:rPr>
          <w:rFonts w:cs="Arial"/>
          <w:color w:val="auto"/>
          <w:lang w:val="en-GB"/>
        </w:rPr>
        <w:t xml:space="preserve"> and different factors</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
        <w:gridCol w:w="2307"/>
        <w:gridCol w:w="531"/>
        <w:gridCol w:w="257"/>
        <w:gridCol w:w="514"/>
        <w:gridCol w:w="257"/>
        <w:gridCol w:w="514"/>
        <w:gridCol w:w="603"/>
        <w:gridCol w:w="270"/>
        <w:gridCol w:w="532"/>
        <w:gridCol w:w="257"/>
        <w:gridCol w:w="514"/>
        <w:gridCol w:w="257"/>
        <w:gridCol w:w="514"/>
        <w:gridCol w:w="584"/>
        <w:gridCol w:w="257"/>
      </w:tblGrid>
      <w:tr w:rsidR="003B7E53" w:rsidTr="003B7E53">
        <w:tc>
          <w:tcPr>
            <w:tcW w:w="2561" w:type="dxa"/>
            <w:gridSpan w:val="2"/>
            <w:tcBorders>
              <w:top w:val="single" w:sz="4" w:space="0" w:color="auto"/>
              <w:left w:val="nil"/>
              <w:bottom w:val="nil"/>
              <w:right w:val="nil"/>
            </w:tcBorders>
            <w:shd w:val="clear" w:color="auto" w:fill="BFBFBF" w:themeFill="background1" w:themeFillShade="BF"/>
          </w:tcPr>
          <w:p w:rsidR="003B7E53" w:rsidRDefault="003B7E53">
            <w:pPr>
              <w:rPr>
                <w:rFonts w:cs="Arial"/>
                <w:b/>
                <w:sz w:val="18"/>
                <w:szCs w:val="18"/>
                <w:lang w:val="en-US"/>
              </w:rPr>
            </w:pPr>
          </w:p>
        </w:tc>
        <w:tc>
          <w:tcPr>
            <w:tcW w:w="2676" w:type="dxa"/>
            <w:gridSpan w:val="6"/>
            <w:tcBorders>
              <w:top w:val="single" w:sz="4" w:space="0" w:color="auto"/>
              <w:left w:val="nil"/>
              <w:bottom w:val="nil"/>
              <w:right w:val="nil"/>
            </w:tcBorders>
            <w:shd w:val="clear" w:color="auto" w:fill="BFBFBF" w:themeFill="background1" w:themeFillShade="BF"/>
            <w:vAlign w:val="center"/>
            <w:hideMark/>
          </w:tcPr>
          <w:p w:rsidR="003B7E53" w:rsidRDefault="003B7E53">
            <w:pPr>
              <w:ind w:left="-114" w:right="-108"/>
              <w:jc w:val="center"/>
              <w:rPr>
                <w:rFonts w:cs="Arial"/>
                <w:sz w:val="18"/>
                <w:szCs w:val="18"/>
                <w:lang w:val="en-US"/>
              </w:rPr>
            </w:pPr>
            <w:proofErr w:type="spellStart"/>
            <w:r>
              <w:rPr>
                <w:rFonts w:cs="Arial"/>
                <w:sz w:val="18"/>
                <w:szCs w:val="18"/>
                <w:lang w:val="en-US"/>
              </w:rPr>
              <w:t>Univariable</w:t>
            </w:r>
            <w:proofErr w:type="spellEnd"/>
            <w:r>
              <w:rPr>
                <w:rFonts w:cs="Arial"/>
                <w:sz w:val="18"/>
                <w:szCs w:val="18"/>
                <w:lang w:val="en-US"/>
              </w:rPr>
              <w:t xml:space="preserve"> analysis</w:t>
            </w:r>
          </w:p>
        </w:tc>
        <w:tc>
          <w:tcPr>
            <w:tcW w:w="270" w:type="dxa"/>
            <w:tcBorders>
              <w:top w:val="single" w:sz="4" w:space="0" w:color="auto"/>
              <w:left w:val="nil"/>
              <w:bottom w:val="nil"/>
              <w:right w:val="nil"/>
            </w:tcBorders>
            <w:shd w:val="clear" w:color="auto" w:fill="BFBFBF" w:themeFill="background1" w:themeFillShade="BF"/>
          </w:tcPr>
          <w:p w:rsidR="003B7E53" w:rsidRDefault="003B7E53">
            <w:pPr>
              <w:jc w:val="center"/>
              <w:rPr>
                <w:rFonts w:cs="Arial"/>
                <w:sz w:val="18"/>
                <w:szCs w:val="18"/>
                <w:lang w:val="en-US"/>
              </w:rPr>
            </w:pPr>
          </w:p>
        </w:tc>
        <w:tc>
          <w:tcPr>
            <w:tcW w:w="2658" w:type="dxa"/>
            <w:gridSpan w:val="6"/>
            <w:tcBorders>
              <w:top w:val="single" w:sz="4" w:space="0" w:color="auto"/>
              <w:left w:val="nil"/>
              <w:bottom w:val="nil"/>
              <w:right w:val="nil"/>
            </w:tcBorders>
            <w:shd w:val="clear" w:color="auto" w:fill="BFBFBF" w:themeFill="background1" w:themeFillShade="BF"/>
            <w:vAlign w:val="center"/>
            <w:hideMark/>
          </w:tcPr>
          <w:p w:rsidR="003B7E53" w:rsidRDefault="003B7E53">
            <w:pPr>
              <w:ind w:left="-108" w:right="-122"/>
              <w:jc w:val="center"/>
              <w:rPr>
                <w:rFonts w:cs="Arial"/>
                <w:sz w:val="18"/>
                <w:szCs w:val="18"/>
                <w:vertAlign w:val="superscript"/>
                <w:lang w:val="en-US"/>
              </w:rPr>
            </w:pPr>
            <w:r>
              <w:rPr>
                <w:rFonts w:cs="Arial"/>
                <w:sz w:val="18"/>
                <w:szCs w:val="18"/>
                <w:lang w:val="en-US"/>
              </w:rPr>
              <w:t xml:space="preserve">Multivariable </w:t>
            </w:r>
            <w:proofErr w:type="spellStart"/>
            <w:r>
              <w:rPr>
                <w:rFonts w:cs="Arial"/>
                <w:sz w:val="18"/>
                <w:szCs w:val="18"/>
                <w:lang w:val="en-US"/>
              </w:rPr>
              <w:t>analysis</w:t>
            </w:r>
            <w:r>
              <w:rPr>
                <w:rFonts w:cs="Arial"/>
                <w:sz w:val="18"/>
                <w:szCs w:val="18"/>
                <w:vertAlign w:val="superscript"/>
                <w:lang w:val="en-US"/>
              </w:rPr>
              <w:t>a</w:t>
            </w:r>
            <w:proofErr w:type="spellEnd"/>
          </w:p>
        </w:tc>
        <w:tc>
          <w:tcPr>
            <w:tcW w:w="257" w:type="dxa"/>
            <w:tcBorders>
              <w:top w:val="single" w:sz="4" w:space="0" w:color="auto"/>
              <w:left w:val="nil"/>
              <w:bottom w:val="nil"/>
              <w:right w:val="nil"/>
            </w:tcBorders>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tcBorders>
              <w:top w:val="nil"/>
              <w:left w:val="nil"/>
              <w:bottom w:val="single" w:sz="4" w:space="0" w:color="auto"/>
              <w:right w:val="nil"/>
            </w:tcBorders>
            <w:shd w:val="clear" w:color="auto" w:fill="BFBFBF" w:themeFill="background1" w:themeFillShade="BF"/>
          </w:tcPr>
          <w:p w:rsidR="003B7E53" w:rsidRDefault="003B7E53">
            <w:pPr>
              <w:rPr>
                <w:rFonts w:cs="Arial"/>
                <w:b/>
                <w:sz w:val="18"/>
                <w:szCs w:val="18"/>
                <w:lang w:val="en-US"/>
              </w:rPr>
            </w:pPr>
          </w:p>
        </w:tc>
        <w:tc>
          <w:tcPr>
            <w:tcW w:w="788" w:type="dxa"/>
            <w:gridSpan w:val="2"/>
            <w:tcBorders>
              <w:top w:val="nil"/>
              <w:left w:val="nil"/>
              <w:bottom w:val="single" w:sz="4" w:space="0" w:color="auto"/>
              <w:right w:val="nil"/>
            </w:tcBorders>
            <w:shd w:val="clear" w:color="auto" w:fill="BFBFBF" w:themeFill="background1" w:themeFillShade="BF"/>
            <w:vAlign w:val="center"/>
            <w:hideMark/>
          </w:tcPr>
          <w:p w:rsidR="003B7E53" w:rsidRDefault="003B7E53">
            <w:pPr>
              <w:ind w:left="-168" w:firstLine="168"/>
              <w:jc w:val="center"/>
              <w:rPr>
                <w:rFonts w:cs="Arial"/>
                <w:sz w:val="18"/>
                <w:szCs w:val="18"/>
                <w:lang w:val="en-US"/>
              </w:rPr>
            </w:pPr>
            <w:proofErr w:type="spellStart"/>
            <w:r>
              <w:rPr>
                <w:rFonts w:cs="Arial"/>
                <w:sz w:val="18"/>
                <w:szCs w:val="18"/>
                <w:lang w:val="en-US"/>
              </w:rPr>
              <w:t>Coef</w:t>
            </w:r>
            <w:proofErr w:type="spellEnd"/>
          </w:p>
          <w:p w:rsidR="003B7E53" w:rsidRDefault="003B7E53">
            <w:pPr>
              <w:ind w:left="-168" w:firstLine="168"/>
              <w:jc w:val="center"/>
              <w:rPr>
                <w:rFonts w:cs="Arial"/>
                <w:sz w:val="18"/>
                <w:szCs w:val="18"/>
                <w:lang w:val="en-US"/>
              </w:rPr>
            </w:pPr>
            <w:r>
              <w:rPr>
                <w:rFonts w:cs="Arial"/>
                <w:sz w:val="18"/>
                <w:szCs w:val="18"/>
                <w:lang w:val="en-US"/>
              </w:rPr>
              <w:t>(x 10</w:t>
            </w:r>
            <w:r>
              <w:rPr>
                <w:rFonts w:cs="Arial"/>
                <w:sz w:val="18"/>
                <w:szCs w:val="18"/>
                <w:vertAlign w:val="superscript"/>
                <w:lang w:val="en-US"/>
              </w:rPr>
              <w:t>-3</w:t>
            </w:r>
            <w:r>
              <w:rPr>
                <w:rFonts w:cs="Arial"/>
                <w:sz w:val="18"/>
                <w:szCs w:val="18"/>
                <w:lang w:val="en-US"/>
              </w:rPr>
              <w:t>)</w:t>
            </w:r>
          </w:p>
        </w:tc>
        <w:tc>
          <w:tcPr>
            <w:tcW w:w="1285" w:type="dxa"/>
            <w:gridSpan w:val="3"/>
            <w:tcBorders>
              <w:top w:val="nil"/>
              <w:left w:val="nil"/>
              <w:bottom w:val="single" w:sz="4" w:space="0" w:color="auto"/>
              <w:right w:val="nil"/>
            </w:tcBorders>
            <w:shd w:val="clear" w:color="auto" w:fill="BFBFBF" w:themeFill="background1" w:themeFillShade="BF"/>
            <w:vAlign w:val="center"/>
            <w:hideMark/>
          </w:tcPr>
          <w:p w:rsidR="003B7E53" w:rsidRDefault="003B7E53">
            <w:pPr>
              <w:ind w:left="-114" w:right="-108"/>
              <w:jc w:val="center"/>
              <w:rPr>
                <w:rFonts w:cs="Arial"/>
                <w:sz w:val="18"/>
                <w:szCs w:val="18"/>
                <w:lang w:val="en-US"/>
              </w:rPr>
            </w:pPr>
            <w:r>
              <w:rPr>
                <w:rFonts w:cs="Arial"/>
                <w:sz w:val="18"/>
                <w:szCs w:val="18"/>
                <w:lang w:val="en-US"/>
              </w:rPr>
              <w:t>95% CI</w:t>
            </w:r>
          </w:p>
        </w:tc>
        <w:tc>
          <w:tcPr>
            <w:tcW w:w="873" w:type="dxa"/>
            <w:gridSpan w:val="2"/>
            <w:tcBorders>
              <w:top w:val="nil"/>
              <w:left w:val="nil"/>
              <w:bottom w:val="single" w:sz="4" w:space="0" w:color="auto"/>
              <w:right w:val="nil"/>
            </w:tcBorders>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p</w:t>
            </w:r>
          </w:p>
        </w:tc>
        <w:tc>
          <w:tcPr>
            <w:tcW w:w="789" w:type="dxa"/>
            <w:gridSpan w:val="2"/>
            <w:tcBorders>
              <w:top w:val="nil"/>
              <w:left w:val="nil"/>
              <w:bottom w:val="single" w:sz="4" w:space="0" w:color="auto"/>
              <w:right w:val="nil"/>
            </w:tcBorders>
            <w:shd w:val="clear" w:color="auto" w:fill="BFBFBF" w:themeFill="background1" w:themeFillShade="BF"/>
            <w:vAlign w:val="center"/>
            <w:hideMark/>
          </w:tcPr>
          <w:p w:rsidR="003B7E53" w:rsidRDefault="003B7E53">
            <w:pPr>
              <w:jc w:val="center"/>
              <w:rPr>
                <w:rFonts w:cs="Arial"/>
                <w:sz w:val="18"/>
                <w:szCs w:val="18"/>
                <w:lang w:val="en-US"/>
              </w:rPr>
            </w:pPr>
            <w:proofErr w:type="spellStart"/>
            <w:r>
              <w:rPr>
                <w:rFonts w:cs="Arial"/>
                <w:sz w:val="18"/>
                <w:szCs w:val="18"/>
                <w:lang w:val="en-US"/>
              </w:rPr>
              <w:t>Coef</w:t>
            </w:r>
            <w:proofErr w:type="spellEnd"/>
          </w:p>
          <w:p w:rsidR="003B7E53" w:rsidRDefault="003B7E53">
            <w:pPr>
              <w:jc w:val="center"/>
              <w:rPr>
                <w:rFonts w:cs="Arial"/>
                <w:sz w:val="18"/>
                <w:szCs w:val="18"/>
                <w:lang w:val="en-US"/>
              </w:rPr>
            </w:pPr>
            <w:r>
              <w:rPr>
                <w:rFonts w:cs="Arial"/>
                <w:sz w:val="18"/>
                <w:szCs w:val="18"/>
                <w:lang w:val="en-US"/>
              </w:rPr>
              <w:t>(x 10</w:t>
            </w:r>
            <w:r>
              <w:rPr>
                <w:rFonts w:cs="Arial"/>
                <w:sz w:val="18"/>
                <w:szCs w:val="18"/>
                <w:vertAlign w:val="superscript"/>
                <w:lang w:val="en-US"/>
              </w:rPr>
              <w:t>-3</w:t>
            </w:r>
            <w:r>
              <w:rPr>
                <w:rFonts w:cs="Arial"/>
                <w:sz w:val="18"/>
                <w:szCs w:val="18"/>
                <w:lang w:val="en-US"/>
              </w:rPr>
              <w:t>)</w:t>
            </w:r>
          </w:p>
        </w:tc>
        <w:tc>
          <w:tcPr>
            <w:tcW w:w="1285" w:type="dxa"/>
            <w:gridSpan w:val="3"/>
            <w:tcBorders>
              <w:top w:val="nil"/>
              <w:left w:val="nil"/>
              <w:bottom w:val="single" w:sz="4" w:space="0" w:color="auto"/>
              <w:right w:val="nil"/>
            </w:tcBorders>
            <w:shd w:val="clear" w:color="auto" w:fill="BFBFBF" w:themeFill="background1" w:themeFillShade="BF"/>
            <w:vAlign w:val="center"/>
            <w:hideMark/>
          </w:tcPr>
          <w:p w:rsidR="003B7E53" w:rsidRDefault="003B7E53">
            <w:pPr>
              <w:ind w:left="-108" w:right="-122"/>
              <w:jc w:val="center"/>
              <w:rPr>
                <w:rFonts w:cs="Arial"/>
                <w:sz w:val="18"/>
                <w:szCs w:val="18"/>
                <w:lang w:val="en-US"/>
              </w:rPr>
            </w:pPr>
            <w:r>
              <w:rPr>
                <w:rFonts w:cs="Arial"/>
                <w:sz w:val="18"/>
                <w:szCs w:val="18"/>
                <w:lang w:val="en-US"/>
              </w:rPr>
              <w:t>95% CI</w:t>
            </w:r>
          </w:p>
        </w:tc>
        <w:tc>
          <w:tcPr>
            <w:tcW w:w="841" w:type="dxa"/>
            <w:gridSpan w:val="2"/>
            <w:tcBorders>
              <w:top w:val="nil"/>
              <w:left w:val="nil"/>
              <w:bottom w:val="single" w:sz="4" w:space="0" w:color="auto"/>
              <w:right w:val="nil"/>
            </w:tcBorders>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p</w:t>
            </w:r>
          </w:p>
        </w:tc>
      </w:tr>
      <w:tr w:rsidR="003B7E53" w:rsidTr="003B7E53">
        <w:tc>
          <w:tcPr>
            <w:tcW w:w="2561" w:type="dxa"/>
            <w:gridSpan w:val="2"/>
            <w:tcBorders>
              <w:top w:val="single" w:sz="4" w:space="0" w:color="auto"/>
              <w:left w:val="nil"/>
              <w:bottom w:val="nil"/>
              <w:right w:val="nil"/>
            </w:tcBorders>
            <w:hideMark/>
          </w:tcPr>
          <w:p w:rsidR="003B7E53" w:rsidRDefault="003B7E53">
            <w:pPr>
              <w:rPr>
                <w:rFonts w:cs="Arial"/>
                <w:b/>
                <w:sz w:val="18"/>
                <w:szCs w:val="18"/>
                <w:lang w:val="en-US"/>
              </w:rPr>
            </w:pPr>
            <w:r>
              <w:rPr>
                <w:rFonts w:cs="Arial"/>
                <w:b/>
                <w:sz w:val="18"/>
                <w:szCs w:val="18"/>
                <w:lang w:val="en-US"/>
              </w:rPr>
              <w:t>Age</w:t>
            </w:r>
          </w:p>
        </w:tc>
        <w:tc>
          <w:tcPr>
            <w:tcW w:w="531" w:type="dxa"/>
            <w:tcBorders>
              <w:top w:val="single" w:sz="4" w:space="0" w:color="auto"/>
              <w:left w:val="nil"/>
              <w:bottom w:val="nil"/>
              <w:right w:val="nil"/>
            </w:tcBorders>
            <w:vAlign w:val="center"/>
            <w:hideMark/>
          </w:tcPr>
          <w:p w:rsidR="003B7E53" w:rsidRDefault="003B7E53">
            <w:pPr>
              <w:ind w:right="-108"/>
              <w:jc w:val="right"/>
              <w:rPr>
                <w:rFonts w:cs="Arial"/>
                <w:sz w:val="18"/>
                <w:szCs w:val="18"/>
                <w:lang w:val="en-US"/>
              </w:rPr>
            </w:pPr>
            <w:r>
              <w:rPr>
                <w:rFonts w:cs="Arial"/>
                <w:sz w:val="18"/>
                <w:szCs w:val="18"/>
                <w:lang w:val="en-US"/>
              </w:rPr>
              <w:t xml:space="preserve">    -2</w:t>
            </w:r>
          </w:p>
        </w:tc>
        <w:tc>
          <w:tcPr>
            <w:tcW w:w="257" w:type="dxa"/>
            <w:tcBorders>
              <w:top w:val="single" w:sz="4" w:space="0" w:color="auto"/>
              <w:left w:val="nil"/>
              <w:bottom w:val="nil"/>
              <w:right w:val="nil"/>
            </w:tcBorders>
          </w:tcPr>
          <w:p w:rsidR="003B7E53" w:rsidRDefault="003B7E53">
            <w:pPr>
              <w:ind w:left="-168" w:firstLine="168"/>
              <w:jc w:val="center"/>
              <w:rPr>
                <w:rFonts w:cs="Arial"/>
                <w:sz w:val="18"/>
                <w:szCs w:val="18"/>
                <w:lang w:val="en-US"/>
              </w:rPr>
            </w:pPr>
          </w:p>
        </w:tc>
        <w:tc>
          <w:tcPr>
            <w:tcW w:w="514" w:type="dxa"/>
            <w:tcBorders>
              <w:top w:val="single" w:sz="4" w:space="0" w:color="auto"/>
              <w:left w:val="nil"/>
              <w:bottom w:val="nil"/>
              <w:right w:val="nil"/>
            </w:tcBorders>
            <w:vAlign w:val="center"/>
            <w:hideMark/>
          </w:tcPr>
          <w:p w:rsidR="003B7E53" w:rsidRDefault="003B7E53">
            <w:pPr>
              <w:ind w:right="-102"/>
              <w:jc w:val="right"/>
              <w:rPr>
                <w:rFonts w:cs="Arial"/>
                <w:sz w:val="18"/>
                <w:szCs w:val="18"/>
                <w:lang w:val="en-US"/>
              </w:rPr>
            </w:pPr>
            <w:r>
              <w:rPr>
                <w:rFonts w:cs="Arial"/>
                <w:sz w:val="18"/>
                <w:szCs w:val="18"/>
                <w:lang w:val="en-US"/>
              </w:rPr>
              <w:t xml:space="preserve">    -7</w:t>
            </w:r>
          </w:p>
        </w:tc>
        <w:tc>
          <w:tcPr>
            <w:tcW w:w="257" w:type="dxa"/>
            <w:tcBorders>
              <w:top w:val="single" w:sz="4" w:space="0" w:color="auto"/>
              <w:left w:val="nil"/>
              <w:bottom w:val="nil"/>
              <w:right w:val="nil"/>
            </w:tcBorders>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tcBorders>
              <w:top w:val="single" w:sz="4" w:space="0" w:color="auto"/>
              <w:left w:val="nil"/>
              <w:bottom w:val="nil"/>
              <w:right w:val="nil"/>
            </w:tcBorders>
            <w:vAlign w:val="center"/>
            <w:hideMark/>
          </w:tcPr>
          <w:p w:rsidR="003B7E53" w:rsidRDefault="003B7E53">
            <w:pPr>
              <w:ind w:left="-114" w:right="-108"/>
              <w:rPr>
                <w:rFonts w:cs="Arial"/>
                <w:sz w:val="18"/>
                <w:szCs w:val="18"/>
                <w:lang w:val="en-US"/>
              </w:rPr>
            </w:pPr>
            <w:r>
              <w:rPr>
                <w:rFonts w:cs="Arial"/>
                <w:sz w:val="18"/>
                <w:szCs w:val="18"/>
                <w:lang w:val="en-US"/>
              </w:rPr>
              <w:t>2</w:t>
            </w:r>
          </w:p>
        </w:tc>
        <w:tc>
          <w:tcPr>
            <w:tcW w:w="603" w:type="dxa"/>
            <w:tcBorders>
              <w:top w:val="single" w:sz="4" w:space="0" w:color="auto"/>
              <w:left w:val="nil"/>
              <w:bottom w:val="nil"/>
              <w:right w:val="nil"/>
            </w:tcBorders>
            <w:vAlign w:val="center"/>
            <w:hideMark/>
          </w:tcPr>
          <w:p w:rsidR="003B7E53" w:rsidRDefault="003B7E53">
            <w:pPr>
              <w:ind w:left="-114" w:right="-108"/>
              <w:jc w:val="right"/>
              <w:rPr>
                <w:rFonts w:cs="Arial"/>
                <w:sz w:val="18"/>
                <w:szCs w:val="18"/>
                <w:lang w:val="en-US"/>
              </w:rPr>
            </w:pPr>
            <w:r>
              <w:rPr>
                <w:rFonts w:cs="Arial"/>
                <w:sz w:val="18"/>
                <w:szCs w:val="18"/>
                <w:lang w:val="en-US"/>
              </w:rPr>
              <w:t>0.32</w:t>
            </w:r>
          </w:p>
        </w:tc>
        <w:tc>
          <w:tcPr>
            <w:tcW w:w="270" w:type="dxa"/>
            <w:tcBorders>
              <w:top w:val="single" w:sz="4" w:space="0" w:color="auto"/>
              <w:left w:val="nil"/>
              <w:bottom w:val="nil"/>
              <w:right w:val="nil"/>
            </w:tcBorders>
          </w:tcPr>
          <w:p w:rsidR="003B7E53" w:rsidRDefault="003B7E53">
            <w:pPr>
              <w:jc w:val="center"/>
              <w:rPr>
                <w:rFonts w:cs="Arial"/>
                <w:sz w:val="18"/>
                <w:szCs w:val="18"/>
                <w:lang w:val="en-US"/>
              </w:rPr>
            </w:pPr>
          </w:p>
        </w:tc>
        <w:tc>
          <w:tcPr>
            <w:tcW w:w="532" w:type="dxa"/>
            <w:tcBorders>
              <w:top w:val="single" w:sz="4" w:space="0" w:color="auto"/>
              <w:left w:val="nil"/>
              <w:bottom w:val="nil"/>
              <w:right w:val="nil"/>
            </w:tcBorders>
            <w:vAlign w:val="center"/>
          </w:tcPr>
          <w:p w:rsidR="003B7E53" w:rsidRDefault="003B7E53">
            <w:pPr>
              <w:ind w:right="-105"/>
              <w:jc w:val="right"/>
              <w:rPr>
                <w:rFonts w:cs="Arial"/>
                <w:sz w:val="18"/>
                <w:szCs w:val="18"/>
                <w:lang w:val="en-US"/>
              </w:rPr>
            </w:pPr>
          </w:p>
        </w:tc>
        <w:tc>
          <w:tcPr>
            <w:tcW w:w="257" w:type="dxa"/>
            <w:tcBorders>
              <w:top w:val="single" w:sz="4" w:space="0" w:color="auto"/>
              <w:left w:val="nil"/>
              <w:bottom w:val="nil"/>
              <w:right w:val="nil"/>
            </w:tcBorders>
          </w:tcPr>
          <w:p w:rsidR="003B7E53" w:rsidRDefault="003B7E53">
            <w:pPr>
              <w:jc w:val="center"/>
              <w:rPr>
                <w:rFonts w:cs="Arial"/>
                <w:sz w:val="18"/>
                <w:szCs w:val="18"/>
                <w:lang w:val="en-US"/>
              </w:rPr>
            </w:pPr>
          </w:p>
        </w:tc>
        <w:tc>
          <w:tcPr>
            <w:tcW w:w="514" w:type="dxa"/>
            <w:tcBorders>
              <w:top w:val="single" w:sz="4" w:space="0" w:color="auto"/>
              <w:left w:val="nil"/>
              <w:bottom w:val="nil"/>
              <w:right w:val="nil"/>
            </w:tcBorders>
            <w:vAlign w:val="center"/>
          </w:tcPr>
          <w:p w:rsidR="003B7E53" w:rsidRDefault="003B7E53">
            <w:pPr>
              <w:ind w:right="-99"/>
              <w:jc w:val="right"/>
              <w:rPr>
                <w:rFonts w:cs="Arial"/>
                <w:sz w:val="18"/>
                <w:szCs w:val="18"/>
                <w:lang w:val="en-US"/>
              </w:rPr>
            </w:pPr>
          </w:p>
        </w:tc>
        <w:tc>
          <w:tcPr>
            <w:tcW w:w="257" w:type="dxa"/>
            <w:tcBorders>
              <w:top w:val="single" w:sz="4" w:space="0" w:color="auto"/>
              <w:left w:val="nil"/>
              <w:bottom w:val="nil"/>
              <w:right w:val="nil"/>
            </w:tcBorders>
            <w:vAlign w:val="center"/>
          </w:tcPr>
          <w:p w:rsidR="003B7E53" w:rsidRDefault="003B7E53">
            <w:pPr>
              <w:jc w:val="center"/>
              <w:rPr>
                <w:rFonts w:cs="Arial"/>
                <w:sz w:val="18"/>
                <w:szCs w:val="18"/>
                <w:lang w:val="en-US"/>
              </w:rPr>
            </w:pPr>
          </w:p>
        </w:tc>
        <w:tc>
          <w:tcPr>
            <w:tcW w:w="514" w:type="dxa"/>
            <w:tcBorders>
              <w:top w:val="single" w:sz="4" w:space="0" w:color="auto"/>
              <w:left w:val="nil"/>
              <w:bottom w:val="nil"/>
              <w:right w:val="nil"/>
            </w:tcBorders>
            <w:vAlign w:val="center"/>
          </w:tcPr>
          <w:p w:rsidR="003B7E53" w:rsidRDefault="003B7E53">
            <w:pPr>
              <w:ind w:left="-108" w:right="-122"/>
              <w:rPr>
                <w:rFonts w:cs="Arial"/>
                <w:sz w:val="18"/>
                <w:szCs w:val="18"/>
                <w:lang w:val="en-US"/>
              </w:rPr>
            </w:pPr>
          </w:p>
        </w:tc>
        <w:tc>
          <w:tcPr>
            <w:tcW w:w="584" w:type="dxa"/>
            <w:tcBorders>
              <w:top w:val="single" w:sz="4" w:space="0" w:color="auto"/>
              <w:left w:val="nil"/>
              <w:bottom w:val="nil"/>
              <w:right w:val="nil"/>
            </w:tcBorders>
            <w:vAlign w:val="center"/>
          </w:tcPr>
          <w:p w:rsidR="003B7E53" w:rsidRDefault="003B7E53">
            <w:pPr>
              <w:ind w:left="-108" w:right="-122"/>
              <w:jc w:val="right"/>
              <w:rPr>
                <w:rFonts w:cs="Arial"/>
                <w:sz w:val="18"/>
                <w:szCs w:val="18"/>
                <w:lang w:val="en-US"/>
              </w:rPr>
            </w:pPr>
          </w:p>
        </w:tc>
        <w:tc>
          <w:tcPr>
            <w:tcW w:w="257" w:type="dxa"/>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Gender</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jc w:val="cente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Female</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hideMark/>
          </w:tcPr>
          <w:p w:rsidR="003B7E53" w:rsidRDefault="003B7E53">
            <w:pPr>
              <w:ind w:right="-105"/>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hideMark/>
          </w:tcPr>
          <w:p w:rsidR="003B7E53" w:rsidRDefault="003B7E53">
            <w:pPr>
              <w:ind w:left="-108" w:right="-99"/>
              <w:jc w:val="right"/>
              <w:rPr>
                <w:rFonts w:cs="Arial"/>
                <w:sz w:val="18"/>
                <w:szCs w:val="18"/>
                <w:lang w:val="en-US"/>
              </w:rPr>
            </w:pPr>
            <w:r>
              <w:rPr>
                <w:rFonts w:cs="Arial"/>
                <w:sz w:val="18"/>
                <w:szCs w:val="18"/>
                <w:lang w:val="en-US"/>
              </w:rPr>
              <w:t>-</w:t>
            </w: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jc w:val="cente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Male</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-174</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53</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295</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&lt;0.01</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hideMark/>
          </w:tcPr>
          <w:p w:rsidR="003B7E53" w:rsidRDefault="003B7E53">
            <w:pPr>
              <w:ind w:right="-105"/>
              <w:jc w:val="right"/>
              <w:rPr>
                <w:rFonts w:cs="Arial"/>
                <w:sz w:val="18"/>
                <w:szCs w:val="18"/>
                <w:lang w:val="en-US"/>
              </w:rPr>
            </w:pPr>
            <w:r>
              <w:rPr>
                <w:rFonts w:cs="Arial"/>
                <w:sz w:val="18"/>
                <w:szCs w:val="18"/>
                <w:lang w:val="en-US"/>
              </w:rPr>
              <w:t>164</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99"/>
              <w:jc w:val="right"/>
              <w:rPr>
                <w:rFonts w:cs="Arial"/>
                <w:sz w:val="18"/>
                <w:szCs w:val="18"/>
                <w:lang w:val="en-US"/>
              </w:rPr>
            </w:pPr>
            <w:r>
              <w:rPr>
                <w:rFonts w:cs="Arial"/>
                <w:sz w:val="18"/>
                <w:szCs w:val="18"/>
                <w:lang w:val="en-US"/>
              </w:rPr>
              <w:t>50</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08" w:right="-99"/>
              <w:rPr>
                <w:rFonts w:cs="Arial"/>
                <w:sz w:val="18"/>
                <w:szCs w:val="18"/>
                <w:lang w:val="en-US"/>
              </w:rPr>
            </w:pPr>
            <w:r>
              <w:rPr>
                <w:rFonts w:cs="Arial"/>
                <w:sz w:val="18"/>
                <w:szCs w:val="18"/>
                <w:lang w:val="en-US"/>
              </w:rPr>
              <w:t>278</w:t>
            </w:r>
          </w:p>
        </w:tc>
        <w:tc>
          <w:tcPr>
            <w:tcW w:w="584" w:type="dxa"/>
            <w:shd w:val="clear" w:color="auto" w:fill="BFBFBF" w:themeFill="background1" w:themeFillShade="BF"/>
            <w:vAlign w:val="center"/>
            <w:hideMark/>
          </w:tcPr>
          <w:p w:rsidR="003B7E53" w:rsidRDefault="003B7E53">
            <w:pPr>
              <w:ind w:left="-108" w:right="-99"/>
              <w:jc w:val="right"/>
              <w:rPr>
                <w:rFonts w:cs="Arial"/>
                <w:sz w:val="18"/>
                <w:szCs w:val="18"/>
                <w:lang w:val="en-US"/>
              </w:rPr>
            </w:pPr>
            <w:r>
              <w:rPr>
                <w:rFonts w:cs="Arial"/>
                <w:sz w:val="18"/>
                <w:szCs w:val="18"/>
                <w:lang w:val="en-US"/>
              </w:rPr>
              <w:t>&lt;0.01</w:t>
            </w: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Education</w:t>
            </w:r>
          </w:p>
        </w:tc>
        <w:tc>
          <w:tcPr>
            <w:tcW w:w="531" w:type="dxa"/>
            <w:shd w:val="clear" w:color="auto" w:fill="FFFFFF" w:themeFill="background1"/>
            <w:vAlign w:val="center"/>
          </w:tcPr>
          <w:p w:rsidR="003B7E53" w:rsidRDefault="003B7E53">
            <w:pPr>
              <w:ind w:right="-108"/>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102"/>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tcPr>
          <w:p w:rsidR="003B7E53" w:rsidRDefault="003B7E53">
            <w:pPr>
              <w:ind w:left="-114" w:right="-108"/>
              <w:jc w:val="right"/>
              <w:rPr>
                <w:rFonts w:cs="Arial"/>
                <w:sz w:val="18"/>
                <w:szCs w:val="18"/>
                <w:lang w:val="en-US"/>
              </w:rPr>
            </w:pP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≤9 years</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&gt;16 years</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66</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-132</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265</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0.51</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13-16 years</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134</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-54</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322</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0.16</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10-12 years</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171</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10</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333</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0.04</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Cachexia</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No</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hideMark/>
          </w:tcPr>
          <w:p w:rsidR="003B7E53" w:rsidRDefault="003B7E53">
            <w:pPr>
              <w:ind w:right="-105"/>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hideMark/>
          </w:tcPr>
          <w:p w:rsidR="003B7E53" w:rsidRDefault="003B7E53">
            <w:pPr>
              <w:ind w:left="-108" w:right="-99"/>
              <w:jc w:val="right"/>
              <w:rPr>
                <w:rFonts w:cs="Arial"/>
                <w:sz w:val="18"/>
                <w:szCs w:val="18"/>
                <w:lang w:val="en-US"/>
              </w:rPr>
            </w:pPr>
            <w:r>
              <w:rPr>
                <w:rFonts w:cs="Arial"/>
                <w:sz w:val="18"/>
                <w:szCs w:val="18"/>
                <w:lang w:val="en-US"/>
              </w:rPr>
              <w:t>-</w:t>
            </w: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Yes</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377</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249</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506</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&lt;0.001</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hideMark/>
          </w:tcPr>
          <w:p w:rsidR="003B7E53" w:rsidRDefault="003B7E53">
            <w:pPr>
              <w:ind w:right="-105"/>
              <w:jc w:val="right"/>
              <w:rPr>
                <w:rFonts w:cs="Arial"/>
                <w:sz w:val="18"/>
                <w:szCs w:val="18"/>
                <w:lang w:val="en-US"/>
              </w:rPr>
            </w:pPr>
            <w:r>
              <w:rPr>
                <w:rFonts w:cs="Arial"/>
                <w:sz w:val="18"/>
                <w:szCs w:val="18"/>
                <w:lang w:val="en-US"/>
              </w:rPr>
              <w:t>200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99"/>
              <w:jc w:val="right"/>
              <w:rPr>
                <w:rFonts w:cs="Arial"/>
                <w:sz w:val="18"/>
                <w:szCs w:val="18"/>
                <w:lang w:val="en-US"/>
              </w:rPr>
            </w:pPr>
            <w:r>
              <w:rPr>
                <w:rFonts w:cs="Arial"/>
                <w:sz w:val="18"/>
                <w:szCs w:val="18"/>
                <w:lang w:val="en-US"/>
              </w:rPr>
              <w:t>29</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08" w:right="-99"/>
              <w:rPr>
                <w:rFonts w:cs="Arial"/>
                <w:sz w:val="18"/>
                <w:szCs w:val="18"/>
                <w:lang w:val="en-US"/>
              </w:rPr>
            </w:pPr>
            <w:r>
              <w:rPr>
                <w:rFonts w:cs="Arial"/>
                <w:sz w:val="18"/>
                <w:szCs w:val="18"/>
                <w:lang w:val="en-US"/>
              </w:rPr>
              <w:t>372</w:t>
            </w:r>
          </w:p>
        </w:tc>
        <w:tc>
          <w:tcPr>
            <w:tcW w:w="584" w:type="dxa"/>
            <w:shd w:val="clear" w:color="auto" w:fill="BFBFBF" w:themeFill="background1" w:themeFillShade="BF"/>
            <w:vAlign w:val="center"/>
            <w:hideMark/>
          </w:tcPr>
          <w:p w:rsidR="003B7E53" w:rsidRDefault="003B7E53">
            <w:pPr>
              <w:ind w:left="-108" w:right="-99"/>
              <w:jc w:val="right"/>
              <w:rPr>
                <w:rFonts w:cs="Arial"/>
                <w:sz w:val="18"/>
                <w:szCs w:val="18"/>
                <w:lang w:val="en-US"/>
              </w:rPr>
            </w:pPr>
            <w:r>
              <w:rPr>
                <w:rFonts w:cs="Arial"/>
                <w:sz w:val="18"/>
                <w:szCs w:val="18"/>
                <w:lang w:val="en-US"/>
              </w:rPr>
              <w:t>0.02</w:t>
            </w: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Food intake</w:t>
            </w:r>
          </w:p>
        </w:tc>
        <w:tc>
          <w:tcPr>
            <w:tcW w:w="531" w:type="dxa"/>
            <w:shd w:val="clear" w:color="auto" w:fill="FFFFFF" w:themeFill="background1"/>
            <w:vAlign w:val="center"/>
          </w:tcPr>
          <w:p w:rsidR="003B7E53" w:rsidRDefault="003B7E53">
            <w:pPr>
              <w:ind w:right="-108"/>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102"/>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tcPr>
          <w:p w:rsidR="003B7E53" w:rsidRDefault="003B7E53">
            <w:pPr>
              <w:ind w:left="-114" w:right="-108"/>
              <w:jc w:val="right"/>
              <w:rPr>
                <w:rFonts w:cs="Arial"/>
                <w:sz w:val="18"/>
                <w:szCs w:val="18"/>
                <w:lang w:val="en-US"/>
              </w:rPr>
            </w:pP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Unchanged</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Reduced</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246</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115</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377</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&lt;0.001</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Increased</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28</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-190</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247</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0.80</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Cancer type</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proofErr w:type="spellStart"/>
            <w:r>
              <w:rPr>
                <w:rFonts w:cs="Arial"/>
                <w:sz w:val="18"/>
                <w:szCs w:val="18"/>
                <w:lang w:val="en-US"/>
              </w:rPr>
              <w:t>Haematological</w:t>
            </w:r>
            <w:proofErr w:type="spellEnd"/>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Mamma</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-77</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-278</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123</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0.45</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Other</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-22</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-241</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197</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0.84</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Urological/Male genitalia</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55</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-145</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254</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0.59</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Gastrointestinal</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171</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-22</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365</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0.08</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Lung</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274</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-9</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557</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0.06</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Performance status</w:t>
            </w:r>
          </w:p>
        </w:tc>
        <w:tc>
          <w:tcPr>
            <w:tcW w:w="531" w:type="dxa"/>
            <w:shd w:val="clear" w:color="auto" w:fill="FFFFFF" w:themeFill="background1"/>
            <w:vAlign w:val="center"/>
          </w:tcPr>
          <w:p w:rsidR="003B7E53" w:rsidRDefault="003B7E53">
            <w:pPr>
              <w:ind w:right="-108"/>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102"/>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tcPr>
          <w:p w:rsidR="003B7E53" w:rsidRDefault="003B7E53">
            <w:pPr>
              <w:ind w:left="-114" w:right="-108"/>
              <w:jc w:val="right"/>
              <w:rPr>
                <w:rFonts w:cs="Arial"/>
                <w:sz w:val="18"/>
                <w:szCs w:val="18"/>
                <w:lang w:val="en-US"/>
              </w:rPr>
            </w:pP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ECOG PS 0-1</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ECOG PS 2</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101</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-76</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277</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0.26</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ECOG PS 3-4</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152</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-101</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405</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0.24</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Disease stage</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Localized/Locally advanced</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Metastatic</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107</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-14</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228</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0.08</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Treatment intent</w:t>
            </w:r>
          </w:p>
        </w:tc>
        <w:tc>
          <w:tcPr>
            <w:tcW w:w="531" w:type="dxa"/>
            <w:shd w:val="clear" w:color="auto" w:fill="FFFFFF" w:themeFill="background1"/>
            <w:vAlign w:val="center"/>
          </w:tcPr>
          <w:p w:rsidR="003B7E53" w:rsidRDefault="003B7E53">
            <w:pPr>
              <w:ind w:right="-108"/>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102"/>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tcPr>
          <w:p w:rsidR="003B7E53" w:rsidRDefault="003B7E53">
            <w:pPr>
              <w:ind w:left="-114" w:right="-108"/>
              <w:jc w:val="right"/>
              <w:rPr>
                <w:rFonts w:cs="Arial"/>
                <w:sz w:val="18"/>
                <w:szCs w:val="18"/>
                <w:lang w:val="en-US"/>
              </w:rPr>
            </w:pP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Curative</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tcPr>
          <w:p w:rsidR="003B7E53" w:rsidRDefault="003B7E53">
            <w:pPr>
              <w:ind w:left="-114" w:right="-108"/>
              <w:rPr>
                <w:rFonts w:cs="Arial"/>
                <w:sz w:val="18"/>
                <w:szCs w:val="18"/>
                <w:lang w:val="en-US"/>
              </w:rPr>
            </w:pP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4" w:type="dxa"/>
            <w:shd w:val="clear" w:color="auto" w:fill="FFFFFF" w:themeFill="background1"/>
          </w:tcPr>
          <w:p w:rsidR="003B7E53" w:rsidRDefault="003B7E53">
            <w:pPr>
              <w:rPr>
                <w:rFonts w:cs="Arial"/>
                <w:sz w:val="18"/>
                <w:szCs w:val="18"/>
                <w:lang w:val="en-US"/>
              </w:rPr>
            </w:pPr>
          </w:p>
        </w:tc>
        <w:tc>
          <w:tcPr>
            <w:tcW w:w="2307" w:type="dxa"/>
            <w:shd w:val="clear" w:color="auto" w:fill="FFFFFF" w:themeFill="background1"/>
            <w:hideMark/>
          </w:tcPr>
          <w:p w:rsidR="003B7E53" w:rsidRDefault="003B7E53">
            <w:pPr>
              <w:rPr>
                <w:rFonts w:cs="Arial"/>
                <w:sz w:val="18"/>
                <w:szCs w:val="18"/>
                <w:lang w:val="en-US"/>
              </w:rPr>
            </w:pPr>
            <w:r>
              <w:rPr>
                <w:rFonts w:cs="Arial"/>
                <w:sz w:val="18"/>
                <w:szCs w:val="18"/>
                <w:lang w:val="en-US"/>
              </w:rPr>
              <w:t>Palliative</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123</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2</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244</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0.05</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Treatment type</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No treatment</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Chemotherapy/Targeted therapy</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-60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203 </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83</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0.41</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Radiotherapy</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-117</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-315</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82</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0.25</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Other treatment</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-37</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-254</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180</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0.74</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Fatigue score (CFS-7)</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14</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-1</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29</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0.07</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tcPr>
          <w:p w:rsidR="003B7E53" w:rsidRDefault="003B7E53">
            <w:pPr>
              <w:ind w:right="-105"/>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right="-99"/>
              <w:jc w:val="right"/>
              <w:rPr>
                <w:rFonts w:cs="Arial"/>
                <w:sz w:val="18"/>
                <w:szCs w:val="18"/>
                <w:lang w:val="en-US"/>
              </w:rPr>
            </w:pPr>
          </w:p>
        </w:tc>
        <w:tc>
          <w:tcPr>
            <w:tcW w:w="257" w:type="dxa"/>
            <w:shd w:val="clear" w:color="auto" w:fill="FFFFFF" w:themeFill="background1"/>
            <w:vAlign w:val="center"/>
          </w:tcPr>
          <w:p w:rsidR="003B7E53" w:rsidRDefault="003B7E53">
            <w:pPr>
              <w:jc w:val="center"/>
              <w:rPr>
                <w:rFonts w:cs="Arial"/>
                <w:sz w:val="18"/>
                <w:szCs w:val="18"/>
                <w:lang w:val="en-US"/>
              </w:rPr>
            </w:pPr>
          </w:p>
        </w:tc>
        <w:tc>
          <w:tcPr>
            <w:tcW w:w="514" w:type="dxa"/>
            <w:shd w:val="clear" w:color="auto" w:fill="FFFFFF" w:themeFill="background1"/>
            <w:vAlign w:val="center"/>
          </w:tcPr>
          <w:p w:rsidR="003B7E53" w:rsidRDefault="003B7E53">
            <w:pPr>
              <w:ind w:left="-108" w:right="-99"/>
              <w:rPr>
                <w:rFonts w:cs="Arial"/>
                <w:sz w:val="18"/>
                <w:szCs w:val="18"/>
                <w:lang w:val="en-US"/>
              </w:rPr>
            </w:pPr>
          </w:p>
        </w:tc>
        <w:tc>
          <w:tcPr>
            <w:tcW w:w="584" w:type="dxa"/>
            <w:shd w:val="clear" w:color="auto" w:fill="FFFFFF" w:themeFill="background1"/>
            <w:vAlign w:val="center"/>
          </w:tcPr>
          <w:p w:rsidR="003B7E53" w:rsidRDefault="003B7E53">
            <w:pPr>
              <w:ind w:left="-108" w:right="-99"/>
              <w:jc w:val="right"/>
              <w:rPr>
                <w:rFonts w:cs="Arial"/>
                <w:sz w:val="18"/>
                <w:szCs w:val="18"/>
                <w:lang w:val="en-US"/>
              </w:rPr>
            </w:pPr>
          </w:p>
        </w:tc>
        <w:tc>
          <w:tcPr>
            <w:tcW w:w="257" w:type="dxa"/>
            <w:shd w:val="clear" w:color="auto" w:fill="FFFFFF" w:themeFill="background1"/>
          </w:tcPr>
          <w:p w:rsidR="003B7E53" w:rsidRDefault="003B7E53">
            <w:pPr>
              <w:jc w:val="center"/>
              <w:rPr>
                <w:rFonts w:cs="Arial"/>
                <w:sz w:val="18"/>
                <w:szCs w:val="18"/>
                <w:lang w:val="en-US"/>
              </w:rPr>
            </w:pPr>
          </w:p>
        </w:tc>
      </w:tr>
      <w:tr w:rsidR="003B7E53" w:rsidTr="003B7E53">
        <w:tc>
          <w:tcPr>
            <w:tcW w:w="2561" w:type="dxa"/>
            <w:gridSpan w:val="2"/>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Bothered by pain</w:t>
            </w:r>
          </w:p>
        </w:tc>
        <w:tc>
          <w:tcPr>
            <w:tcW w:w="531" w:type="dxa"/>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b/>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No</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0</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4" w:type="dxa"/>
            <w:shd w:val="clear" w:color="auto" w:fill="BFBFBF" w:themeFill="background1" w:themeFillShade="BF"/>
          </w:tcPr>
          <w:p w:rsidR="003B7E53" w:rsidRDefault="003B7E53">
            <w:pPr>
              <w:rPr>
                <w:rFonts w:cs="Arial"/>
                <w:b/>
                <w:sz w:val="18"/>
                <w:szCs w:val="18"/>
                <w:lang w:val="en-US"/>
              </w:rPr>
            </w:pPr>
          </w:p>
        </w:tc>
        <w:tc>
          <w:tcPr>
            <w:tcW w:w="2307" w:type="dxa"/>
            <w:shd w:val="clear" w:color="auto" w:fill="BFBFBF" w:themeFill="background1" w:themeFillShade="BF"/>
            <w:hideMark/>
          </w:tcPr>
          <w:p w:rsidR="003B7E53" w:rsidRDefault="003B7E53">
            <w:pPr>
              <w:rPr>
                <w:rFonts w:cs="Arial"/>
                <w:sz w:val="18"/>
                <w:szCs w:val="18"/>
                <w:lang w:val="en-US"/>
              </w:rPr>
            </w:pPr>
            <w:r>
              <w:rPr>
                <w:rFonts w:cs="Arial"/>
                <w:sz w:val="18"/>
                <w:szCs w:val="18"/>
                <w:lang w:val="en-US"/>
              </w:rPr>
              <w:t>Yes</w:t>
            </w:r>
          </w:p>
        </w:tc>
        <w:tc>
          <w:tcPr>
            <w:tcW w:w="531" w:type="dxa"/>
            <w:shd w:val="clear" w:color="auto" w:fill="BFBFBF" w:themeFill="background1" w:themeFillShade="BF"/>
            <w:vAlign w:val="center"/>
            <w:hideMark/>
          </w:tcPr>
          <w:p w:rsidR="003B7E53" w:rsidRDefault="003B7E53">
            <w:pPr>
              <w:ind w:right="-108"/>
              <w:jc w:val="right"/>
              <w:rPr>
                <w:rFonts w:cs="Arial"/>
                <w:sz w:val="18"/>
                <w:szCs w:val="18"/>
                <w:lang w:val="en-US"/>
              </w:rPr>
            </w:pPr>
            <w:r>
              <w:rPr>
                <w:rFonts w:cs="Arial"/>
                <w:sz w:val="18"/>
                <w:szCs w:val="18"/>
                <w:lang w:val="en-US"/>
              </w:rPr>
              <w:t>75</w:t>
            </w: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hideMark/>
          </w:tcPr>
          <w:p w:rsidR="003B7E53" w:rsidRDefault="003B7E53">
            <w:pPr>
              <w:ind w:right="-102"/>
              <w:jc w:val="right"/>
              <w:rPr>
                <w:rFonts w:cs="Arial"/>
                <w:sz w:val="18"/>
                <w:szCs w:val="18"/>
                <w:lang w:val="en-US"/>
              </w:rPr>
            </w:pPr>
            <w:r>
              <w:rPr>
                <w:rFonts w:cs="Arial"/>
                <w:sz w:val="18"/>
                <w:szCs w:val="18"/>
                <w:lang w:val="en-US"/>
              </w:rPr>
              <w:t xml:space="preserve"> -52</w:t>
            </w:r>
          </w:p>
        </w:tc>
        <w:tc>
          <w:tcPr>
            <w:tcW w:w="257" w:type="dxa"/>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BFBFBF" w:themeFill="background1" w:themeFillShade="BF"/>
            <w:vAlign w:val="center"/>
            <w:hideMark/>
          </w:tcPr>
          <w:p w:rsidR="003B7E53" w:rsidRDefault="003B7E53">
            <w:pPr>
              <w:ind w:left="-114" w:right="-108"/>
              <w:rPr>
                <w:rFonts w:cs="Arial"/>
                <w:sz w:val="18"/>
                <w:szCs w:val="18"/>
                <w:lang w:val="en-US"/>
              </w:rPr>
            </w:pPr>
            <w:r>
              <w:rPr>
                <w:rFonts w:cs="Arial"/>
                <w:sz w:val="18"/>
                <w:szCs w:val="18"/>
                <w:lang w:val="en-US"/>
              </w:rPr>
              <w:t>201</w:t>
            </w:r>
          </w:p>
        </w:tc>
        <w:tc>
          <w:tcPr>
            <w:tcW w:w="603" w:type="dxa"/>
            <w:shd w:val="clear" w:color="auto" w:fill="BFBFBF" w:themeFill="background1" w:themeFillShade="BF"/>
            <w:vAlign w:val="center"/>
            <w:hideMark/>
          </w:tcPr>
          <w:p w:rsidR="003B7E53" w:rsidRDefault="003B7E53">
            <w:pPr>
              <w:ind w:left="-114" w:right="-108"/>
              <w:jc w:val="right"/>
              <w:rPr>
                <w:rFonts w:cs="Arial"/>
                <w:sz w:val="18"/>
                <w:szCs w:val="18"/>
                <w:lang w:val="en-US"/>
              </w:rPr>
            </w:pPr>
            <w:r>
              <w:rPr>
                <w:rFonts w:cs="Arial"/>
                <w:sz w:val="18"/>
                <w:szCs w:val="18"/>
                <w:lang w:val="en-US"/>
              </w:rPr>
              <w:t>0.25</w:t>
            </w:r>
          </w:p>
        </w:tc>
        <w:tc>
          <w:tcPr>
            <w:tcW w:w="270" w:type="dxa"/>
            <w:shd w:val="clear" w:color="auto" w:fill="BFBFBF" w:themeFill="background1" w:themeFillShade="BF"/>
          </w:tcPr>
          <w:p w:rsidR="003B7E53" w:rsidRDefault="003B7E53">
            <w:pPr>
              <w:jc w:val="center"/>
              <w:rPr>
                <w:rFonts w:cs="Arial"/>
                <w:sz w:val="18"/>
                <w:szCs w:val="18"/>
                <w:lang w:val="en-US"/>
              </w:rPr>
            </w:pPr>
          </w:p>
        </w:tc>
        <w:tc>
          <w:tcPr>
            <w:tcW w:w="532" w:type="dxa"/>
            <w:shd w:val="clear" w:color="auto" w:fill="BFBFBF" w:themeFill="background1" w:themeFillShade="BF"/>
            <w:vAlign w:val="center"/>
          </w:tcPr>
          <w:p w:rsidR="003B7E53" w:rsidRDefault="003B7E53">
            <w:pPr>
              <w:ind w:right="-105"/>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right="-99"/>
              <w:jc w:val="right"/>
              <w:rPr>
                <w:rFonts w:cs="Arial"/>
                <w:sz w:val="18"/>
                <w:szCs w:val="18"/>
                <w:lang w:val="en-US"/>
              </w:rPr>
            </w:pPr>
          </w:p>
        </w:tc>
        <w:tc>
          <w:tcPr>
            <w:tcW w:w="257" w:type="dxa"/>
            <w:shd w:val="clear" w:color="auto" w:fill="BFBFBF" w:themeFill="background1" w:themeFillShade="BF"/>
            <w:vAlign w:val="center"/>
          </w:tcPr>
          <w:p w:rsidR="003B7E53" w:rsidRDefault="003B7E53">
            <w:pPr>
              <w:jc w:val="center"/>
              <w:rPr>
                <w:rFonts w:cs="Arial"/>
                <w:sz w:val="18"/>
                <w:szCs w:val="18"/>
                <w:lang w:val="en-US"/>
              </w:rPr>
            </w:pPr>
          </w:p>
        </w:tc>
        <w:tc>
          <w:tcPr>
            <w:tcW w:w="514" w:type="dxa"/>
            <w:shd w:val="clear" w:color="auto" w:fill="BFBFBF" w:themeFill="background1" w:themeFillShade="BF"/>
            <w:vAlign w:val="center"/>
          </w:tcPr>
          <w:p w:rsidR="003B7E53" w:rsidRDefault="003B7E53">
            <w:pPr>
              <w:ind w:left="-108" w:right="-99"/>
              <w:rPr>
                <w:rFonts w:cs="Arial"/>
                <w:sz w:val="18"/>
                <w:szCs w:val="18"/>
                <w:lang w:val="en-US"/>
              </w:rPr>
            </w:pPr>
          </w:p>
        </w:tc>
        <w:tc>
          <w:tcPr>
            <w:tcW w:w="584" w:type="dxa"/>
            <w:shd w:val="clear" w:color="auto" w:fill="BFBFBF" w:themeFill="background1" w:themeFillShade="BF"/>
            <w:vAlign w:val="center"/>
          </w:tcPr>
          <w:p w:rsidR="003B7E53" w:rsidRDefault="003B7E53">
            <w:pPr>
              <w:ind w:left="-108" w:right="-99"/>
              <w:jc w:val="right"/>
              <w:rPr>
                <w:rFonts w:cs="Arial"/>
                <w:sz w:val="18"/>
                <w:szCs w:val="18"/>
                <w:lang w:val="en-US"/>
              </w:rPr>
            </w:pPr>
          </w:p>
        </w:tc>
        <w:tc>
          <w:tcPr>
            <w:tcW w:w="257" w:type="dxa"/>
            <w:shd w:val="clear" w:color="auto" w:fill="BFBFBF" w:themeFill="background1" w:themeFillShade="BF"/>
          </w:tcPr>
          <w:p w:rsidR="003B7E53" w:rsidRDefault="003B7E53">
            <w:pPr>
              <w:jc w:val="center"/>
              <w:rPr>
                <w:rFonts w:cs="Arial"/>
                <w:sz w:val="18"/>
                <w:szCs w:val="18"/>
                <w:lang w:val="en-US"/>
              </w:rPr>
            </w:pPr>
          </w:p>
        </w:tc>
      </w:tr>
      <w:tr w:rsidR="003B7E53" w:rsidTr="003B7E53">
        <w:tc>
          <w:tcPr>
            <w:tcW w:w="2561" w:type="dxa"/>
            <w:gridSpan w:val="2"/>
            <w:shd w:val="clear" w:color="auto" w:fill="FFFFFF" w:themeFill="background1"/>
            <w:hideMark/>
          </w:tcPr>
          <w:p w:rsidR="003B7E53" w:rsidRDefault="003B7E53">
            <w:pPr>
              <w:rPr>
                <w:rFonts w:cs="Arial"/>
                <w:b/>
                <w:sz w:val="18"/>
                <w:szCs w:val="18"/>
                <w:lang w:val="en-US"/>
              </w:rPr>
            </w:pPr>
            <w:r>
              <w:rPr>
                <w:rFonts w:cs="Arial"/>
                <w:b/>
                <w:sz w:val="18"/>
                <w:szCs w:val="18"/>
                <w:lang w:val="en-US"/>
              </w:rPr>
              <w:t>Symptoms of anxiety and depression (PHQ-4)</w:t>
            </w:r>
          </w:p>
        </w:tc>
        <w:tc>
          <w:tcPr>
            <w:tcW w:w="531" w:type="dxa"/>
            <w:shd w:val="clear" w:color="auto" w:fill="FFFFFF" w:themeFill="background1"/>
            <w:vAlign w:val="center"/>
            <w:hideMark/>
          </w:tcPr>
          <w:p w:rsidR="003B7E53" w:rsidRDefault="003B7E53">
            <w:pPr>
              <w:ind w:right="-108"/>
              <w:jc w:val="right"/>
              <w:rPr>
                <w:rFonts w:cs="Arial"/>
                <w:sz w:val="18"/>
                <w:szCs w:val="18"/>
                <w:lang w:val="en-US"/>
              </w:rPr>
            </w:pPr>
            <w:r>
              <w:rPr>
                <w:rFonts w:cs="Arial"/>
                <w:sz w:val="18"/>
                <w:szCs w:val="18"/>
                <w:lang w:val="en-US"/>
              </w:rPr>
              <w:t>52</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102"/>
              <w:jc w:val="right"/>
              <w:rPr>
                <w:rFonts w:cs="Arial"/>
                <w:sz w:val="18"/>
                <w:szCs w:val="18"/>
                <w:lang w:val="en-US"/>
              </w:rPr>
            </w:pPr>
            <w:r>
              <w:rPr>
                <w:rFonts w:cs="Arial"/>
                <w:sz w:val="18"/>
                <w:szCs w:val="18"/>
                <w:lang w:val="en-US"/>
              </w:rPr>
              <w:t xml:space="preserve">  27</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14" w:right="-108"/>
              <w:rPr>
                <w:rFonts w:cs="Arial"/>
                <w:sz w:val="18"/>
                <w:szCs w:val="18"/>
                <w:lang w:val="en-US"/>
              </w:rPr>
            </w:pPr>
            <w:r>
              <w:rPr>
                <w:rFonts w:cs="Arial"/>
                <w:sz w:val="18"/>
                <w:szCs w:val="18"/>
                <w:lang w:val="en-US"/>
              </w:rPr>
              <w:t>77</w:t>
            </w:r>
          </w:p>
        </w:tc>
        <w:tc>
          <w:tcPr>
            <w:tcW w:w="603" w:type="dxa"/>
            <w:shd w:val="clear" w:color="auto" w:fill="FFFFFF" w:themeFill="background1"/>
            <w:vAlign w:val="center"/>
            <w:hideMark/>
          </w:tcPr>
          <w:p w:rsidR="003B7E53" w:rsidRDefault="003B7E53">
            <w:pPr>
              <w:ind w:left="-114" w:right="-108"/>
              <w:jc w:val="right"/>
              <w:rPr>
                <w:rFonts w:cs="Arial"/>
                <w:sz w:val="18"/>
                <w:szCs w:val="18"/>
                <w:lang w:val="en-US"/>
              </w:rPr>
            </w:pPr>
            <w:r>
              <w:rPr>
                <w:rFonts w:cs="Arial"/>
                <w:sz w:val="18"/>
                <w:szCs w:val="18"/>
                <w:lang w:val="en-US"/>
              </w:rPr>
              <w:t>&lt;0.001</w:t>
            </w:r>
          </w:p>
        </w:tc>
        <w:tc>
          <w:tcPr>
            <w:tcW w:w="270" w:type="dxa"/>
            <w:shd w:val="clear" w:color="auto" w:fill="FFFFFF" w:themeFill="background1"/>
          </w:tcPr>
          <w:p w:rsidR="003B7E53" w:rsidRDefault="003B7E53">
            <w:pPr>
              <w:jc w:val="center"/>
              <w:rPr>
                <w:rFonts w:cs="Arial"/>
                <w:sz w:val="18"/>
                <w:szCs w:val="18"/>
                <w:lang w:val="en-US"/>
              </w:rPr>
            </w:pPr>
          </w:p>
        </w:tc>
        <w:tc>
          <w:tcPr>
            <w:tcW w:w="532" w:type="dxa"/>
            <w:shd w:val="clear" w:color="auto" w:fill="FFFFFF" w:themeFill="background1"/>
            <w:vAlign w:val="center"/>
            <w:hideMark/>
          </w:tcPr>
          <w:p w:rsidR="003B7E53" w:rsidRDefault="003B7E53">
            <w:pPr>
              <w:ind w:right="-105"/>
              <w:jc w:val="right"/>
              <w:rPr>
                <w:rFonts w:cs="Arial"/>
                <w:sz w:val="18"/>
                <w:szCs w:val="18"/>
                <w:lang w:val="en-US"/>
              </w:rPr>
            </w:pPr>
            <w:r>
              <w:rPr>
                <w:rFonts w:cs="Arial"/>
                <w:sz w:val="18"/>
                <w:szCs w:val="18"/>
                <w:lang w:val="en-US"/>
              </w:rPr>
              <w:t>30</w:t>
            </w:r>
          </w:p>
        </w:tc>
        <w:tc>
          <w:tcPr>
            <w:tcW w:w="257" w:type="dxa"/>
            <w:shd w:val="clear" w:color="auto" w:fill="FFFFFF" w:themeFill="background1"/>
          </w:tcPr>
          <w:p w:rsidR="003B7E53" w:rsidRDefault="003B7E53">
            <w:pPr>
              <w:jc w:val="center"/>
              <w:rPr>
                <w:rFonts w:cs="Arial"/>
                <w:sz w:val="18"/>
                <w:szCs w:val="18"/>
                <w:lang w:val="en-US"/>
              </w:rPr>
            </w:pPr>
          </w:p>
        </w:tc>
        <w:tc>
          <w:tcPr>
            <w:tcW w:w="514" w:type="dxa"/>
            <w:shd w:val="clear" w:color="auto" w:fill="FFFFFF" w:themeFill="background1"/>
            <w:vAlign w:val="center"/>
            <w:hideMark/>
          </w:tcPr>
          <w:p w:rsidR="003B7E53" w:rsidRDefault="003B7E53">
            <w:pPr>
              <w:ind w:right="-99"/>
              <w:jc w:val="right"/>
              <w:rPr>
                <w:rFonts w:cs="Arial"/>
                <w:sz w:val="18"/>
                <w:szCs w:val="18"/>
                <w:lang w:val="en-US"/>
              </w:rPr>
            </w:pPr>
            <w:r>
              <w:rPr>
                <w:rFonts w:cs="Arial"/>
                <w:sz w:val="18"/>
                <w:szCs w:val="18"/>
                <w:lang w:val="en-US"/>
              </w:rPr>
              <w:t>0.3</w:t>
            </w:r>
          </w:p>
        </w:tc>
        <w:tc>
          <w:tcPr>
            <w:tcW w:w="257" w:type="dxa"/>
            <w:shd w:val="clear" w:color="auto" w:fill="FFFFFF" w:themeFill="background1"/>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shd w:val="clear" w:color="auto" w:fill="FFFFFF" w:themeFill="background1"/>
            <w:vAlign w:val="center"/>
            <w:hideMark/>
          </w:tcPr>
          <w:p w:rsidR="003B7E53" w:rsidRDefault="003B7E53">
            <w:pPr>
              <w:ind w:left="-108" w:right="-99"/>
              <w:rPr>
                <w:rFonts w:cs="Arial"/>
                <w:sz w:val="18"/>
                <w:szCs w:val="18"/>
                <w:lang w:val="en-US"/>
              </w:rPr>
            </w:pPr>
            <w:r>
              <w:rPr>
                <w:rFonts w:cs="Arial"/>
                <w:sz w:val="18"/>
                <w:szCs w:val="18"/>
                <w:lang w:val="en-US"/>
              </w:rPr>
              <w:t>60</w:t>
            </w:r>
          </w:p>
        </w:tc>
        <w:tc>
          <w:tcPr>
            <w:tcW w:w="584" w:type="dxa"/>
            <w:shd w:val="clear" w:color="auto" w:fill="FFFFFF" w:themeFill="background1"/>
            <w:vAlign w:val="center"/>
            <w:hideMark/>
          </w:tcPr>
          <w:p w:rsidR="003B7E53" w:rsidRDefault="003B7E53">
            <w:pPr>
              <w:ind w:left="-108" w:right="-99"/>
              <w:jc w:val="right"/>
              <w:rPr>
                <w:rFonts w:cs="Arial"/>
                <w:sz w:val="18"/>
                <w:szCs w:val="18"/>
                <w:lang w:val="en-US"/>
              </w:rPr>
            </w:pPr>
            <w:r>
              <w:rPr>
                <w:rFonts w:cs="Arial"/>
                <w:sz w:val="18"/>
                <w:szCs w:val="18"/>
                <w:lang w:val="en-US"/>
              </w:rPr>
              <w:t>0.05</w:t>
            </w:r>
          </w:p>
        </w:tc>
        <w:tc>
          <w:tcPr>
            <w:tcW w:w="257" w:type="dxa"/>
          </w:tcPr>
          <w:p w:rsidR="003B7E53" w:rsidRDefault="003B7E53">
            <w:pPr>
              <w:jc w:val="center"/>
              <w:rPr>
                <w:rFonts w:cs="Arial"/>
                <w:sz w:val="18"/>
                <w:szCs w:val="18"/>
                <w:lang w:val="en-US"/>
              </w:rPr>
            </w:pPr>
          </w:p>
        </w:tc>
      </w:tr>
      <w:tr w:rsidR="003B7E53" w:rsidTr="003B7E53">
        <w:tc>
          <w:tcPr>
            <w:tcW w:w="2561" w:type="dxa"/>
            <w:gridSpan w:val="2"/>
            <w:tcBorders>
              <w:top w:val="nil"/>
              <w:left w:val="nil"/>
              <w:bottom w:val="single" w:sz="4" w:space="0" w:color="auto"/>
              <w:right w:val="nil"/>
            </w:tcBorders>
            <w:shd w:val="clear" w:color="auto" w:fill="BFBFBF" w:themeFill="background1" w:themeFillShade="BF"/>
            <w:hideMark/>
          </w:tcPr>
          <w:p w:rsidR="003B7E53" w:rsidRDefault="003B7E53">
            <w:pPr>
              <w:rPr>
                <w:rFonts w:cs="Arial"/>
                <w:b/>
                <w:sz w:val="18"/>
                <w:szCs w:val="18"/>
                <w:lang w:val="en-US"/>
              </w:rPr>
            </w:pPr>
            <w:r>
              <w:rPr>
                <w:rFonts w:cs="Arial"/>
                <w:b/>
                <w:sz w:val="18"/>
                <w:szCs w:val="18"/>
                <w:lang w:val="en-US"/>
              </w:rPr>
              <w:t>Cachexia by PHQ-4 interaction</w:t>
            </w:r>
          </w:p>
        </w:tc>
        <w:tc>
          <w:tcPr>
            <w:tcW w:w="531" w:type="dxa"/>
            <w:tcBorders>
              <w:top w:val="nil"/>
              <w:left w:val="nil"/>
              <w:bottom w:val="single" w:sz="4" w:space="0" w:color="auto"/>
              <w:right w:val="nil"/>
            </w:tcBorders>
            <w:shd w:val="clear" w:color="auto" w:fill="BFBFBF" w:themeFill="background1" w:themeFillShade="BF"/>
            <w:vAlign w:val="center"/>
          </w:tcPr>
          <w:p w:rsidR="003B7E53" w:rsidRDefault="003B7E53">
            <w:pPr>
              <w:ind w:right="-108"/>
              <w:jc w:val="right"/>
              <w:rPr>
                <w:rFonts w:cs="Arial"/>
                <w:sz w:val="18"/>
                <w:szCs w:val="18"/>
                <w:lang w:val="en-US"/>
              </w:rPr>
            </w:pPr>
          </w:p>
        </w:tc>
        <w:tc>
          <w:tcPr>
            <w:tcW w:w="257" w:type="dxa"/>
            <w:tcBorders>
              <w:top w:val="nil"/>
              <w:left w:val="nil"/>
              <w:bottom w:val="single" w:sz="4" w:space="0" w:color="auto"/>
              <w:right w:val="nil"/>
            </w:tcBorders>
            <w:shd w:val="clear" w:color="auto" w:fill="BFBFBF" w:themeFill="background1" w:themeFillShade="BF"/>
          </w:tcPr>
          <w:p w:rsidR="003B7E53" w:rsidRDefault="003B7E53">
            <w:pPr>
              <w:jc w:val="center"/>
              <w:rPr>
                <w:rFonts w:cs="Arial"/>
                <w:sz w:val="18"/>
                <w:szCs w:val="18"/>
                <w:lang w:val="en-US"/>
              </w:rPr>
            </w:pPr>
          </w:p>
        </w:tc>
        <w:tc>
          <w:tcPr>
            <w:tcW w:w="514" w:type="dxa"/>
            <w:tcBorders>
              <w:top w:val="nil"/>
              <w:left w:val="nil"/>
              <w:bottom w:val="single" w:sz="4" w:space="0" w:color="auto"/>
              <w:right w:val="nil"/>
            </w:tcBorders>
            <w:shd w:val="clear" w:color="auto" w:fill="BFBFBF" w:themeFill="background1" w:themeFillShade="BF"/>
            <w:vAlign w:val="center"/>
          </w:tcPr>
          <w:p w:rsidR="003B7E53" w:rsidRDefault="003B7E53">
            <w:pPr>
              <w:ind w:right="-102"/>
              <w:jc w:val="right"/>
              <w:rPr>
                <w:rFonts w:cs="Arial"/>
                <w:sz w:val="18"/>
                <w:szCs w:val="18"/>
                <w:lang w:val="en-US"/>
              </w:rPr>
            </w:pPr>
          </w:p>
        </w:tc>
        <w:tc>
          <w:tcPr>
            <w:tcW w:w="257" w:type="dxa"/>
            <w:tcBorders>
              <w:top w:val="nil"/>
              <w:left w:val="nil"/>
              <w:bottom w:val="single" w:sz="4" w:space="0" w:color="auto"/>
              <w:right w:val="nil"/>
            </w:tcBorders>
            <w:shd w:val="clear" w:color="auto" w:fill="BFBFBF" w:themeFill="background1" w:themeFillShade="BF"/>
            <w:vAlign w:val="center"/>
          </w:tcPr>
          <w:p w:rsidR="003B7E53" w:rsidRDefault="003B7E53">
            <w:pPr>
              <w:jc w:val="center"/>
              <w:rPr>
                <w:rFonts w:cs="Arial"/>
                <w:sz w:val="18"/>
                <w:szCs w:val="18"/>
                <w:lang w:val="en-US"/>
              </w:rPr>
            </w:pPr>
          </w:p>
        </w:tc>
        <w:tc>
          <w:tcPr>
            <w:tcW w:w="514" w:type="dxa"/>
            <w:tcBorders>
              <w:top w:val="nil"/>
              <w:left w:val="nil"/>
              <w:bottom w:val="single" w:sz="4" w:space="0" w:color="auto"/>
              <w:right w:val="nil"/>
            </w:tcBorders>
            <w:shd w:val="clear" w:color="auto" w:fill="BFBFBF" w:themeFill="background1" w:themeFillShade="BF"/>
            <w:vAlign w:val="center"/>
          </w:tcPr>
          <w:p w:rsidR="003B7E53" w:rsidRDefault="003B7E53">
            <w:pPr>
              <w:ind w:left="-114" w:right="-108"/>
              <w:rPr>
                <w:rFonts w:cs="Arial"/>
                <w:sz w:val="18"/>
                <w:szCs w:val="18"/>
                <w:lang w:val="en-US"/>
              </w:rPr>
            </w:pPr>
          </w:p>
        </w:tc>
        <w:tc>
          <w:tcPr>
            <w:tcW w:w="603" w:type="dxa"/>
            <w:tcBorders>
              <w:top w:val="nil"/>
              <w:left w:val="nil"/>
              <w:bottom w:val="single" w:sz="4" w:space="0" w:color="auto"/>
              <w:right w:val="nil"/>
            </w:tcBorders>
            <w:shd w:val="clear" w:color="auto" w:fill="BFBFBF" w:themeFill="background1" w:themeFillShade="BF"/>
            <w:vAlign w:val="center"/>
          </w:tcPr>
          <w:p w:rsidR="003B7E53" w:rsidRDefault="003B7E53">
            <w:pPr>
              <w:ind w:left="-114" w:right="-108"/>
              <w:jc w:val="right"/>
              <w:rPr>
                <w:rFonts w:cs="Arial"/>
                <w:sz w:val="18"/>
                <w:szCs w:val="18"/>
                <w:lang w:val="en-US"/>
              </w:rPr>
            </w:pPr>
          </w:p>
        </w:tc>
        <w:tc>
          <w:tcPr>
            <w:tcW w:w="270" w:type="dxa"/>
            <w:tcBorders>
              <w:top w:val="nil"/>
              <w:left w:val="nil"/>
              <w:bottom w:val="single" w:sz="4" w:space="0" w:color="auto"/>
              <w:right w:val="nil"/>
            </w:tcBorders>
            <w:shd w:val="clear" w:color="auto" w:fill="BFBFBF" w:themeFill="background1" w:themeFillShade="BF"/>
          </w:tcPr>
          <w:p w:rsidR="003B7E53" w:rsidRDefault="003B7E53">
            <w:pPr>
              <w:jc w:val="center"/>
              <w:rPr>
                <w:rFonts w:cs="Arial"/>
                <w:sz w:val="18"/>
                <w:szCs w:val="18"/>
                <w:lang w:val="en-US"/>
              </w:rPr>
            </w:pPr>
          </w:p>
        </w:tc>
        <w:tc>
          <w:tcPr>
            <w:tcW w:w="532" w:type="dxa"/>
            <w:tcBorders>
              <w:top w:val="nil"/>
              <w:left w:val="nil"/>
              <w:bottom w:val="single" w:sz="4" w:space="0" w:color="auto"/>
              <w:right w:val="nil"/>
            </w:tcBorders>
            <w:shd w:val="clear" w:color="auto" w:fill="BFBFBF" w:themeFill="background1" w:themeFillShade="BF"/>
            <w:vAlign w:val="center"/>
            <w:hideMark/>
          </w:tcPr>
          <w:p w:rsidR="003B7E53" w:rsidRDefault="003B7E53">
            <w:pPr>
              <w:ind w:right="-105"/>
              <w:jc w:val="right"/>
              <w:rPr>
                <w:rFonts w:cs="Arial"/>
                <w:sz w:val="18"/>
                <w:szCs w:val="18"/>
                <w:lang w:val="en-US"/>
              </w:rPr>
            </w:pPr>
            <w:r>
              <w:rPr>
                <w:rFonts w:cs="Arial"/>
                <w:sz w:val="18"/>
                <w:szCs w:val="18"/>
                <w:lang w:val="en-US"/>
              </w:rPr>
              <w:t>63</w:t>
            </w:r>
          </w:p>
        </w:tc>
        <w:tc>
          <w:tcPr>
            <w:tcW w:w="257" w:type="dxa"/>
            <w:tcBorders>
              <w:top w:val="nil"/>
              <w:left w:val="nil"/>
              <w:bottom w:val="single" w:sz="4" w:space="0" w:color="auto"/>
              <w:right w:val="nil"/>
            </w:tcBorders>
            <w:shd w:val="clear" w:color="auto" w:fill="BFBFBF" w:themeFill="background1" w:themeFillShade="BF"/>
          </w:tcPr>
          <w:p w:rsidR="003B7E53" w:rsidRDefault="003B7E53">
            <w:pPr>
              <w:jc w:val="center"/>
              <w:rPr>
                <w:rFonts w:cs="Arial"/>
                <w:sz w:val="18"/>
                <w:szCs w:val="18"/>
                <w:lang w:val="en-US"/>
              </w:rPr>
            </w:pPr>
          </w:p>
        </w:tc>
        <w:tc>
          <w:tcPr>
            <w:tcW w:w="514" w:type="dxa"/>
            <w:tcBorders>
              <w:top w:val="nil"/>
              <w:left w:val="nil"/>
              <w:bottom w:val="single" w:sz="4" w:space="0" w:color="auto"/>
              <w:right w:val="nil"/>
            </w:tcBorders>
            <w:shd w:val="clear" w:color="auto" w:fill="BFBFBF" w:themeFill="background1" w:themeFillShade="BF"/>
            <w:vAlign w:val="center"/>
            <w:hideMark/>
          </w:tcPr>
          <w:p w:rsidR="003B7E53" w:rsidRDefault="003B7E53">
            <w:pPr>
              <w:ind w:right="-99"/>
              <w:jc w:val="right"/>
              <w:rPr>
                <w:rFonts w:cs="Arial"/>
                <w:sz w:val="18"/>
                <w:szCs w:val="18"/>
                <w:lang w:val="en-US"/>
              </w:rPr>
            </w:pPr>
            <w:r>
              <w:rPr>
                <w:rFonts w:cs="Arial"/>
                <w:sz w:val="18"/>
                <w:szCs w:val="18"/>
                <w:lang w:val="en-US"/>
              </w:rPr>
              <w:t>13</w:t>
            </w:r>
          </w:p>
        </w:tc>
        <w:tc>
          <w:tcPr>
            <w:tcW w:w="257" w:type="dxa"/>
            <w:tcBorders>
              <w:top w:val="nil"/>
              <w:left w:val="nil"/>
              <w:bottom w:val="single" w:sz="4" w:space="0" w:color="auto"/>
              <w:right w:val="nil"/>
            </w:tcBorders>
            <w:shd w:val="clear" w:color="auto" w:fill="BFBFBF" w:themeFill="background1" w:themeFillShade="BF"/>
            <w:vAlign w:val="center"/>
            <w:hideMark/>
          </w:tcPr>
          <w:p w:rsidR="003B7E53" w:rsidRDefault="003B7E53">
            <w:pPr>
              <w:jc w:val="center"/>
              <w:rPr>
                <w:rFonts w:cs="Arial"/>
                <w:sz w:val="18"/>
                <w:szCs w:val="18"/>
                <w:lang w:val="en-US"/>
              </w:rPr>
            </w:pPr>
            <w:r>
              <w:rPr>
                <w:rFonts w:cs="Arial"/>
                <w:sz w:val="18"/>
                <w:szCs w:val="18"/>
                <w:lang w:val="en-US"/>
              </w:rPr>
              <w:t>-</w:t>
            </w:r>
          </w:p>
        </w:tc>
        <w:tc>
          <w:tcPr>
            <w:tcW w:w="514" w:type="dxa"/>
            <w:tcBorders>
              <w:top w:val="nil"/>
              <w:left w:val="nil"/>
              <w:bottom w:val="single" w:sz="4" w:space="0" w:color="auto"/>
              <w:right w:val="nil"/>
            </w:tcBorders>
            <w:shd w:val="clear" w:color="auto" w:fill="BFBFBF" w:themeFill="background1" w:themeFillShade="BF"/>
            <w:vAlign w:val="center"/>
            <w:hideMark/>
          </w:tcPr>
          <w:p w:rsidR="003B7E53" w:rsidRDefault="003B7E53">
            <w:pPr>
              <w:ind w:left="-108" w:right="-99"/>
              <w:rPr>
                <w:rFonts w:cs="Arial"/>
                <w:sz w:val="18"/>
                <w:szCs w:val="18"/>
                <w:lang w:val="en-US"/>
              </w:rPr>
            </w:pPr>
            <w:r>
              <w:rPr>
                <w:rFonts w:cs="Arial"/>
                <w:sz w:val="18"/>
                <w:szCs w:val="18"/>
                <w:lang w:val="en-US"/>
              </w:rPr>
              <w:t>112</w:t>
            </w:r>
          </w:p>
        </w:tc>
        <w:tc>
          <w:tcPr>
            <w:tcW w:w="584" w:type="dxa"/>
            <w:tcBorders>
              <w:top w:val="nil"/>
              <w:left w:val="nil"/>
              <w:bottom w:val="single" w:sz="4" w:space="0" w:color="auto"/>
              <w:right w:val="nil"/>
            </w:tcBorders>
            <w:shd w:val="clear" w:color="auto" w:fill="BFBFBF" w:themeFill="background1" w:themeFillShade="BF"/>
            <w:vAlign w:val="center"/>
            <w:hideMark/>
          </w:tcPr>
          <w:p w:rsidR="003B7E53" w:rsidRDefault="003B7E53">
            <w:pPr>
              <w:ind w:left="-108" w:right="-99"/>
              <w:jc w:val="right"/>
              <w:rPr>
                <w:rFonts w:cs="Arial"/>
                <w:sz w:val="18"/>
                <w:szCs w:val="18"/>
                <w:lang w:val="en-US"/>
              </w:rPr>
            </w:pPr>
            <w:r>
              <w:rPr>
                <w:rFonts w:cs="Arial"/>
                <w:sz w:val="18"/>
                <w:szCs w:val="18"/>
                <w:lang w:val="en-US"/>
              </w:rPr>
              <w:t>0.01</w:t>
            </w:r>
          </w:p>
        </w:tc>
        <w:tc>
          <w:tcPr>
            <w:tcW w:w="257" w:type="dxa"/>
            <w:tcBorders>
              <w:top w:val="nil"/>
              <w:left w:val="nil"/>
              <w:bottom w:val="single" w:sz="4" w:space="0" w:color="auto"/>
              <w:right w:val="nil"/>
            </w:tcBorders>
            <w:shd w:val="clear" w:color="auto" w:fill="BFBFBF" w:themeFill="background1" w:themeFillShade="BF"/>
          </w:tcPr>
          <w:p w:rsidR="003B7E53" w:rsidRDefault="003B7E53">
            <w:pPr>
              <w:jc w:val="center"/>
              <w:rPr>
                <w:rFonts w:cs="Arial"/>
                <w:sz w:val="18"/>
                <w:szCs w:val="18"/>
                <w:lang w:val="en-US"/>
              </w:rPr>
            </w:pPr>
          </w:p>
        </w:tc>
      </w:tr>
    </w:tbl>
    <w:p w:rsidR="003B7E53" w:rsidRDefault="003B7E53" w:rsidP="003B7E53">
      <w:pPr>
        <w:tabs>
          <w:tab w:val="left" w:pos="7230"/>
        </w:tabs>
        <w:spacing w:after="0"/>
        <w:ind w:right="709"/>
        <w:rPr>
          <w:rFonts w:cs="Arial"/>
          <w:sz w:val="18"/>
          <w:szCs w:val="18"/>
          <w:lang w:val="en-US"/>
        </w:rPr>
      </w:pPr>
      <w:r>
        <w:rPr>
          <w:rFonts w:eastAsia="Times New Roman" w:cs="Arial"/>
          <w:sz w:val="18"/>
          <w:szCs w:val="18"/>
          <w:lang w:val="en-US" w:eastAsia="nb-NO"/>
        </w:rPr>
        <w:t xml:space="preserve">Abbreviations: </w:t>
      </w:r>
      <w:proofErr w:type="spellStart"/>
      <w:r>
        <w:rPr>
          <w:rFonts w:eastAsia="Times New Roman" w:cs="Arial"/>
          <w:sz w:val="18"/>
          <w:szCs w:val="18"/>
          <w:lang w:val="en-US" w:eastAsia="nb-NO"/>
        </w:rPr>
        <w:t>Coef</w:t>
      </w:r>
      <w:proofErr w:type="spellEnd"/>
      <w:r>
        <w:rPr>
          <w:rFonts w:eastAsia="Times New Roman" w:cs="Arial"/>
          <w:sz w:val="18"/>
          <w:szCs w:val="18"/>
          <w:lang w:val="en-US" w:eastAsia="nb-NO"/>
        </w:rPr>
        <w:t xml:space="preserve">, Regression coefficient; CI, Confidence Interval; </w:t>
      </w:r>
      <w:r>
        <w:rPr>
          <w:rFonts w:cs="Arial"/>
          <w:sz w:val="18"/>
          <w:szCs w:val="18"/>
          <w:lang w:val="en-US"/>
        </w:rPr>
        <w:t xml:space="preserve">ECOG PS, Eastern Cooperative Oncology Group Performance status; CFS, </w:t>
      </w:r>
      <w:proofErr w:type="spellStart"/>
      <w:r>
        <w:rPr>
          <w:rFonts w:cs="Arial"/>
          <w:sz w:val="18"/>
          <w:szCs w:val="18"/>
          <w:lang w:val="en-US"/>
        </w:rPr>
        <w:t>Chalder</w:t>
      </w:r>
      <w:proofErr w:type="spellEnd"/>
      <w:r>
        <w:rPr>
          <w:rFonts w:cs="Arial"/>
          <w:sz w:val="18"/>
          <w:szCs w:val="18"/>
          <w:lang w:val="en-US"/>
        </w:rPr>
        <w:t xml:space="preserve"> Fatigue Scale; PHQ, Patient Health Questionnaire for Anxiety and Depression</w:t>
      </w:r>
    </w:p>
    <w:p w:rsidR="003B7E53" w:rsidRDefault="003B7E53" w:rsidP="003B7E53">
      <w:pPr>
        <w:tabs>
          <w:tab w:val="left" w:pos="7230"/>
        </w:tabs>
        <w:ind w:right="708"/>
        <w:rPr>
          <w:rFonts w:cs="Arial"/>
          <w:sz w:val="18"/>
          <w:szCs w:val="18"/>
          <w:lang w:val="en-US"/>
        </w:rPr>
      </w:pPr>
      <w:proofErr w:type="spellStart"/>
      <w:proofErr w:type="gramStart"/>
      <w:r>
        <w:rPr>
          <w:rFonts w:cs="Arial"/>
          <w:sz w:val="18"/>
          <w:szCs w:val="18"/>
          <w:vertAlign w:val="superscript"/>
          <w:lang w:val="en-US"/>
        </w:rPr>
        <w:t>a</w:t>
      </w:r>
      <w:r>
        <w:rPr>
          <w:rFonts w:cs="Arial"/>
          <w:sz w:val="18"/>
          <w:szCs w:val="18"/>
          <w:lang w:val="en-US"/>
        </w:rPr>
        <w:t>Adjusted</w:t>
      </w:r>
      <w:proofErr w:type="spellEnd"/>
      <w:proofErr w:type="gramEnd"/>
      <w:r>
        <w:rPr>
          <w:rFonts w:cs="Arial"/>
          <w:sz w:val="18"/>
          <w:szCs w:val="18"/>
          <w:lang w:val="en-US"/>
        </w:rPr>
        <w:t xml:space="preserve"> for in-/outpatients due to the setting</w:t>
      </w:r>
    </w:p>
    <w:p w:rsidR="00B65EA4" w:rsidRPr="003B7E53" w:rsidRDefault="00B65EA4" w:rsidP="0048210C">
      <w:pPr>
        <w:spacing w:after="0" w:line="360" w:lineRule="auto"/>
        <w:jc w:val="both"/>
        <w:rPr>
          <w:b/>
          <w:bCs/>
          <w:color w:val="4F81BD" w:themeColor="accent1"/>
          <w:sz w:val="18"/>
          <w:szCs w:val="18"/>
          <w:lang w:val="en-US"/>
        </w:rPr>
      </w:pPr>
    </w:p>
    <w:p w:rsidR="00C508B9" w:rsidRDefault="00C508B9">
      <w:pPr>
        <w:spacing w:line="276" w:lineRule="auto"/>
        <w:rPr>
          <w:rFonts w:asciiTheme="majorHAnsi" w:eastAsia="Times New Roman" w:hAnsiTheme="majorHAnsi" w:cstheme="majorBidi"/>
          <w:b/>
          <w:bCs/>
          <w:color w:val="365F91" w:themeColor="accent1" w:themeShade="BF"/>
          <w:sz w:val="28"/>
          <w:szCs w:val="28"/>
          <w:lang w:val="en-GB" w:eastAsia="nb-NO"/>
        </w:rPr>
      </w:pPr>
      <w:r>
        <w:rPr>
          <w:rFonts w:eastAsia="Times New Roman"/>
          <w:lang w:val="en-GB" w:eastAsia="nb-NO"/>
        </w:rPr>
        <w:br w:type="page"/>
      </w:r>
    </w:p>
    <w:p w:rsidR="00B65EA4" w:rsidRDefault="00B65EA4" w:rsidP="0008085C">
      <w:pPr>
        <w:pStyle w:val="Heading1"/>
        <w:spacing w:line="360" w:lineRule="auto"/>
        <w:rPr>
          <w:rFonts w:eastAsia="Times New Roman"/>
          <w:lang w:val="en-GB" w:eastAsia="nb-NO"/>
        </w:rPr>
      </w:pPr>
      <w:r>
        <w:rPr>
          <w:rFonts w:eastAsia="Times New Roman"/>
          <w:lang w:val="en-GB" w:eastAsia="nb-NO"/>
        </w:rPr>
        <w:lastRenderedPageBreak/>
        <w:t>Figure caption</w:t>
      </w:r>
    </w:p>
    <w:p w:rsidR="00B65EA4" w:rsidRPr="001339B7" w:rsidRDefault="00B65EA4" w:rsidP="0008085C">
      <w:pPr>
        <w:spacing w:after="0" w:line="360" w:lineRule="auto"/>
        <w:jc w:val="both"/>
        <w:rPr>
          <w:sz w:val="18"/>
          <w:szCs w:val="18"/>
          <w:lang w:val="en-GB" w:eastAsia="nb-NO"/>
        </w:rPr>
      </w:pPr>
      <w:r w:rsidRPr="001339B7">
        <w:rPr>
          <w:b/>
          <w:sz w:val="18"/>
          <w:szCs w:val="18"/>
          <w:lang w:val="en-GB" w:eastAsia="nb-NO"/>
        </w:rPr>
        <w:t>Fig 1</w:t>
      </w:r>
      <w:r w:rsidRPr="001339B7">
        <w:rPr>
          <w:sz w:val="18"/>
          <w:szCs w:val="18"/>
          <w:lang w:val="en-GB" w:eastAsia="nb-NO"/>
        </w:rPr>
        <w:t xml:space="preserve"> Proportion of patients wanting less, unchanged or more attention to weight loss and nutrition depending on whether they have cachexia or not.  </w:t>
      </w:r>
    </w:p>
    <w:p w:rsidR="00E94EDC" w:rsidRDefault="00E94EDC">
      <w:pPr>
        <w:rPr>
          <w:lang w:val="en-US"/>
        </w:rPr>
      </w:pPr>
    </w:p>
    <w:p w:rsidR="003B7E53" w:rsidRPr="00C508B9" w:rsidRDefault="003B7E53">
      <w:pPr>
        <w:rPr>
          <w:lang w:val="en-US"/>
        </w:rPr>
      </w:pPr>
      <w:r>
        <w:rPr>
          <w:noProof/>
          <w:lang w:eastAsia="nb-NO"/>
        </w:rPr>
        <w:drawing>
          <wp:inline distT="0" distB="0" distL="0" distR="0">
            <wp:extent cx="5791200" cy="4211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6922" cy="4237621"/>
                    </a:xfrm>
                    <a:prstGeom prst="rect">
                      <a:avLst/>
                    </a:prstGeom>
                  </pic:spPr>
                </pic:pic>
              </a:graphicData>
            </a:graphic>
          </wp:inline>
        </w:drawing>
      </w:r>
      <w:bookmarkStart w:id="0" w:name="_GoBack"/>
      <w:bookmarkEnd w:id="0"/>
    </w:p>
    <w:sectPr w:rsidR="003B7E53" w:rsidRPr="00C508B9" w:rsidSect="00883F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A8" w:rsidRDefault="00C508B9">
      <w:pPr>
        <w:spacing w:after="0"/>
      </w:pPr>
      <w:r>
        <w:separator/>
      </w:r>
    </w:p>
  </w:endnote>
  <w:endnote w:type="continuationSeparator" w:id="0">
    <w:p w:rsidR="005F08A8" w:rsidRDefault="00C508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9861"/>
      <w:docPartObj>
        <w:docPartGallery w:val="Page Numbers (Bottom of Page)"/>
        <w:docPartUnique/>
      </w:docPartObj>
    </w:sdtPr>
    <w:sdtEndPr/>
    <w:sdtContent>
      <w:p w:rsidR="00E824D3" w:rsidRDefault="00B65EA4">
        <w:pPr>
          <w:pStyle w:val="Footer"/>
          <w:jc w:val="center"/>
        </w:pPr>
        <w:r>
          <w:fldChar w:fldCharType="begin"/>
        </w:r>
        <w:r>
          <w:instrText>PAGE   \* MERGEFORMAT</w:instrText>
        </w:r>
        <w:r>
          <w:fldChar w:fldCharType="separate"/>
        </w:r>
        <w:r w:rsidR="003B7E53">
          <w:rPr>
            <w:noProof/>
          </w:rPr>
          <w:t>18</w:t>
        </w:r>
        <w:r>
          <w:rPr>
            <w:noProof/>
          </w:rPr>
          <w:fldChar w:fldCharType="end"/>
        </w:r>
      </w:p>
    </w:sdtContent>
  </w:sdt>
  <w:p w:rsidR="00E824D3" w:rsidRDefault="003B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A8" w:rsidRDefault="00C508B9">
      <w:pPr>
        <w:spacing w:after="0"/>
      </w:pPr>
      <w:r>
        <w:separator/>
      </w:r>
    </w:p>
  </w:footnote>
  <w:footnote w:type="continuationSeparator" w:id="0">
    <w:p w:rsidR="005F08A8" w:rsidRDefault="00C508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A8A"/>
    <w:multiLevelType w:val="hybridMultilevel"/>
    <w:tmpl w:val="731A3836"/>
    <w:lvl w:ilvl="0" w:tplc="8D7C46E6">
      <w:start w:val="5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5EA4"/>
    <w:rsid w:val="00057F1B"/>
    <w:rsid w:val="003B7E53"/>
    <w:rsid w:val="005C67AF"/>
    <w:rsid w:val="005F08A8"/>
    <w:rsid w:val="00B12D79"/>
    <w:rsid w:val="00B65EA4"/>
    <w:rsid w:val="00C508B9"/>
    <w:rsid w:val="00E94E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4D3"/>
  <w15:docId w15:val="{2233E0FD-8A36-44A5-BB0A-54C5118E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A4"/>
    <w:pPr>
      <w:spacing w:line="240" w:lineRule="auto"/>
    </w:pPr>
    <w:rPr>
      <w:rFonts w:ascii="Arial" w:hAnsi="Arial"/>
    </w:rPr>
  </w:style>
  <w:style w:type="paragraph" w:styleId="Heading1">
    <w:name w:val="heading 1"/>
    <w:basedOn w:val="Normal"/>
    <w:next w:val="Normal"/>
    <w:link w:val="Heading1Char"/>
    <w:uiPriority w:val="9"/>
    <w:qFormat/>
    <w:rsid w:val="00B65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5EA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65EA4"/>
    <w:rPr>
      <w:color w:val="0000FF"/>
      <w:u w:val="single"/>
    </w:rPr>
  </w:style>
  <w:style w:type="paragraph" w:customStyle="1" w:styleId="EndNoteBibliographyTitle">
    <w:name w:val="EndNote Bibliography Title"/>
    <w:basedOn w:val="Normal"/>
    <w:link w:val="EndNoteBibliographyTitleChar"/>
    <w:rsid w:val="00B65EA4"/>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B65EA4"/>
    <w:rPr>
      <w:rFonts w:ascii="Arial" w:hAnsi="Arial" w:cs="Arial"/>
      <w:noProof/>
      <w:lang w:val="en-US"/>
    </w:rPr>
  </w:style>
  <w:style w:type="paragraph" w:customStyle="1" w:styleId="EndNoteBibliography">
    <w:name w:val="EndNote Bibliography"/>
    <w:basedOn w:val="Normal"/>
    <w:link w:val="EndNoteBibliographyChar"/>
    <w:rsid w:val="00B65EA4"/>
    <w:rPr>
      <w:rFonts w:cs="Arial"/>
      <w:noProof/>
      <w:lang w:val="en-US"/>
    </w:rPr>
  </w:style>
  <w:style w:type="character" w:customStyle="1" w:styleId="EndNoteBibliographyChar">
    <w:name w:val="EndNote Bibliography Char"/>
    <w:basedOn w:val="DefaultParagraphFont"/>
    <w:link w:val="EndNoteBibliography"/>
    <w:rsid w:val="00B65EA4"/>
    <w:rPr>
      <w:rFonts w:ascii="Arial" w:hAnsi="Arial" w:cs="Arial"/>
      <w:noProof/>
      <w:lang w:val="en-US"/>
    </w:rPr>
  </w:style>
  <w:style w:type="paragraph" w:styleId="Title">
    <w:name w:val="Title"/>
    <w:basedOn w:val="Normal"/>
    <w:next w:val="Normal"/>
    <w:link w:val="TitleChar"/>
    <w:uiPriority w:val="10"/>
    <w:qFormat/>
    <w:rsid w:val="00B6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E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5E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5EA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65EA4"/>
    <w:rPr>
      <w:sz w:val="16"/>
      <w:szCs w:val="16"/>
    </w:rPr>
  </w:style>
  <w:style w:type="paragraph" w:styleId="CommentText">
    <w:name w:val="annotation text"/>
    <w:basedOn w:val="Normal"/>
    <w:link w:val="CommentTextChar"/>
    <w:uiPriority w:val="99"/>
    <w:semiHidden/>
    <w:unhideWhenUsed/>
    <w:rsid w:val="00B65EA4"/>
    <w:rPr>
      <w:sz w:val="20"/>
      <w:szCs w:val="20"/>
    </w:rPr>
  </w:style>
  <w:style w:type="character" w:customStyle="1" w:styleId="CommentTextChar">
    <w:name w:val="Comment Text Char"/>
    <w:basedOn w:val="DefaultParagraphFont"/>
    <w:link w:val="CommentText"/>
    <w:uiPriority w:val="99"/>
    <w:semiHidden/>
    <w:rsid w:val="00B65E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5EA4"/>
    <w:rPr>
      <w:b/>
      <w:bCs/>
    </w:rPr>
  </w:style>
  <w:style w:type="character" w:customStyle="1" w:styleId="CommentSubjectChar">
    <w:name w:val="Comment Subject Char"/>
    <w:basedOn w:val="CommentTextChar"/>
    <w:link w:val="CommentSubject"/>
    <w:uiPriority w:val="99"/>
    <w:semiHidden/>
    <w:rsid w:val="00B65EA4"/>
    <w:rPr>
      <w:rFonts w:ascii="Arial" w:hAnsi="Arial"/>
      <w:b/>
      <w:bCs/>
      <w:sz w:val="20"/>
      <w:szCs w:val="20"/>
    </w:rPr>
  </w:style>
  <w:style w:type="paragraph" w:styleId="BalloonText">
    <w:name w:val="Balloon Text"/>
    <w:basedOn w:val="Normal"/>
    <w:link w:val="BalloonTextChar"/>
    <w:uiPriority w:val="99"/>
    <w:semiHidden/>
    <w:unhideWhenUsed/>
    <w:rsid w:val="00B65E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A4"/>
    <w:rPr>
      <w:rFonts w:ascii="Tahoma" w:hAnsi="Tahoma" w:cs="Tahoma"/>
      <w:sz w:val="16"/>
      <w:szCs w:val="16"/>
    </w:rPr>
  </w:style>
  <w:style w:type="table" w:styleId="TableGrid">
    <w:name w:val="Table Grid"/>
    <w:basedOn w:val="TableNormal"/>
    <w:uiPriority w:val="59"/>
    <w:rsid w:val="00B6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5EA4"/>
    <w:rPr>
      <w:b/>
      <w:bCs/>
      <w:color w:val="4F81BD" w:themeColor="accent1"/>
      <w:sz w:val="18"/>
      <w:szCs w:val="18"/>
    </w:rPr>
  </w:style>
  <w:style w:type="paragraph" w:styleId="Revision">
    <w:name w:val="Revision"/>
    <w:hidden/>
    <w:uiPriority w:val="99"/>
    <w:semiHidden/>
    <w:rsid w:val="00B65EA4"/>
    <w:pPr>
      <w:spacing w:after="0" w:line="240" w:lineRule="auto"/>
    </w:pPr>
    <w:rPr>
      <w:rFonts w:ascii="Arial" w:hAnsi="Arial"/>
    </w:rPr>
  </w:style>
  <w:style w:type="paragraph" w:styleId="Header">
    <w:name w:val="header"/>
    <w:basedOn w:val="Normal"/>
    <w:link w:val="HeaderChar"/>
    <w:uiPriority w:val="99"/>
    <w:unhideWhenUsed/>
    <w:rsid w:val="00B65EA4"/>
    <w:pPr>
      <w:tabs>
        <w:tab w:val="center" w:pos="4536"/>
        <w:tab w:val="right" w:pos="9072"/>
      </w:tabs>
      <w:spacing w:after="0"/>
    </w:pPr>
  </w:style>
  <w:style w:type="character" w:customStyle="1" w:styleId="HeaderChar">
    <w:name w:val="Header Char"/>
    <w:basedOn w:val="DefaultParagraphFont"/>
    <w:link w:val="Header"/>
    <w:uiPriority w:val="99"/>
    <w:rsid w:val="00B65EA4"/>
    <w:rPr>
      <w:rFonts w:ascii="Arial" w:hAnsi="Arial"/>
    </w:rPr>
  </w:style>
  <w:style w:type="paragraph" w:styleId="Footer">
    <w:name w:val="footer"/>
    <w:basedOn w:val="Normal"/>
    <w:link w:val="FooterChar"/>
    <w:uiPriority w:val="99"/>
    <w:unhideWhenUsed/>
    <w:rsid w:val="00B65EA4"/>
    <w:pPr>
      <w:tabs>
        <w:tab w:val="center" w:pos="4536"/>
        <w:tab w:val="right" w:pos="9072"/>
      </w:tabs>
      <w:spacing w:after="0"/>
    </w:pPr>
  </w:style>
  <w:style w:type="character" w:customStyle="1" w:styleId="FooterChar">
    <w:name w:val="Footer Char"/>
    <w:basedOn w:val="DefaultParagraphFont"/>
    <w:link w:val="Footer"/>
    <w:uiPriority w:val="99"/>
    <w:rsid w:val="00B65EA4"/>
    <w:rPr>
      <w:rFonts w:ascii="Arial" w:hAnsi="Arial"/>
    </w:rPr>
  </w:style>
  <w:style w:type="paragraph" w:styleId="ListParagraph">
    <w:name w:val="List Paragraph"/>
    <w:basedOn w:val="Normal"/>
    <w:uiPriority w:val="34"/>
    <w:qFormat/>
    <w:rsid w:val="00B65EA4"/>
    <w:pPr>
      <w:ind w:left="720"/>
      <w:contextualSpacing/>
    </w:pPr>
  </w:style>
  <w:style w:type="character" w:customStyle="1" w:styleId="baec5a81-e4d6-4674-97f3-e9220f0136c1">
    <w:name w:val="baec5a81-e4d6-4674-97f3-e9220f0136c1"/>
    <w:basedOn w:val="DefaultParagraphFont"/>
    <w:rsid w:val="00B6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4273">
      <w:bodyDiv w:val="1"/>
      <w:marLeft w:val="0"/>
      <w:marRight w:val="0"/>
      <w:marTop w:val="0"/>
      <w:marBottom w:val="0"/>
      <w:divBdr>
        <w:top w:val="none" w:sz="0" w:space="0" w:color="auto"/>
        <w:left w:val="none" w:sz="0" w:space="0" w:color="auto"/>
        <w:bottom w:val="none" w:sz="0" w:space="0" w:color="auto"/>
        <w:right w:val="none" w:sz="0" w:space="0" w:color="auto"/>
      </w:divBdr>
    </w:div>
    <w:div w:id="856190374">
      <w:bodyDiv w:val="1"/>
      <w:marLeft w:val="0"/>
      <w:marRight w:val="0"/>
      <w:marTop w:val="0"/>
      <w:marBottom w:val="0"/>
      <w:divBdr>
        <w:top w:val="none" w:sz="0" w:space="0" w:color="auto"/>
        <w:left w:val="none" w:sz="0" w:space="0" w:color="auto"/>
        <w:bottom w:val="none" w:sz="0" w:space="0" w:color="auto"/>
        <w:right w:val="none" w:sz="0" w:space="0" w:color="auto"/>
      </w:divBdr>
    </w:div>
    <w:div w:id="874347277">
      <w:bodyDiv w:val="1"/>
      <w:marLeft w:val="0"/>
      <w:marRight w:val="0"/>
      <w:marTop w:val="0"/>
      <w:marBottom w:val="0"/>
      <w:divBdr>
        <w:top w:val="none" w:sz="0" w:space="0" w:color="auto"/>
        <w:left w:val="none" w:sz="0" w:space="0" w:color="auto"/>
        <w:bottom w:val="none" w:sz="0" w:space="0" w:color="auto"/>
        <w:right w:val="none" w:sz="0" w:space="0" w:color="auto"/>
      </w:divBdr>
    </w:div>
    <w:div w:id="14999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6928</Words>
  <Characters>36723</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Magne Vagnildhaug</dc:creator>
  <cp:lastModifiedBy>Ola Magne Vagnildhaug</cp:lastModifiedBy>
  <cp:revision>3</cp:revision>
  <dcterms:created xsi:type="dcterms:W3CDTF">2017-12-18T08:18:00Z</dcterms:created>
  <dcterms:modified xsi:type="dcterms:W3CDTF">2017-12-18T08:22:00Z</dcterms:modified>
</cp:coreProperties>
</file>