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40AB4" w14:textId="77777777" w:rsidR="00424C85" w:rsidRDefault="00424C85" w:rsidP="00BA5519">
      <w:pPr>
        <w:pStyle w:val="Articletitle"/>
      </w:pPr>
      <w:r w:rsidRPr="00CF49B6">
        <w:t>Measuring student teachers’ practices</w:t>
      </w:r>
      <w:r>
        <w:t xml:space="preserve"> and beliefs about teaching mathematics</w:t>
      </w:r>
      <w:r w:rsidRPr="00CF49B6">
        <w:t xml:space="preserve"> using the Rasch model</w:t>
      </w:r>
    </w:p>
    <w:p w14:paraId="101B64E6" w14:textId="33F9BC72" w:rsidR="00424C85" w:rsidRDefault="00424C85" w:rsidP="00325D79">
      <w:pPr>
        <w:pStyle w:val="Keywords"/>
        <w:jc w:val="both"/>
      </w:pPr>
      <w:r w:rsidRPr="00CF49B6">
        <w:t xml:space="preserve">Several attempts have been made to measure and categorise </w:t>
      </w:r>
      <w:r w:rsidR="0077443C">
        <w:t xml:space="preserve">beliefs and </w:t>
      </w:r>
      <w:r w:rsidRPr="00CF49B6">
        <w:t>practices of mathematics teachers</w:t>
      </w:r>
      <w:r w:rsidR="00325D79">
        <w:t xml:space="preserve"> (e.g. Swan 2006)</w:t>
      </w:r>
      <w:r w:rsidRPr="00CF49B6">
        <w:t xml:space="preserve">. One of the reasons </w:t>
      </w:r>
      <w:r w:rsidR="00CA7049">
        <w:t>for measuring</w:t>
      </w:r>
      <w:r w:rsidRPr="00CF49B6">
        <w:t xml:space="preserve"> both bel</w:t>
      </w:r>
      <w:r>
        <w:t>iefs and p</w:t>
      </w:r>
      <w:r w:rsidR="00F476C4">
        <w:t>ractices is</w:t>
      </w:r>
      <w:r>
        <w:t xml:space="preserve"> to</w:t>
      </w:r>
      <w:r w:rsidRPr="00CF49B6">
        <w:t xml:space="preserve"> </w:t>
      </w:r>
      <w:r>
        <w:t>characterise teachers in terms of the relationship between their beliefs and practices</w:t>
      </w:r>
      <w:r w:rsidRPr="00CF49B6">
        <w:t>. How</w:t>
      </w:r>
      <w:r>
        <w:t xml:space="preserve">ever, the </w:t>
      </w:r>
      <w:r w:rsidR="00F476C4">
        <w:t>practice-instrument</w:t>
      </w:r>
      <w:r>
        <w:t>s and the</w:t>
      </w:r>
      <w:r w:rsidRPr="00CF49B6">
        <w:t xml:space="preserve"> </w:t>
      </w:r>
      <w:r w:rsidR="00F476C4">
        <w:t>beliefs-instrument</w:t>
      </w:r>
      <w:r>
        <w:t>s discussed in the literature</w:t>
      </w:r>
      <w:r w:rsidRPr="00CF49B6">
        <w:t xml:space="preserve"> are predominately based on differing constructs. Consequently, it is challe</w:t>
      </w:r>
      <w:r>
        <w:t>n</w:t>
      </w:r>
      <w:r w:rsidRPr="00CF49B6">
        <w:t>ging to compare the relationship between beliefs and practices</w:t>
      </w:r>
      <w:r w:rsidR="009A4698">
        <w:t xml:space="preserve"> solely</w:t>
      </w:r>
      <w:r w:rsidRPr="00CF49B6">
        <w:t xml:space="preserve"> based on these instruments</w:t>
      </w:r>
      <w:r>
        <w:t xml:space="preserve">. As such, we argue that </w:t>
      </w:r>
      <w:r w:rsidRPr="00CF49B6">
        <w:t xml:space="preserve">practice- and beliefs-instruments based on the same construct </w:t>
      </w:r>
      <w:r w:rsidR="00C821B2">
        <w:t>would be</w:t>
      </w:r>
      <w:r w:rsidRPr="00CF49B6">
        <w:t xml:space="preserve"> desirable</w:t>
      </w:r>
      <w:r>
        <w:t xml:space="preserve"> </w:t>
      </w:r>
      <w:r w:rsidRPr="00CF49B6">
        <w:t>when both bel</w:t>
      </w:r>
      <w:r>
        <w:t>iefs and practices are at stake</w:t>
      </w:r>
      <w:r w:rsidRPr="00CF49B6">
        <w:t xml:space="preserve">. </w:t>
      </w:r>
      <w:r w:rsidR="00C821B2">
        <w:t>T</w:t>
      </w:r>
      <w:r w:rsidRPr="00CF49B6">
        <w:t>his paper presents two Rasch calibrated instruments that measure the level of teacher-</w:t>
      </w:r>
      <w:r w:rsidR="00D014AF">
        <w:t>centred</w:t>
      </w:r>
      <w:r w:rsidR="00CA7049">
        <w:t>ness</w:t>
      </w:r>
      <w:r w:rsidRPr="00CF49B6">
        <w:t xml:space="preserve"> with respect to student teachers’ practices and beliefs about teaching mathematics. From a sample of 1</w:t>
      </w:r>
      <w:r w:rsidR="00F476C4">
        <w:t>60</w:t>
      </w:r>
      <w:r w:rsidRPr="00CF49B6">
        <w:t xml:space="preserve"> student teachers, 15 items </w:t>
      </w:r>
      <w:r w:rsidR="00404F7C">
        <w:t>have been</w:t>
      </w:r>
      <w:r w:rsidRPr="00CF49B6">
        <w:t xml:space="preserve"> </w:t>
      </w:r>
      <w:r w:rsidR="00404F7C" w:rsidRPr="00CF49B6">
        <w:t>established</w:t>
      </w:r>
      <w:r w:rsidRPr="00CF49B6">
        <w:t xml:space="preserve"> as being </w:t>
      </w:r>
      <w:r w:rsidR="00404F7C" w:rsidRPr="00CF49B6">
        <w:t>beneficial</w:t>
      </w:r>
      <w:r w:rsidRPr="00CF49B6">
        <w:t xml:space="preserve"> for measurement, both when the i</w:t>
      </w:r>
      <w:r>
        <w:t xml:space="preserve">tems are translated as practice </w:t>
      </w:r>
      <w:r w:rsidRPr="00CF49B6">
        <w:t>items</w:t>
      </w:r>
      <w:r>
        <w:t xml:space="preserve"> and when translated as beliefs </w:t>
      </w:r>
      <w:r w:rsidRPr="00CF49B6">
        <w:t xml:space="preserve">items. </w:t>
      </w:r>
      <w:r w:rsidR="00245431">
        <w:t xml:space="preserve">By studying the </w:t>
      </w:r>
      <w:r w:rsidRPr="00CF49B6">
        <w:t>invariance between both translations, we conclude that measures from both instr</w:t>
      </w:r>
      <w:r>
        <w:t>uments can be directly compared.</w:t>
      </w:r>
    </w:p>
    <w:p w14:paraId="05FA864D" w14:textId="7130523A" w:rsidR="00424C85" w:rsidRPr="0020415E" w:rsidRDefault="00424C85" w:rsidP="00BA5519">
      <w:pPr>
        <w:pStyle w:val="Keywords"/>
      </w:pPr>
      <w:r w:rsidRPr="00CF49B6">
        <w:rPr>
          <w:b/>
        </w:rPr>
        <w:t>Keywords</w:t>
      </w:r>
      <w:r>
        <w:t>: beliefs, practice, measurement, Rasch mode</w:t>
      </w:r>
      <w:r w:rsidR="00CA7049">
        <w:t>l</w:t>
      </w:r>
      <w:r>
        <w:t>ling.</w:t>
      </w:r>
    </w:p>
    <w:p w14:paraId="76FEFB08" w14:textId="77777777" w:rsidR="00424C85" w:rsidRDefault="00424C85" w:rsidP="00BA5519">
      <w:pPr>
        <w:pStyle w:val="Paragraph"/>
      </w:pPr>
    </w:p>
    <w:p w14:paraId="2EF1518D" w14:textId="7B14F151" w:rsidR="00424C85" w:rsidRDefault="00424C85" w:rsidP="00325D79">
      <w:pPr>
        <w:pStyle w:val="Paragraph"/>
        <w:jc w:val="both"/>
      </w:pPr>
      <w:r>
        <w:t xml:space="preserve">Much has been said about student teachers’ transition from higher education to the world of work. Most studies on novice teachers’ experiences show that the transition from teacher education to work as a teacher is problematic. For instance, </w:t>
      </w:r>
      <w:r w:rsidR="009838F2">
        <w:t>selected</w:t>
      </w:r>
      <w:r>
        <w:t xml:space="preserve"> studies describe a gap between higher education and work</w:t>
      </w:r>
      <w:r w:rsidR="009A4698">
        <w:t xml:space="preserve">, </w:t>
      </w:r>
      <w:r>
        <w:t xml:space="preserve">e.g. weak relationships between courses and field experiences (Feiman-Nemser 2001), and that what students learn </w:t>
      </w:r>
      <w:r w:rsidR="00325D79">
        <w:t xml:space="preserve">at university </w:t>
      </w:r>
      <w:r>
        <w:t xml:space="preserve">is not </w:t>
      </w:r>
      <w:r w:rsidR="00894218">
        <w:t>appropriately</w:t>
      </w:r>
      <w:r>
        <w:t xml:space="preserve"> </w:t>
      </w:r>
      <w:r w:rsidR="00CA7049">
        <w:t>linked to their future practice</w:t>
      </w:r>
      <w:r>
        <w:t xml:space="preserve"> as teachers (e.g. Liston, Whitcomb, and Borko 2006). Other studies describe new teachers’ first period </w:t>
      </w:r>
      <w:r w:rsidR="00CA7049">
        <w:t>at</w:t>
      </w:r>
      <w:r>
        <w:t xml:space="preserve"> work as a time where the workplace communities expect new employees to be able to teach like experienced teachers (Worthy 2005), a period with high emotional intensity (Flores and Day 2006) and </w:t>
      </w:r>
      <w:r w:rsidR="00CA7049">
        <w:t>one</w:t>
      </w:r>
      <w:r>
        <w:t xml:space="preserve"> where there is a gap between new teachers’ actual identities and the ‘designated identities’ shaped by </w:t>
      </w:r>
      <w:r>
        <w:lastRenderedPageBreak/>
        <w:t>the workplace communities (Haggarty, Postlethwaite, Diment, and Ellins</w:t>
      </w:r>
      <w:r w:rsidRPr="00325D79">
        <w:rPr>
          <w:color w:val="000000" w:themeColor="text1"/>
        </w:rPr>
        <w:t xml:space="preserve"> 2011). In </w:t>
      </w:r>
      <w:r w:rsidRPr="00BE1082">
        <w:t>many studies, however, the sample selections seem to be based on contextual rather than personal criteria, e.g. selecting teachers from certain schools, or teachers who have undertaken a particular course or education (e.g. Flores and Day 2006).</w:t>
      </w:r>
    </w:p>
    <w:p w14:paraId="7AD25A92" w14:textId="33BFB418" w:rsidR="00424C85" w:rsidRPr="00BE1082" w:rsidRDefault="00424C85" w:rsidP="00325D79">
      <w:pPr>
        <w:pStyle w:val="Newparagraph"/>
        <w:jc w:val="both"/>
      </w:pPr>
      <w:r>
        <w:t xml:space="preserve">This study </w:t>
      </w:r>
      <w:r w:rsidR="004D69E2">
        <w:t>builds</w:t>
      </w:r>
      <w:r w:rsidR="00325D79">
        <w:t xml:space="preserve"> </w:t>
      </w:r>
      <w:r w:rsidR="004D69E2">
        <w:t>on</w:t>
      </w:r>
      <w:r>
        <w:t xml:space="preserve"> previous studies </w:t>
      </w:r>
      <w:r w:rsidRPr="00A53EAB">
        <w:t>of the TransMaths-project (www.transmaths.org) (e.g. Pampaka et al. 2012; Pepin, Lysø, and Sikko 2012)</w:t>
      </w:r>
      <w:r>
        <w:t xml:space="preserve"> and seeks </w:t>
      </w:r>
      <w:r w:rsidRPr="00BE1082">
        <w:t xml:space="preserve">instruments that can facilitate the selection of student teachers with certain characteristics for researching the transition from teacher education to the world of work. The aim is to select persons with different relationships between beliefs and practices: persons who identify with their reform-minded practices, traditional practices, </w:t>
      </w:r>
      <w:r w:rsidR="005E6AD3" w:rsidRPr="00BE1082">
        <w:t xml:space="preserve">or </w:t>
      </w:r>
      <w:r w:rsidRPr="00BE1082">
        <w:t xml:space="preserve">persons with conflicting beliefs and practices (e.g. persons with ‘traditional’ practices and ‘reform-minded’ beliefs), etc. </w:t>
      </w:r>
    </w:p>
    <w:p w14:paraId="72E996C3" w14:textId="5A6AB19C" w:rsidR="00424C85" w:rsidRPr="00BE1082" w:rsidRDefault="00424C85" w:rsidP="00BA5519">
      <w:pPr>
        <w:pStyle w:val="Newparagraph"/>
      </w:pPr>
      <w:r w:rsidRPr="00BE1082">
        <w:t xml:space="preserve">Rasch measurements (Rasch 1960) </w:t>
      </w:r>
      <w:r w:rsidR="006B6575" w:rsidRPr="00BE1082">
        <w:t xml:space="preserve">have </w:t>
      </w:r>
      <w:r w:rsidR="00DE6EB9" w:rsidRPr="00BE1082">
        <w:t xml:space="preserve">previously </w:t>
      </w:r>
      <w:r w:rsidR="006B6575" w:rsidRPr="00BE1082">
        <w:t>been</w:t>
      </w:r>
      <w:r w:rsidRPr="00BE1082">
        <w:t xml:space="preserve"> used to measure practices in terms of teacher-</w:t>
      </w:r>
      <w:r w:rsidR="00D014AF">
        <w:t>centred</w:t>
      </w:r>
      <w:r w:rsidR="00CA7049" w:rsidRPr="00BE1082">
        <w:t>ness</w:t>
      </w:r>
      <w:r w:rsidR="006B6575" w:rsidRPr="00BE1082">
        <w:t xml:space="preserve"> </w:t>
      </w:r>
      <w:r w:rsidR="00DE6EB9" w:rsidRPr="00BE1082">
        <w:t>(</w:t>
      </w:r>
      <w:r w:rsidR="00DE6EB9" w:rsidRPr="00BE1082">
        <w:rPr>
          <w:noProof/>
          <w:lang w:val="en-US" w:eastAsia="nb-NO"/>
        </w:rPr>
        <w:t>Pampaka et al. 2012)</w:t>
      </w:r>
      <w:r w:rsidRPr="00BE1082">
        <w:t xml:space="preserve">. </w:t>
      </w:r>
      <w:r w:rsidR="006B6575" w:rsidRPr="00BE1082">
        <w:t>T</w:t>
      </w:r>
      <w:r w:rsidRPr="00BE1082">
        <w:t>he aim</w:t>
      </w:r>
      <w:r w:rsidR="006B6575" w:rsidRPr="00BE1082">
        <w:t xml:space="preserve"> of this study is</w:t>
      </w:r>
      <w:r w:rsidR="00DE6EB9" w:rsidRPr="00BE1082">
        <w:t xml:space="preserve"> to validate instruments that measure both practices and beliefs, and</w:t>
      </w:r>
      <w:r w:rsidR="006B6575" w:rsidRPr="00BE1082">
        <w:t xml:space="preserve"> </w:t>
      </w:r>
      <w:r w:rsidRPr="00BE1082">
        <w:t xml:space="preserve">to equate the instruments on the same scale, </w:t>
      </w:r>
      <w:r w:rsidR="00F476C4" w:rsidRPr="00BE1082">
        <w:t>in order for measures to</w:t>
      </w:r>
      <w:r w:rsidRPr="00BE1082">
        <w:t xml:space="preserve"> be directly compar</w:t>
      </w:r>
      <w:r w:rsidR="0058220C" w:rsidRPr="00BE1082">
        <w:t>able</w:t>
      </w:r>
      <w:r w:rsidR="00F476C4" w:rsidRPr="00BE1082">
        <w:t xml:space="preserve">. </w:t>
      </w:r>
      <w:r w:rsidRPr="00BE1082">
        <w:t>Thus, the research question that guides this study is:</w:t>
      </w:r>
    </w:p>
    <w:p w14:paraId="06499D45" w14:textId="77777777" w:rsidR="00424C85" w:rsidRPr="00D72D02" w:rsidRDefault="00424C85" w:rsidP="00BA5519">
      <w:pPr>
        <w:pStyle w:val="Displayedquotation"/>
        <w:rPr>
          <w:noProof/>
          <w:lang w:val="en-US" w:eastAsia="nb-NO"/>
        </w:rPr>
      </w:pPr>
      <w:r w:rsidRPr="001E753A">
        <w:rPr>
          <w:noProof/>
          <w:lang w:val="en-US" w:eastAsia="nb-NO"/>
        </w:rPr>
        <w:t>How can the Rasch model be used to measure student teachers’ practice</w:t>
      </w:r>
      <w:r>
        <w:rPr>
          <w:noProof/>
          <w:lang w:val="en-US" w:eastAsia="nb-NO"/>
        </w:rPr>
        <w:t>s</w:t>
      </w:r>
      <w:r w:rsidRPr="001E753A">
        <w:rPr>
          <w:noProof/>
          <w:lang w:val="en-US" w:eastAsia="nb-NO"/>
        </w:rPr>
        <w:t xml:space="preserve"> and beliefs abo</w:t>
      </w:r>
      <w:r>
        <w:rPr>
          <w:noProof/>
          <w:lang w:val="en-US" w:eastAsia="nb-NO"/>
        </w:rPr>
        <w:t>ut the teaching of mathematics?</w:t>
      </w:r>
    </w:p>
    <w:p w14:paraId="51231F3B" w14:textId="77777777" w:rsidR="00424C85" w:rsidRPr="00F9676B" w:rsidRDefault="00424C85" w:rsidP="00BA5519">
      <w:pPr>
        <w:pStyle w:val="Overskrift1"/>
      </w:pPr>
      <w:r>
        <w:t>Theoretical background</w:t>
      </w:r>
    </w:p>
    <w:p w14:paraId="4B71F8FE" w14:textId="09BC4E75" w:rsidR="00424C85" w:rsidRPr="00BE1082" w:rsidRDefault="00424C85" w:rsidP="00DE6EB9">
      <w:pPr>
        <w:pStyle w:val="Paragraph"/>
      </w:pPr>
      <w:r w:rsidRPr="00BE1082">
        <w:t xml:space="preserve">Different </w:t>
      </w:r>
      <w:r w:rsidR="00BA5519" w:rsidRPr="00BE1082">
        <w:t>conceptualisations</w:t>
      </w:r>
      <w:r w:rsidRPr="00BE1082">
        <w:t xml:space="preserve"> of teacher</w:t>
      </w:r>
      <w:r w:rsidR="00F32BE1" w:rsidRPr="00BE1082">
        <w:t>s’ pedagogic</w:t>
      </w:r>
      <w:r w:rsidRPr="00BE1082">
        <w:t xml:space="preserve"> practice </w:t>
      </w:r>
      <w:r w:rsidR="005A4518">
        <w:t>with respect to</w:t>
      </w:r>
      <w:r w:rsidRPr="00BE1082">
        <w:t xml:space="preserve"> learning environments </w:t>
      </w:r>
      <w:r w:rsidR="00F476C4" w:rsidRPr="00BE1082">
        <w:t xml:space="preserve">are presented in the literature. </w:t>
      </w:r>
      <w:r w:rsidRPr="00BE1082">
        <w:t>Carpenter and Lehrer (1999), for instance, highlighted five mental activities that promote understanding in mathematics classrooms: constructing relationships (e.g. relating new ideas to existing knowledge); extending and applying mathematical knowledge (e.g. creating rich and integrated knowledge structures); reflecting about experiences (e.g. conscious examination of one’s own actions</w:t>
      </w:r>
      <w:r w:rsidRPr="001E753A">
        <w:t xml:space="preserve">); articulating </w:t>
      </w:r>
      <w:r w:rsidRPr="001E753A">
        <w:lastRenderedPageBreak/>
        <w:t>what one knows (e.g. communicating one’s ideas); and making mathematical knowledge one’s own (e.g. developing personal inves</w:t>
      </w:r>
      <w:r>
        <w:t>tments in building knowledge) (</w:t>
      </w:r>
      <w:r w:rsidR="00E2779E">
        <w:t>pp.</w:t>
      </w:r>
      <w:r w:rsidR="007647AC">
        <w:t xml:space="preserve"> 20–</w:t>
      </w:r>
      <w:r w:rsidRPr="001E753A">
        <w:t xml:space="preserve">23). More recently, </w:t>
      </w:r>
      <w:r w:rsidRPr="001E753A">
        <w:rPr>
          <w:noProof/>
        </w:rPr>
        <w:t>Schoenfeld (2014)</w:t>
      </w:r>
      <w:r w:rsidR="00F476C4">
        <w:t xml:space="preserve"> discussed</w:t>
      </w:r>
      <w:r w:rsidRPr="001E753A">
        <w:t xml:space="preserve"> five dimens</w:t>
      </w:r>
      <w:r w:rsidR="007647AC">
        <w:t xml:space="preserve">ions of mathematically powerful </w:t>
      </w:r>
      <w:r w:rsidRPr="001E753A">
        <w:t xml:space="preserve">classrooms: the mathematics (e.g. making connections between procedures, concepts, and contexts are addressed); cognitive demand (e.g. creating an environment of productive intellectual challenge); access to mathematical content (e.g. active involvement of all the students); agency, authority, and identity (e.g. making opportunities for students to conjecture, explain, make mathematical arguments, and build on one another’s ideas); and uses of assessment (e.g. building on productive beginnings or addressing emerging misunderstandings) </w:t>
      </w:r>
      <w:r>
        <w:rPr>
          <w:noProof/>
        </w:rPr>
        <w:t xml:space="preserve">(Schoenfeld 2014, </w:t>
      </w:r>
      <w:r w:rsidRPr="001E753A">
        <w:rPr>
          <w:noProof/>
        </w:rPr>
        <w:t>407)</w:t>
      </w:r>
      <w:r w:rsidRPr="001E753A">
        <w:t>.</w:t>
      </w:r>
      <w:r w:rsidR="00AF285D">
        <w:t xml:space="preserve"> Without going into detail (for each dimension), it is </w:t>
      </w:r>
      <w:r w:rsidR="00AF285D" w:rsidRPr="00BE1082">
        <w:t>clear that learning enviro</w:t>
      </w:r>
      <w:r w:rsidR="00D37614" w:rsidRPr="00BE1082">
        <w:t>nments differ and that not all ‘ingredients’</w:t>
      </w:r>
      <w:r w:rsidR="00AF285D" w:rsidRPr="00BE1082">
        <w:t xml:space="preserve"> are visible in each. </w:t>
      </w:r>
    </w:p>
    <w:p w14:paraId="6E6A0AF4" w14:textId="0D26CFE0" w:rsidR="00424C85" w:rsidRPr="00BE1082" w:rsidRDefault="00AF285D" w:rsidP="00DE6EB9">
      <w:pPr>
        <w:pStyle w:val="Newparagraph"/>
      </w:pPr>
      <w:r w:rsidRPr="00BE1082">
        <w:t>Turning to teachers’ pedagogic practice</w:t>
      </w:r>
      <w:r w:rsidR="001B2864" w:rsidRPr="00BE1082">
        <w:t xml:space="preserve"> (in those environments)</w:t>
      </w:r>
      <w:r w:rsidRPr="00BE1082">
        <w:t xml:space="preserve">, a common idea (and categorisation) in the literature is to regard </w:t>
      </w:r>
      <w:r w:rsidR="00424C85" w:rsidRPr="00BE1082">
        <w:t>teacher practice as a continuum</w:t>
      </w:r>
      <w:r w:rsidRPr="00BE1082">
        <w:t>,</w:t>
      </w:r>
      <w:r w:rsidR="00424C85" w:rsidRPr="00BE1082">
        <w:t xml:space="preserve"> between teacher-</w:t>
      </w:r>
      <w:r w:rsidR="003351F8" w:rsidRPr="00BE1082">
        <w:t>centred</w:t>
      </w:r>
      <w:r w:rsidRPr="00BE1082">
        <w:t>ness</w:t>
      </w:r>
      <w:r w:rsidR="00424C85" w:rsidRPr="00BE1082">
        <w:t xml:space="preserve"> and student (learner)-</w:t>
      </w:r>
      <w:r w:rsidR="003351F8" w:rsidRPr="00BE1082">
        <w:t>centred</w:t>
      </w:r>
      <w:r w:rsidRPr="00BE1082">
        <w:t>ness</w:t>
      </w:r>
      <w:r w:rsidR="00424C85" w:rsidRPr="00BE1082">
        <w:t>. Stephan (2014) defined learner-</w:t>
      </w:r>
      <w:r w:rsidR="003351F8" w:rsidRPr="00BE1082">
        <w:t>centred</w:t>
      </w:r>
      <w:r w:rsidR="00424C85" w:rsidRPr="00BE1082">
        <w:t xml:space="preserve"> approaches as</w:t>
      </w:r>
    </w:p>
    <w:p w14:paraId="753314F2" w14:textId="291F8005" w:rsidR="00424C85" w:rsidRPr="00BE1082" w:rsidRDefault="00CA7049" w:rsidP="00BA5519">
      <w:pPr>
        <w:pStyle w:val="Newparagraph"/>
        <w:ind w:left="709" w:right="277" w:firstLine="11"/>
        <w:rPr>
          <w:sz w:val="20"/>
          <w:szCs w:val="20"/>
        </w:rPr>
      </w:pPr>
      <w:r w:rsidRPr="00BE1082">
        <w:rPr>
          <w:sz w:val="20"/>
          <w:szCs w:val="20"/>
        </w:rPr>
        <w:t>...</w:t>
      </w:r>
      <w:r w:rsidR="00424C85" w:rsidRPr="00BE1082">
        <w:rPr>
          <w:sz w:val="20"/>
          <w:szCs w:val="20"/>
        </w:rPr>
        <w:t>an approach to mathematics instruction that places heavy emphasis on the students taking responsibility for problem solving and inquiry. The teacher is viewed as a facilitator by posing problems and guiding students as they work with partners toward creating a solution (p. 338).</w:t>
      </w:r>
    </w:p>
    <w:p w14:paraId="43B76DBE" w14:textId="77777777" w:rsidR="00424C85" w:rsidRPr="00BE1082" w:rsidRDefault="00424C85" w:rsidP="00BA5519">
      <w:pPr>
        <w:pStyle w:val="Newparagraph"/>
        <w:ind w:firstLine="0"/>
      </w:pPr>
    </w:p>
    <w:p w14:paraId="6EF9E62A" w14:textId="1A2BF3AF" w:rsidR="00424C85" w:rsidRPr="00BE1082" w:rsidRDefault="00424C85" w:rsidP="00DE6EB9">
      <w:pPr>
        <w:pStyle w:val="Newparagraph"/>
        <w:ind w:firstLine="0"/>
        <w:jc w:val="both"/>
      </w:pPr>
      <w:r w:rsidRPr="00BE1082">
        <w:rPr>
          <w:noProof/>
        </w:rPr>
        <w:t>Stephan (2014)</w:t>
      </w:r>
      <w:r w:rsidRPr="00BE1082">
        <w:t xml:space="preserve"> listed five characteristics of student-</w:t>
      </w:r>
      <w:r w:rsidR="003351F8" w:rsidRPr="00BE1082">
        <w:t>centred</w:t>
      </w:r>
      <w:r w:rsidRPr="00BE1082">
        <w:t xml:space="preserve"> teaching: problem-solving; collaboration; mathematical discourse; tools/manipulations; an</w:t>
      </w:r>
      <w:r w:rsidR="007647AC" w:rsidRPr="00BE1082">
        <w:t>d classroom environment (p. 340–</w:t>
      </w:r>
      <w:r w:rsidRPr="00BE1082">
        <w:t xml:space="preserve">342). </w:t>
      </w:r>
      <w:r w:rsidR="00CA7049" w:rsidRPr="00BE1082">
        <w:t>With regard to</w:t>
      </w:r>
      <w:r w:rsidRPr="00BE1082">
        <w:t xml:space="preserve"> classroom envi</w:t>
      </w:r>
      <w:r w:rsidR="00CA7049" w:rsidRPr="00BE1082">
        <w:t>ronment, Stephan (2014) emphasis</w:t>
      </w:r>
      <w:r w:rsidRPr="00BE1082">
        <w:t xml:space="preserve">ed four social norms, documented by </w:t>
      </w:r>
      <w:r w:rsidRPr="00BE1082">
        <w:rPr>
          <w:noProof/>
        </w:rPr>
        <w:t>Yackel and Cobb (1996)</w:t>
      </w:r>
      <w:r w:rsidRPr="00BE1082">
        <w:t xml:space="preserve">, which </w:t>
      </w:r>
      <w:r w:rsidR="00CA7049" w:rsidRPr="00BE1082">
        <w:t>will support</w:t>
      </w:r>
      <w:r w:rsidRPr="00BE1082">
        <w:t xml:space="preserve"> student-</w:t>
      </w:r>
      <w:r w:rsidR="003351F8" w:rsidRPr="00BE1082">
        <w:t>centred</w:t>
      </w:r>
      <w:r w:rsidRPr="00BE1082">
        <w:t xml:space="preserve"> teaching</w:t>
      </w:r>
      <w:r w:rsidR="00FD1071" w:rsidRPr="00BE1082">
        <w:t xml:space="preserve">: </w:t>
      </w:r>
      <w:r w:rsidRPr="00BE1082">
        <w:t>students are expected to</w:t>
      </w:r>
      <w:r w:rsidR="00FD1071" w:rsidRPr="00BE1082">
        <w:t xml:space="preserve"> (1)</w:t>
      </w:r>
      <w:r w:rsidR="0087230A" w:rsidRPr="00BE1082">
        <w:t xml:space="preserve"> </w:t>
      </w:r>
      <w:r w:rsidRPr="00BE1082">
        <w:t xml:space="preserve">explain/justify solutions; </w:t>
      </w:r>
      <w:r w:rsidR="00FD1071" w:rsidRPr="00BE1082">
        <w:t>(2)</w:t>
      </w:r>
      <w:r w:rsidR="0087230A" w:rsidRPr="00BE1082">
        <w:t xml:space="preserve"> </w:t>
      </w:r>
      <w:r w:rsidRPr="00BE1082">
        <w:t xml:space="preserve">attempt to make sense of others’ explanations; </w:t>
      </w:r>
      <w:r w:rsidR="00FD1071" w:rsidRPr="00BE1082">
        <w:t>(3)</w:t>
      </w:r>
      <w:r w:rsidR="0087230A" w:rsidRPr="00BE1082">
        <w:t xml:space="preserve"> </w:t>
      </w:r>
      <w:r w:rsidRPr="00BE1082">
        <w:t xml:space="preserve">indicate agreement/disagreement; and </w:t>
      </w:r>
      <w:r w:rsidR="00FD1071" w:rsidRPr="00BE1082">
        <w:t>(4)</w:t>
      </w:r>
      <w:r w:rsidR="0087230A" w:rsidRPr="00BE1082">
        <w:t xml:space="preserve"> </w:t>
      </w:r>
      <w:r w:rsidRPr="00BE1082">
        <w:t>ask clarifying questions (p. 340).</w:t>
      </w:r>
    </w:p>
    <w:p w14:paraId="03FFD8CA" w14:textId="77777777" w:rsidR="00424C85" w:rsidRPr="002C5251" w:rsidRDefault="00424C85" w:rsidP="00BA5519">
      <w:pPr>
        <w:pStyle w:val="Newparagraph"/>
        <w:rPr>
          <w:color w:val="FF0000"/>
        </w:rPr>
      </w:pPr>
    </w:p>
    <w:p w14:paraId="092C76DB" w14:textId="25D395F1" w:rsidR="00424C85" w:rsidRPr="001E753A" w:rsidRDefault="00424C85" w:rsidP="00DE6EB9">
      <w:pPr>
        <w:pStyle w:val="Newparagraph"/>
        <w:jc w:val="both"/>
      </w:pPr>
      <w:r>
        <w:lastRenderedPageBreak/>
        <w:t xml:space="preserve">In the affect domain, research on beliefs about the nature of mathematics and the teaching and learning of mathematics has also received much attention over </w:t>
      </w:r>
      <w:r w:rsidR="00C85652">
        <w:t xml:space="preserve">past </w:t>
      </w:r>
      <w:r>
        <w:t xml:space="preserve">decades </w:t>
      </w:r>
      <w:r>
        <w:rPr>
          <w:noProof/>
        </w:rPr>
        <w:t>(e.g</w:t>
      </w:r>
      <w:r w:rsidR="00BA5519">
        <w:rPr>
          <w:noProof/>
        </w:rPr>
        <w:t>.</w:t>
      </w:r>
      <w:r>
        <w:rPr>
          <w:noProof/>
        </w:rPr>
        <w:t xml:space="preserve"> De Corte, Op 't Eynde, and Verschaffel 2002; Ernest 1991; Thompson 1992)</w:t>
      </w:r>
      <w:r>
        <w:t>. In particular, the relationship between beliefs an</w:t>
      </w:r>
      <w:r w:rsidR="00CA7049">
        <w:t>d practices has been a topic of considerable debate</w:t>
      </w:r>
      <w:r w:rsidR="00C85652">
        <w:t xml:space="preserve">, and </w:t>
      </w:r>
      <w:r w:rsidRPr="001E753A">
        <w:rPr>
          <w:noProof/>
          <w:lang w:val="en-US" w:eastAsia="nb-NO"/>
        </w:rPr>
        <w:t>there seem</w:t>
      </w:r>
      <w:r w:rsidR="00C85652">
        <w:rPr>
          <w:noProof/>
          <w:lang w:val="en-US" w:eastAsia="nb-NO"/>
        </w:rPr>
        <w:t>s</w:t>
      </w:r>
      <w:r w:rsidRPr="001E753A">
        <w:rPr>
          <w:noProof/>
          <w:lang w:val="en-US" w:eastAsia="nb-NO"/>
        </w:rPr>
        <w:t xml:space="preserve"> to be a disagreement in the literature</w:t>
      </w:r>
      <w:r w:rsidR="00C85652">
        <w:rPr>
          <w:noProof/>
          <w:lang w:val="en-US" w:eastAsia="nb-NO"/>
        </w:rPr>
        <w:t xml:space="preserve">, in which ways </w:t>
      </w:r>
      <w:r w:rsidRPr="001E753A">
        <w:rPr>
          <w:noProof/>
          <w:lang w:val="en-US" w:eastAsia="nb-NO"/>
        </w:rPr>
        <w:t xml:space="preserve">beliefs </w:t>
      </w:r>
      <w:r w:rsidR="00C85652">
        <w:rPr>
          <w:noProof/>
          <w:lang w:val="en-US" w:eastAsia="nb-NO"/>
        </w:rPr>
        <w:t>might be</w:t>
      </w:r>
      <w:r w:rsidRPr="001E753A">
        <w:rPr>
          <w:noProof/>
          <w:lang w:val="en-US" w:eastAsia="nb-NO"/>
        </w:rPr>
        <w:t xml:space="preserve"> related to practice. </w:t>
      </w:r>
      <w:r w:rsidRPr="001E753A">
        <w:t xml:space="preserve">While some report on a high degree of consistency </w:t>
      </w:r>
      <w:r>
        <w:rPr>
          <w:noProof/>
        </w:rPr>
        <w:t>(e.g. Thompson</w:t>
      </w:r>
      <w:r w:rsidRPr="001E753A">
        <w:rPr>
          <w:noProof/>
        </w:rPr>
        <w:t xml:space="preserve"> 1984)</w:t>
      </w:r>
      <w:r w:rsidRPr="001E753A">
        <w:t xml:space="preserve">, others report on a disjunctive relationship between teachers’ practice and intentions of practice </w:t>
      </w:r>
      <w:r>
        <w:rPr>
          <w:noProof/>
        </w:rPr>
        <w:t>(e.g. Skott</w:t>
      </w:r>
      <w:r w:rsidRPr="001E753A">
        <w:rPr>
          <w:noProof/>
        </w:rPr>
        <w:t xml:space="preserve"> 2001)</w:t>
      </w:r>
      <w:r w:rsidRPr="001E753A">
        <w:t xml:space="preserve">. </w:t>
      </w:r>
    </w:p>
    <w:p w14:paraId="09D86F40" w14:textId="5ED50EFF" w:rsidR="00424C85" w:rsidRPr="001E753A" w:rsidRDefault="00BA5519" w:rsidP="00DE6EB9">
      <w:pPr>
        <w:pStyle w:val="Newparagraph"/>
        <w:jc w:val="both"/>
        <w:rPr>
          <w:noProof/>
          <w:lang w:val="en-US" w:eastAsia="nb-NO"/>
        </w:rPr>
      </w:pPr>
      <w:r>
        <w:rPr>
          <w:noProof/>
          <w:lang w:val="en-US" w:eastAsia="nb-NO"/>
        </w:rPr>
        <w:t xml:space="preserve">In connection </w:t>
      </w:r>
      <w:r w:rsidR="00424C85" w:rsidRPr="001E753A">
        <w:rPr>
          <w:noProof/>
          <w:lang w:val="en-US" w:eastAsia="nb-NO"/>
        </w:rPr>
        <w:t>with these studies, several attempts have been made to measure or categorise the practices and</w:t>
      </w:r>
      <w:r w:rsidR="00424C85">
        <w:rPr>
          <w:noProof/>
          <w:lang w:val="en-US" w:eastAsia="nb-NO"/>
        </w:rPr>
        <w:t xml:space="preserve"> </w:t>
      </w:r>
      <w:r w:rsidR="00424C85" w:rsidRPr="001E753A">
        <w:rPr>
          <w:noProof/>
          <w:lang w:val="en-US" w:eastAsia="nb-NO"/>
        </w:rPr>
        <w:t>beliefs of mathematics teachers. Swan (2006), for instance, described two research instruments: a beliefs questionnaire</w:t>
      </w:r>
      <w:r w:rsidR="003A4655">
        <w:rPr>
          <w:noProof/>
          <w:lang w:val="en-US" w:eastAsia="nb-NO"/>
        </w:rPr>
        <w:t>;</w:t>
      </w:r>
      <w:r w:rsidR="00424C85" w:rsidRPr="001E753A">
        <w:rPr>
          <w:noProof/>
          <w:lang w:val="en-US" w:eastAsia="nb-NO"/>
        </w:rPr>
        <w:t xml:space="preserve"> and a practice questionnaire. The beliefs questionnaire </w:t>
      </w:r>
      <w:r w:rsidR="003A4655">
        <w:rPr>
          <w:noProof/>
          <w:lang w:val="en-US" w:eastAsia="nb-NO"/>
        </w:rPr>
        <w:t xml:space="preserve">further </w:t>
      </w:r>
      <w:r w:rsidR="00424C85" w:rsidRPr="001E753A">
        <w:rPr>
          <w:noProof/>
          <w:lang w:val="en-US" w:eastAsia="nb-NO"/>
        </w:rPr>
        <w:t xml:space="preserve">developed characterisations based on early </w:t>
      </w:r>
      <w:r w:rsidR="003A4655">
        <w:rPr>
          <w:noProof/>
          <w:lang w:val="en-US" w:eastAsia="nb-NO"/>
        </w:rPr>
        <w:t>research</w:t>
      </w:r>
      <w:r w:rsidR="00424C85" w:rsidRPr="001E753A">
        <w:rPr>
          <w:noProof/>
          <w:lang w:val="en-US" w:eastAsia="nb-NO"/>
        </w:rPr>
        <w:t xml:space="preserve"> by </w:t>
      </w:r>
      <w:r w:rsidR="00424C85">
        <w:rPr>
          <w:noProof/>
          <w:lang w:val="en-US" w:eastAsia="nb-NO"/>
        </w:rPr>
        <w:t>Ernest (1991)</w:t>
      </w:r>
      <w:r w:rsidR="00424C85" w:rsidRPr="001E753A">
        <w:rPr>
          <w:noProof/>
          <w:lang w:val="en-US" w:eastAsia="nb-NO"/>
        </w:rPr>
        <w:t xml:space="preserve"> and Askew</w:t>
      </w:r>
      <w:r w:rsidR="00424C85">
        <w:rPr>
          <w:noProof/>
          <w:lang w:val="en-US" w:eastAsia="nb-NO"/>
        </w:rPr>
        <w:t xml:space="preserve"> et al.</w:t>
      </w:r>
      <w:r w:rsidR="00424C85" w:rsidRPr="001E753A">
        <w:rPr>
          <w:noProof/>
          <w:lang w:val="en-US" w:eastAsia="nb-NO"/>
        </w:rPr>
        <w:t xml:space="preserve"> (1997). In short, the proposed categories/orientations are: the </w:t>
      </w:r>
      <w:r w:rsidR="00424C85" w:rsidRPr="001E753A">
        <w:rPr>
          <w:i/>
          <w:noProof/>
          <w:lang w:val="en-US" w:eastAsia="nb-NO"/>
        </w:rPr>
        <w:t>transmission</w:t>
      </w:r>
      <w:r w:rsidR="00424C85" w:rsidRPr="001E753A">
        <w:rPr>
          <w:noProof/>
          <w:lang w:val="en-US" w:eastAsia="nb-NO"/>
        </w:rPr>
        <w:t xml:space="preserve"> orientation (viewing mathematics as a series of rules and truths); the </w:t>
      </w:r>
      <w:r w:rsidR="00424C85" w:rsidRPr="001E753A">
        <w:rPr>
          <w:i/>
          <w:noProof/>
          <w:lang w:val="en-US" w:eastAsia="nb-NO"/>
        </w:rPr>
        <w:t xml:space="preserve">connectionist </w:t>
      </w:r>
      <w:r w:rsidR="00424C85" w:rsidRPr="001E753A">
        <w:rPr>
          <w:noProof/>
          <w:lang w:val="en-US" w:eastAsia="nb-NO"/>
        </w:rPr>
        <w:t xml:space="preserve">orientation (viewing mathematics as a network of ideas); and the </w:t>
      </w:r>
      <w:r w:rsidR="00424C85" w:rsidRPr="001E753A">
        <w:rPr>
          <w:i/>
          <w:noProof/>
          <w:lang w:val="en-US" w:eastAsia="nb-NO"/>
        </w:rPr>
        <w:t>discovery</w:t>
      </w:r>
      <w:r w:rsidR="00424C85" w:rsidRPr="001E753A">
        <w:rPr>
          <w:noProof/>
          <w:lang w:val="en-US" w:eastAsia="nb-NO"/>
        </w:rPr>
        <w:t xml:space="preserve"> orientation (viewing mathematics</w:t>
      </w:r>
      <w:r w:rsidR="00424C85">
        <w:rPr>
          <w:noProof/>
          <w:lang w:val="en-US" w:eastAsia="nb-NO"/>
        </w:rPr>
        <w:t xml:space="preserve"> as a human creation) (Swan</w:t>
      </w:r>
      <w:r w:rsidR="00424C85" w:rsidRPr="001E753A">
        <w:rPr>
          <w:noProof/>
          <w:lang w:val="en-US" w:eastAsia="nb-NO"/>
        </w:rPr>
        <w:t xml:space="preserve"> 200</w:t>
      </w:r>
      <w:r w:rsidR="007647AC">
        <w:rPr>
          <w:noProof/>
          <w:lang w:val="en-US" w:eastAsia="nb-NO"/>
        </w:rPr>
        <w:t xml:space="preserve">6, </w:t>
      </w:r>
      <w:r w:rsidR="00424C85" w:rsidRPr="001E753A">
        <w:rPr>
          <w:noProof/>
          <w:lang w:val="en-US" w:eastAsia="nb-NO"/>
        </w:rPr>
        <w:t>59). The practice questionnaire, however, consisted of items categorised as being either teacher- or student-</w:t>
      </w:r>
      <w:r w:rsidR="003351F8">
        <w:rPr>
          <w:noProof/>
          <w:lang w:val="en-US" w:eastAsia="nb-NO"/>
        </w:rPr>
        <w:t>centred</w:t>
      </w:r>
      <w:r w:rsidR="00424C85" w:rsidRPr="001E753A">
        <w:rPr>
          <w:noProof/>
          <w:lang w:val="en-US" w:eastAsia="nb-NO"/>
        </w:rPr>
        <w:t xml:space="preserve">. </w:t>
      </w:r>
      <w:r w:rsidR="00563A21">
        <w:rPr>
          <w:noProof/>
          <w:lang w:val="en-US" w:eastAsia="nb-NO"/>
        </w:rPr>
        <w:t>A</w:t>
      </w:r>
      <w:r w:rsidR="00424C85" w:rsidRPr="001E753A">
        <w:rPr>
          <w:noProof/>
          <w:lang w:val="en-US" w:eastAsia="nb-NO"/>
        </w:rPr>
        <w:t>lthough there are obvious benefits to categorising teachers in terms of both their practices and beliefs,</w:t>
      </w:r>
      <w:r w:rsidR="00424C85">
        <w:rPr>
          <w:noProof/>
          <w:lang w:val="en-US" w:eastAsia="nb-NO"/>
        </w:rPr>
        <w:t xml:space="preserve"> </w:t>
      </w:r>
      <w:r w:rsidR="00563A21">
        <w:rPr>
          <w:noProof/>
          <w:lang w:val="en-US" w:eastAsia="nb-NO"/>
        </w:rPr>
        <w:t xml:space="preserve">it should however be noted that </w:t>
      </w:r>
      <w:r w:rsidR="00424C85">
        <w:rPr>
          <w:noProof/>
          <w:lang w:val="en-US" w:eastAsia="nb-NO"/>
        </w:rPr>
        <w:t xml:space="preserve">the belief and practice </w:t>
      </w:r>
      <w:r w:rsidR="00424C85" w:rsidRPr="001E753A">
        <w:rPr>
          <w:noProof/>
          <w:lang w:val="en-US" w:eastAsia="nb-NO"/>
        </w:rPr>
        <w:t xml:space="preserve">items presented by Swan (2006) consist of different ‘units’: (transmission/connectionist/discovery)-orientations and (student/teacher)-centrism. </w:t>
      </w:r>
    </w:p>
    <w:p w14:paraId="4F30ACDC" w14:textId="71FE5FDE" w:rsidR="00424C85" w:rsidRDefault="00424C85" w:rsidP="00DE6EB9">
      <w:pPr>
        <w:pStyle w:val="Newparagraph"/>
        <w:jc w:val="both"/>
      </w:pPr>
      <w:r w:rsidRPr="001E753A">
        <w:rPr>
          <w:noProof/>
          <w:lang w:val="en-US" w:eastAsia="nb-NO"/>
        </w:rPr>
        <w:t>The dif</w:t>
      </w:r>
      <w:r>
        <w:rPr>
          <w:noProof/>
          <w:lang w:val="en-US" w:eastAsia="nb-NO"/>
        </w:rPr>
        <w:t>ferent ‘units’</w:t>
      </w:r>
      <w:r w:rsidRPr="001E753A">
        <w:rPr>
          <w:noProof/>
          <w:lang w:val="en-US" w:eastAsia="nb-NO"/>
        </w:rPr>
        <w:t xml:space="preserve"> </w:t>
      </w:r>
      <w:r w:rsidR="00366467">
        <w:rPr>
          <w:noProof/>
          <w:lang w:val="en-US" w:eastAsia="nb-NO"/>
        </w:rPr>
        <w:t>of</w:t>
      </w:r>
      <w:r w:rsidRPr="001E753A">
        <w:rPr>
          <w:noProof/>
          <w:lang w:val="en-US" w:eastAsia="nb-NO"/>
        </w:rPr>
        <w:t xml:space="preserve"> Swan’s (2006) </w:t>
      </w:r>
      <w:r w:rsidR="00F476C4">
        <w:rPr>
          <w:noProof/>
          <w:lang w:val="en-US" w:eastAsia="nb-NO"/>
        </w:rPr>
        <w:t>beliefs-instrument</w:t>
      </w:r>
      <w:r w:rsidRPr="001E753A">
        <w:rPr>
          <w:noProof/>
          <w:lang w:val="en-US" w:eastAsia="nb-NO"/>
        </w:rPr>
        <w:t xml:space="preserve"> and </w:t>
      </w:r>
      <w:r w:rsidR="00F476C4">
        <w:rPr>
          <w:noProof/>
          <w:lang w:val="en-US" w:eastAsia="nb-NO"/>
        </w:rPr>
        <w:t>practice-instrument</w:t>
      </w:r>
      <w:r w:rsidRPr="001E753A">
        <w:rPr>
          <w:noProof/>
          <w:lang w:val="en-US" w:eastAsia="nb-NO"/>
        </w:rPr>
        <w:t xml:space="preserve"> do not constitute a problem</w:t>
      </w:r>
      <w:r w:rsidR="00366467">
        <w:rPr>
          <w:noProof/>
          <w:lang w:val="en-US" w:eastAsia="nb-NO"/>
        </w:rPr>
        <w:t xml:space="preserve"> per se</w:t>
      </w:r>
      <w:r w:rsidRPr="001E753A">
        <w:rPr>
          <w:noProof/>
          <w:lang w:val="en-US" w:eastAsia="nb-NO"/>
        </w:rPr>
        <w:t xml:space="preserve">. In some cases, however, it is desirable to compare beliefs and practices more directly (i.e. being able to say that one is more than, less than, or about the same as the other). One such example is when the relationship between beliefs </w:t>
      </w:r>
      <w:r w:rsidR="00BA5519">
        <w:rPr>
          <w:noProof/>
          <w:lang w:val="en-US" w:eastAsia="nb-NO"/>
        </w:rPr>
        <w:t xml:space="preserve">and practices </w:t>
      </w:r>
      <w:r w:rsidR="00BA5519">
        <w:rPr>
          <w:noProof/>
          <w:lang w:val="en-US" w:eastAsia="nb-NO"/>
        </w:rPr>
        <w:lastRenderedPageBreak/>
        <w:t>is</w:t>
      </w:r>
      <w:r>
        <w:rPr>
          <w:noProof/>
          <w:lang w:val="en-US" w:eastAsia="nb-NO"/>
        </w:rPr>
        <w:t xml:space="preserve"> being studied. </w:t>
      </w:r>
      <w:r w:rsidR="001B7F17">
        <w:rPr>
          <w:noProof/>
          <w:lang w:val="en-US" w:eastAsia="nb-NO"/>
        </w:rPr>
        <w:t xml:space="preserve">In those cases </w:t>
      </w:r>
      <w:r>
        <w:t>research would benefit from practice- and beliefs-instruments that are based on the same ‘unit’</w:t>
      </w:r>
      <w:r w:rsidR="001B7F17">
        <w:t>,</w:t>
      </w:r>
      <w:r>
        <w:t xml:space="preserve"> and also on basic requirements of measurement, e.g. </w:t>
      </w:r>
      <w:r w:rsidR="001B7F17">
        <w:t xml:space="preserve">those </w:t>
      </w:r>
      <w:r>
        <w:t xml:space="preserve">formulated by </w:t>
      </w:r>
      <w:r>
        <w:rPr>
          <w:noProof/>
        </w:rPr>
        <w:t>Thurstone (1959)</w:t>
      </w:r>
      <w:r>
        <w:t>.</w:t>
      </w:r>
    </w:p>
    <w:p w14:paraId="1964601F" w14:textId="44701394" w:rsidR="00424C85" w:rsidRPr="001E753A" w:rsidRDefault="0003231B" w:rsidP="00DE6EB9">
      <w:pPr>
        <w:pStyle w:val="Newparagraph"/>
        <w:jc w:val="both"/>
        <w:rPr>
          <w:noProof/>
          <w:lang w:val="en-US" w:eastAsia="nb-NO"/>
        </w:rPr>
      </w:pPr>
      <w:r>
        <w:rPr>
          <w:noProof/>
          <w:lang w:val="en-US" w:eastAsia="nb-NO"/>
        </w:rPr>
        <w:t>I</w:t>
      </w:r>
      <w:r w:rsidR="00424C85" w:rsidRPr="001E753A">
        <w:rPr>
          <w:noProof/>
          <w:lang w:val="en-US" w:eastAsia="nb-NO"/>
        </w:rPr>
        <w:t xml:space="preserve">ndeed, </w:t>
      </w:r>
      <w:r>
        <w:rPr>
          <w:noProof/>
          <w:lang w:val="en-US" w:eastAsia="nb-NO"/>
        </w:rPr>
        <w:t>anchored in</w:t>
      </w:r>
      <w:r w:rsidR="00424C85" w:rsidRPr="001E753A">
        <w:rPr>
          <w:noProof/>
          <w:lang w:val="en-US" w:eastAsia="nb-NO"/>
        </w:rPr>
        <w:t xml:space="preserve"> Swan’s (2006) original data (</w:t>
      </w:r>
      <w:r w:rsidR="00424C85" w:rsidRPr="00F476C4">
        <w:rPr>
          <w:i/>
          <w:noProof/>
          <w:lang w:val="en-US" w:eastAsia="nb-NO"/>
        </w:rPr>
        <w:t>N</w:t>
      </w:r>
      <w:r w:rsidR="00424C85" w:rsidRPr="001E753A">
        <w:rPr>
          <w:noProof/>
          <w:lang w:val="en-US" w:eastAsia="nb-NO"/>
        </w:rPr>
        <w:t>=120), Pampaka et al. (2012) used Rasch analysis to find that the practice item</w:t>
      </w:r>
      <w:r w:rsidR="00E37EA2">
        <w:rPr>
          <w:noProof/>
          <w:lang w:val="en-US" w:eastAsia="nb-NO"/>
        </w:rPr>
        <w:t>s showed acceptable fit to a uni</w:t>
      </w:r>
      <w:r w:rsidR="00424C85" w:rsidRPr="001E753A">
        <w:rPr>
          <w:noProof/>
          <w:lang w:val="en-US" w:eastAsia="nb-NO"/>
        </w:rPr>
        <w:t>-dimensional scale, and a further revision resulted in a 28-item instrument that c</w:t>
      </w:r>
      <w:r>
        <w:rPr>
          <w:noProof/>
          <w:lang w:val="en-US" w:eastAsia="nb-NO"/>
        </w:rPr>
        <w:t>ould</w:t>
      </w:r>
      <w:r w:rsidR="00424C85" w:rsidRPr="001E753A">
        <w:rPr>
          <w:noProof/>
          <w:lang w:val="en-US" w:eastAsia="nb-NO"/>
        </w:rPr>
        <w:t xml:space="preserve"> measure teacher practice on a single scale; from extreme teacher-</w:t>
      </w:r>
      <w:r w:rsidR="003351F8">
        <w:rPr>
          <w:noProof/>
          <w:lang w:val="en-US" w:eastAsia="nb-NO"/>
        </w:rPr>
        <w:t>centred</w:t>
      </w:r>
      <w:r w:rsidR="00424C85" w:rsidRPr="001E753A">
        <w:rPr>
          <w:noProof/>
          <w:lang w:val="en-US" w:eastAsia="nb-NO"/>
        </w:rPr>
        <w:t xml:space="preserve"> to extreme student-</w:t>
      </w:r>
      <w:r w:rsidR="003351F8">
        <w:rPr>
          <w:noProof/>
          <w:lang w:val="en-US" w:eastAsia="nb-NO"/>
        </w:rPr>
        <w:t>centred</w:t>
      </w:r>
      <w:r w:rsidR="00424C85" w:rsidRPr="001E753A">
        <w:rPr>
          <w:noProof/>
          <w:lang w:val="en-US" w:eastAsia="nb-NO"/>
        </w:rPr>
        <w:t xml:space="preserve">. </w:t>
      </w:r>
      <w:r>
        <w:rPr>
          <w:noProof/>
          <w:lang w:val="en-US" w:eastAsia="nb-NO"/>
        </w:rPr>
        <w:t xml:space="preserve">However, </w:t>
      </w:r>
      <w:r w:rsidR="00424C85" w:rsidRPr="001E753A">
        <w:rPr>
          <w:noProof/>
          <w:lang w:val="en-US" w:eastAsia="nb-NO"/>
        </w:rPr>
        <w:t>Pampaka et al. (2012)</w:t>
      </w:r>
      <w:r>
        <w:rPr>
          <w:noProof/>
          <w:lang w:val="en-US" w:eastAsia="nb-NO"/>
        </w:rPr>
        <w:t xml:space="preserve"> </w:t>
      </w:r>
      <w:r w:rsidR="00424C85" w:rsidRPr="001E753A">
        <w:rPr>
          <w:noProof/>
          <w:lang w:val="en-US" w:eastAsia="nb-NO"/>
        </w:rPr>
        <w:t>did not discuss a similar beliefs-instrument.</w:t>
      </w:r>
    </w:p>
    <w:p w14:paraId="3F5FDC49" w14:textId="3FEDA950" w:rsidR="000D0C65" w:rsidRPr="00A53EAB" w:rsidRDefault="00424C85" w:rsidP="007419E6">
      <w:pPr>
        <w:pStyle w:val="Newparagraph"/>
        <w:jc w:val="both"/>
        <w:rPr>
          <w:noProof/>
          <w:lang w:val="en-US" w:eastAsia="nb-NO"/>
        </w:rPr>
      </w:pPr>
      <w:r w:rsidRPr="001E753A">
        <w:rPr>
          <w:noProof/>
          <w:lang w:val="en-US" w:eastAsia="nb-NO"/>
        </w:rPr>
        <w:t>To expand upon the development</w:t>
      </w:r>
      <w:r w:rsidR="00A14816">
        <w:rPr>
          <w:noProof/>
          <w:lang w:val="en-US" w:eastAsia="nb-NO"/>
        </w:rPr>
        <w:t>s</w:t>
      </w:r>
      <w:r w:rsidRPr="001E753A">
        <w:rPr>
          <w:noProof/>
          <w:lang w:val="en-US" w:eastAsia="nb-NO"/>
        </w:rPr>
        <w:t xml:space="preserve"> of Swan’s (2006) and Pampaka et al.’s (2012) instruments, this study </w:t>
      </w:r>
      <w:r w:rsidR="00A14816">
        <w:rPr>
          <w:noProof/>
          <w:lang w:val="en-US" w:eastAsia="nb-NO"/>
        </w:rPr>
        <w:t xml:space="preserve">has </w:t>
      </w:r>
      <w:r w:rsidRPr="001E753A">
        <w:rPr>
          <w:noProof/>
          <w:lang w:val="en-US" w:eastAsia="nb-NO"/>
        </w:rPr>
        <w:t xml:space="preserve">set out to </w:t>
      </w:r>
      <w:r>
        <w:rPr>
          <w:noProof/>
          <w:lang w:val="en-US" w:eastAsia="nb-NO"/>
        </w:rPr>
        <w:t>measure</w:t>
      </w:r>
      <w:r w:rsidR="00DB61E5">
        <w:rPr>
          <w:noProof/>
          <w:lang w:val="en-US" w:eastAsia="nb-NO"/>
        </w:rPr>
        <w:t xml:space="preserve"> self-</w:t>
      </w:r>
      <w:r w:rsidR="00426061">
        <w:rPr>
          <w:noProof/>
          <w:lang w:val="en-US" w:eastAsia="nb-NO"/>
        </w:rPr>
        <w:t>reported</w:t>
      </w:r>
      <w:r>
        <w:rPr>
          <w:noProof/>
          <w:lang w:val="en-US" w:eastAsia="nb-NO"/>
        </w:rPr>
        <w:t xml:space="preserve"> practices and beliefs about the teaching of mathematics</w:t>
      </w:r>
      <w:r w:rsidR="0091231D">
        <w:rPr>
          <w:noProof/>
          <w:lang w:val="en-US" w:eastAsia="nb-NO"/>
        </w:rPr>
        <w:t xml:space="preserve">, </w:t>
      </w:r>
      <w:r w:rsidR="00C0731C" w:rsidRPr="00A53EAB">
        <w:rPr>
          <w:noProof/>
          <w:lang w:val="en-US" w:eastAsia="nb-NO"/>
        </w:rPr>
        <w:t>and we have chosen the construct of ‘teacher-</w:t>
      </w:r>
      <w:r w:rsidR="00D014AF" w:rsidRPr="00A53EAB">
        <w:rPr>
          <w:noProof/>
          <w:lang w:val="en-US" w:eastAsia="nb-NO"/>
        </w:rPr>
        <w:t>centred</w:t>
      </w:r>
      <w:r w:rsidR="00C0731C" w:rsidRPr="00A53EAB">
        <w:rPr>
          <w:noProof/>
          <w:lang w:val="en-US" w:eastAsia="nb-NO"/>
        </w:rPr>
        <w:t>ness’ for two reasons. First, the methodological justification is that teacher-</w:t>
      </w:r>
      <w:r w:rsidR="00D014AF" w:rsidRPr="00A53EAB">
        <w:rPr>
          <w:noProof/>
          <w:lang w:val="en-US" w:eastAsia="nb-NO"/>
        </w:rPr>
        <w:t>centred</w:t>
      </w:r>
      <w:r w:rsidR="00C0731C" w:rsidRPr="00A53EAB">
        <w:rPr>
          <w:noProof/>
          <w:lang w:val="en-US" w:eastAsia="nb-NO"/>
        </w:rPr>
        <w:t>ness can, intuitively, be thought of as uni-dimensional which is a basic requirement of measurement. Second, the theoretical justification is that connections between teacher/student-</w:t>
      </w:r>
      <w:r w:rsidR="00D014AF" w:rsidRPr="00A53EAB">
        <w:rPr>
          <w:noProof/>
          <w:lang w:val="en-US" w:eastAsia="nb-NO"/>
        </w:rPr>
        <w:t>centred</w:t>
      </w:r>
      <w:r w:rsidR="00C0731C" w:rsidRPr="00A53EAB">
        <w:rPr>
          <w:noProof/>
          <w:lang w:val="en-US" w:eastAsia="nb-NO"/>
        </w:rPr>
        <w:t>ness and transmission/connectionist/discovery-orientations have already been established. Both Swan (2006, 62) and Pampaka et al. (2012, 485) explicitly referred to the transmission-orientation as being teacher-</w:t>
      </w:r>
      <w:r w:rsidR="00D014AF" w:rsidRPr="00A53EAB">
        <w:rPr>
          <w:noProof/>
          <w:lang w:val="en-US" w:eastAsia="nb-NO"/>
        </w:rPr>
        <w:t>centred</w:t>
      </w:r>
      <w:r w:rsidR="00C0731C" w:rsidRPr="00A53EAB">
        <w:rPr>
          <w:noProof/>
          <w:lang w:val="en-US" w:eastAsia="nb-NO"/>
        </w:rPr>
        <w:t>, and the constructivist-orientation as being student-</w:t>
      </w:r>
      <w:r w:rsidR="00D014AF" w:rsidRPr="00A53EAB">
        <w:rPr>
          <w:noProof/>
          <w:lang w:val="en-US" w:eastAsia="nb-NO"/>
        </w:rPr>
        <w:t>centred</w:t>
      </w:r>
      <w:r w:rsidR="00C0731C" w:rsidRPr="00A53EAB">
        <w:rPr>
          <w:noProof/>
          <w:lang w:val="en-US" w:eastAsia="nb-NO"/>
        </w:rPr>
        <w:t>. As such, even if we, for the sake of consistency, have chosen the construct of ‘teacher-</w:t>
      </w:r>
      <w:r w:rsidR="00D014AF" w:rsidRPr="00A53EAB">
        <w:rPr>
          <w:noProof/>
          <w:lang w:val="en-US" w:eastAsia="nb-NO"/>
        </w:rPr>
        <w:t>centred</w:t>
      </w:r>
      <w:r w:rsidR="00C0731C" w:rsidRPr="00A53EAB">
        <w:rPr>
          <w:noProof/>
          <w:lang w:val="en-US" w:eastAsia="nb-NO"/>
        </w:rPr>
        <w:t>ness’ throughout this paper, the reader might prefer to think of it as ‘degree of transmissionism’.</w:t>
      </w:r>
    </w:p>
    <w:p w14:paraId="2383E60E" w14:textId="63A52413" w:rsidR="00D011E4" w:rsidRPr="00A53EAB" w:rsidRDefault="00424C85" w:rsidP="0091231D">
      <w:pPr>
        <w:pStyle w:val="Newparagraph"/>
        <w:jc w:val="both"/>
        <w:rPr>
          <w:noProof/>
          <w:lang w:val="en-US" w:eastAsia="nb-NO"/>
        </w:rPr>
      </w:pPr>
      <w:r w:rsidRPr="001E753A">
        <w:rPr>
          <w:noProof/>
          <w:lang w:val="en-US" w:eastAsia="nb-NO"/>
        </w:rPr>
        <w:t xml:space="preserve">In short, the study </w:t>
      </w:r>
      <w:r w:rsidR="00E37EA2">
        <w:rPr>
          <w:noProof/>
          <w:lang w:val="en-US" w:eastAsia="nb-NO"/>
        </w:rPr>
        <w:t>was influenced by</w:t>
      </w:r>
      <w:r w:rsidRPr="001E753A">
        <w:rPr>
          <w:noProof/>
          <w:lang w:val="en-US" w:eastAsia="nb-NO"/>
        </w:rPr>
        <w:t xml:space="preserve"> the </w:t>
      </w:r>
      <w:r w:rsidR="00F476C4">
        <w:rPr>
          <w:noProof/>
          <w:lang w:val="en-US" w:eastAsia="nb-NO"/>
        </w:rPr>
        <w:t>practice-instrument</w:t>
      </w:r>
      <w:r w:rsidRPr="001E753A">
        <w:rPr>
          <w:noProof/>
          <w:lang w:val="en-US" w:eastAsia="nb-NO"/>
        </w:rPr>
        <w:t xml:space="preserve"> outlined by Pampaka et al. (2012) and use</w:t>
      </w:r>
      <w:r w:rsidR="00A14816">
        <w:rPr>
          <w:noProof/>
          <w:lang w:val="en-US" w:eastAsia="nb-NO"/>
        </w:rPr>
        <w:t>d</w:t>
      </w:r>
      <w:r w:rsidRPr="001E753A">
        <w:rPr>
          <w:noProof/>
          <w:lang w:val="en-US" w:eastAsia="nb-NO"/>
        </w:rPr>
        <w:t xml:space="preserve"> the same methodology to validate a similar </w:t>
      </w:r>
      <w:r w:rsidR="00F476C4">
        <w:rPr>
          <w:noProof/>
          <w:lang w:val="en-US" w:eastAsia="nb-NO"/>
        </w:rPr>
        <w:t>beliefs-instrument</w:t>
      </w:r>
      <w:r w:rsidRPr="001E753A">
        <w:rPr>
          <w:noProof/>
          <w:lang w:val="en-US" w:eastAsia="nb-NO"/>
        </w:rPr>
        <w:t xml:space="preserve"> based on items directly translated from the practice-instrument</w:t>
      </w:r>
      <w:r w:rsidRPr="00BE1082">
        <w:rPr>
          <w:noProof/>
          <w:lang w:val="en-US" w:eastAsia="nb-NO"/>
        </w:rPr>
        <w:t xml:space="preserve">. </w:t>
      </w:r>
      <w:r w:rsidR="00750277" w:rsidRPr="00A53EAB">
        <w:rPr>
          <w:noProof/>
          <w:lang w:val="en-US" w:eastAsia="nb-NO"/>
        </w:rPr>
        <w:t>Such adaption of practice to belief-items (or belief characteristics) is common in the literature. What can be said to be transmission/teacher-</w:t>
      </w:r>
      <w:r w:rsidR="00D014AF" w:rsidRPr="00A53EAB">
        <w:rPr>
          <w:noProof/>
          <w:lang w:val="en-US" w:eastAsia="nb-NO"/>
        </w:rPr>
        <w:t>centred</w:t>
      </w:r>
      <w:r w:rsidR="00750277" w:rsidRPr="00A53EAB">
        <w:rPr>
          <w:noProof/>
          <w:lang w:val="en-US" w:eastAsia="nb-NO"/>
        </w:rPr>
        <w:t xml:space="preserve"> items or characteristics such as ‘Students should be expected to use only those methods that their text or teacher uses’ (Collier 1972, 157); ‘The teacher </w:t>
      </w:r>
      <w:r w:rsidR="00750277" w:rsidRPr="00A53EAB">
        <w:rPr>
          <w:noProof/>
          <w:lang w:val="en-US" w:eastAsia="nb-NO"/>
        </w:rPr>
        <w:lastRenderedPageBreak/>
        <w:t xml:space="preserve">instructs solely from the textbook’ (Raymond 1997, 559); and ‘Teaching is (…) giving verbal explanations and checking that these have been understood through practice questions’ (Swan 2006, 60) are examples of items and characteristics found in the literature that are based on teacher practice, and these items are closely related to items used in our study.  </w:t>
      </w:r>
    </w:p>
    <w:p w14:paraId="2FDEE931" w14:textId="7B49E298" w:rsidR="00424C85" w:rsidRPr="00F07E66" w:rsidRDefault="009A4698" w:rsidP="00DE6EB9">
      <w:pPr>
        <w:pStyle w:val="Newparagraph"/>
        <w:jc w:val="both"/>
        <w:rPr>
          <w:noProof/>
          <w:lang w:val="en-US" w:eastAsia="nb-NO"/>
        </w:rPr>
      </w:pPr>
      <w:r w:rsidRPr="00BE1082">
        <w:rPr>
          <w:noProof/>
          <w:lang w:val="en-US" w:eastAsia="nb-NO"/>
        </w:rPr>
        <w:t>Calibrating practice items and beliefs items on the same scale is a prerequisite for assessing the relationship between beliefs and practices, but does not say anything a priori about how they are related. How beliefs and practices are aligned is something to be discussed in this paper</w:t>
      </w:r>
      <w:r w:rsidR="00F07E66">
        <w:rPr>
          <w:noProof/>
          <w:lang w:val="en-US" w:eastAsia="nb-NO"/>
        </w:rPr>
        <w:t>.</w:t>
      </w:r>
    </w:p>
    <w:p w14:paraId="15A4DA17" w14:textId="77777777" w:rsidR="00424C85" w:rsidRPr="0056640B" w:rsidRDefault="00424C85" w:rsidP="00BA5519">
      <w:pPr>
        <w:pStyle w:val="Overskrift1"/>
        <w:rPr>
          <w:noProof/>
          <w:lang w:val="en-US" w:eastAsia="nb-NO"/>
        </w:rPr>
      </w:pPr>
      <w:r>
        <w:t>Methodology</w:t>
      </w:r>
    </w:p>
    <w:p w14:paraId="704F5D4C" w14:textId="77777777" w:rsidR="00424C85" w:rsidRPr="001E753A" w:rsidRDefault="00424C85" w:rsidP="00BA5519">
      <w:pPr>
        <w:pStyle w:val="Overskrift2"/>
      </w:pPr>
      <w:r w:rsidRPr="001E753A">
        <w:t>Rasch analysis</w:t>
      </w:r>
    </w:p>
    <w:p w14:paraId="2FBB2E9C" w14:textId="0AA8C59B" w:rsidR="00424C85" w:rsidRPr="00BE1082" w:rsidRDefault="00424C85" w:rsidP="00171728">
      <w:pPr>
        <w:pStyle w:val="Paragraph"/>
        <w:jc w:val="both"/>
      </w:pPr>
      <w:r w:rsidRPr="001E753A">
        <w:t>Since the purpose was to construct instruments for measuring</w:t>
      </w:r>
      <w:r w:rsidR="009A4698">
        <w:t xml:space="preserve">, </w:t>
      </w:r>
      <w:r w:rsidRPr="001E753A">
        <w:t>as opposed to model</w:t>
      </w:r>
      <w:r w:rsidR="009A4698">
        <w:t>,</w:t>
      </w:r>
      <w:r w:rsidRPr="001E753A">
        <w:t xml:space="preserve"> the beliefs and practices of mathematics student teachers, the study was situated within the Rasch paradigm </w:t>
      </w:r>
      <w:r>
        <w:rPr>
          <w:noProof/>
        </w:rPr>
        <w:t>(Ra</w:t>
      </w:r>
      <w:r w:rsidRPr="00BE1082">
        <w:rPr>
          <w:noProof/>
        </w:rPr>
        <w:t>sch 1960)</w:t>
      </w:r>
      <w:r w:rsidRPr="00BE1082">
        <w:t xml:space="preserve">. Rasch (1960) based his model on basic requirements of measurement such as unidimensionality, additivity, and invariance </w:t>
      </w:r>
      <w:r w:rsidRPr="00BE1082">
        <w:rPr>
          <w:noProof/>
        </w:rPr>
        <w:t>(Andrich 1989)</w:t>
      </w:r>
      <w:r w:rsidRPr="00BE1082">
        <w:t>. There are several reasons</w:t>
      </w:r>
      <w:r w:rsidR="00B01E68" w:rsidRPr="00BE1082">
        <w:t xml:space="preserve"> why Rasch measurement was </w:t>
      </w:r>
      <w:r w:rsidR="00654A71" w:rsidRPr="00BE1082">
        <w:t>favoured</w:t>
      </w:r>
      <w:r w:rsidRPr="00BE1082">
        <w:t xml:space="preserve"> </w:t>
      </w:r>
      <w:r w:rsidR="00654A71" w:rsidRPr="00BE1082">
        <w:t>over</w:t>
      </w:r>
      <w:r w:rsidRPr="00BE1082">
        <w:t xml:space="preserve"> classical test theory (CTT). One reason </w:t>
      </w:r>
      <w:r w:rsidR="00EF6787" w:rsidRPr="00BE1082">
        <w:t>wa</w:t>
      </w:r>
      <w:r w:rsidRPr="00BE1082">
        <w:t xml:space="preserve">s that CTT is </w:t>
      </w:r>
      <w:proofErr w:type="gramStart"/>
      <w:r w:rsidRPr="00BE1082">
        <w:t>person</w:t>
      </w:r>
      <w:r w:rsidR="00654A71" w:rsidRPr="00BE1082">
        <w:t>- and item-</w:t>
      </w:r>
      <w:r w:rsidRPr="00BE1082">
        <w:t>dependent</w:t>
      </w:r>
      <w:proofErr w:type="gramEnd"/>
      <w:r w:rsidRPr="00BE1082">
        <w:t xml:space="preserve">. </w:t>
      </w:r>
      <w:r w:rsidR="00867E40" w:rsidRPr="00BE1082">
        <w:t>For example, i</w:t>
      </w:r>
      <w:r w:rsidRPr="00BE1082">
        <w:t xml:space="preserve">ncluding a set of difficult questions to a test would most likely increase the differences between persons. </w:t>
      </w:r>
      <w:r w:rsidR="00867E40" w:rsidRPr="00BE1082">
        <w:t xml:space="preserve">In a similar way, </w:t>
      </w:r>
      <w:r w:rsidRPr="00BE1082">
        <w:t xml:space="preserve">including a set of persons with high measures would most likely increase the difference between items. </w:t>
      </w:r>
      <w:r w:rsidR="00B01E68" w:rsidRPr="00BE1082">
        <w:t>Measures obtained by Rasch mode</w:t>
      </w:r>
      <w:r w:rsidRPr="00BE1082">
        <w:t>l</w:t>
      </w:r>
      <w:r w:rsidR="00CA7049" w:rsidRPr="00BE1082">
        <w:t>l</w:t>
      </w:r>
      <w:r w:rsidR="00654A71" w:rsidRPr="00BE1082">
        <w:t>ing, in</w:t>
      </w:r>
      <w:r w:rsidRPr="00BE1082">
        <w:t xml:space="preserve"> contrast, are not dependent upon who takes the test, and which items are chosen (e.g. Bond and Fox 2003). </w:t>
      </w:r>
    </w:p>
    <w:p w14:paraId="3AF7F635" w14:textId="238B5DE3" w:rsidR="00424C85" w:rsidRPr="001E753A" w:rsidRDefault="00424C85" w:rsidP="00171728">
      <w:pPr>
        <w:pStyle w:val="Newparagraph"/>
        <w:jc w:val="both"/>
      </w:pPr>
      <w:r w:rsidRPr="00BE1082">
        <w:t>Like physical measurements, Rasch measurement does not discriminate</w:t>
      </w:r>
      <w:r w:rsidRPr="001E753A">
        <w:t xml:space="preserve"> between persons and items, which means that they can be measured on the same scale</w:t>
      </w:r>
      <w:r>
        <w:t>. Moreover, when the data fit the model, the estimation of person measures do</w:t>
      </w:r>
      <w:r w:rsidR="00A47BA7">
        <w:t>es</w:t>
      </w:r>
      <w:r>
        <w:t xml:space="preserve"> not depend on the item distribution and vice versa</w:t>
      </w:r>
      <w:r w:rsidRPr="001E753A">
        <w:t xml:space="preserve"> </w:t>
      </w:r>
      <w:r>
        <w:rPr>
          <w:noProof/>
        </w:rPr>
        <w:t>(Wright and Stone 1979)</w:t>
      </w:r>
      <w:r w:rsidRPr="001E753A">
        <w:t xml:space="preserve">. As such, the dichotomous Rasch model </w:t>
      </w:r>
      <w:r w:rsidRPr="001E753A">
        <w:lastRenderedPageBreak/>
        <w:t>consists of two parameters only: person ‘ability’</w:t>
      </w:r>
      <w:r w:rsidR="00A47BA7">
        <w:t>;</w:t>
      </w:r>
      <w:r w:rsidRPr="001E753A">
        <w:t xml:space="preserve"> and item ‘difficulty’</w:t>
      </w:r>
      <w:r w:rsidR="00A47BA7">
        <w:t xml:space="preserve"> (where</w:t>
      </w:r>
      <w:r w:rsidRPr="001E753A">
        <w:t xml:space="preserve"> ‘ability’ and ‘difficulty’ should be interpreted in the broadest sense</w:t>
      </w:r>
      <w:r w:rsidR="00A47BA7">
        <w:t>)</w:t>
      </w:r>
      <w:r w:rsidRPr="001E753A">
        <w:t xml:space="preserve">. In this study, ‘ability’ refers to the degree of teacher-centrism, and ‘difficulty’ refers to being hard to endorse. More specifically, people with high measures are highly teacher-centred, and items with high measures are the ones that only highly teacher-centred persons </w:t>
      </w:r>
      <w:r w:rsidR="00D37614">
        <w:t>find ‘easy’</w:t>
      </w:r>
      <w:r w:rsidR="00171728">
        <w:t xml:space="preserve"> to agree with</w:t>
      </w:r>
      <w:r w:rsidRPr="001E753A">
        <w:t xml:space="preserve">. </w:t>
      </w:r>
    </w:p>
    <w:p w14:paraId="55AD196F" w14:textId="0648E3E5" w:rsidR="00424C85" w:rsidRPr="001E753A" w:rsidRDefault="00424C85" w:rsidP="00171728">
      <w:pPr>
        <w:pStyle w:val="Newparagraph"/>
        <w:jc w:val="both"/>
        <w:rPr>
          <w:i/>
        </w:rPr>
      </w:pPr>
      <w:r>
        <w:t xml:space="preserve">Two </w:t>
      </w:r>
      <w:r w:rsidRPr="001E753A">
        <w:t>parameterisations of the Polytomous Rasch Model, the Part</w:t>
      </w:r>
      <w:r>
        <w:t>ial Credit Model (PCM) (Masters</w:t>
      </w:r>
      <w:r w:rsidRPr="001E753A">
        <w:t xml:space="preserve"> 1982; Masters </w:t>
      </w:r>
      <w:r>
        <w:t>and Wright</w:t>
      </w:r>
      <w:r w:rsidRPr="001E753A">
        <w:t xml:space="preserve"> 1997) and the Andrich Rating Scale Model (RSM) </w:t>
      </w:r>
      <w:r>
        <w:rPr>
          <w:noProof/>
        </w:rPr>
        <w:t>(Andrich</w:t>
      </w:r>
      <w:r w:rsidRPr="001E753A">
        <w:rPr>
          <w:noProof/>
        </w:rPr>
        <w:t xml:space="preserve"> 1978)</w:t>
      </w:r>
      <w:r w:rsidRPr="001E753A">
        <w:t>, are typically used</w:t>
      </w:r>
      <w:r>
        <w:t xml:space="preserve"> w</w:t>
      </w:r>
      <w:r w:rsidRPr="001E753A">
        <w:t>hen items have more than two options</w:t>
      </w:r>
      <w:r>
        <w:t xml:space="preserve">, </w:t>
      </w:r>
      <w:r w:rsidR="002D21E5">
        <w:t>and</w:t>
      </w:r>
      <w:r>
        <w:t xml:space="preserve"> t</w:t>
      </w:r>
      <w:r w:rsidRPr="001E753A">
        <w:t>he only difference between PCM and RSM is the number of parameters estimated. In the PCM, the structure is unique to all items, whil</w:t>
      </w:r>
      <w:r w:rsidR="00511CD2">
        <w:t>st</w:t>
      </w:r>
      <w:r w:rsidRPr="001E753A">
        <w:t xml:space="preserve"> the items (or groups of items) in the RSM share </w:t>
      </w:r>
      <w:r w:rsidR="00654A71">
        <w:t xml:space="preserve">a </w:t>
      </w:r>
      <w:r w:rsidRPr="001E753A">
        <w:t>rating scale structure. This study considered guidelines</w:t>
      </w:r>
      <w:r>
        <w:t xml:space="preserve"> presented by Linacre (2000, </w:t>
      </w:r>
      <w:r w:rsidRPr="001E753A">
        <w:t>768)</w:t>
      </w:r>
      <w:r w:rsidR="00511CD2">
        <w:t>,</w:t>
      </w:r>
      <w:r w:rsidRPr="001E753A">
        <w:t xml:space="preserve"> </w:t>
      </w:r>
      <w:r w:rsidR="00654A71">
        <w:t xml:space="preserve">in order </w:t>
      </w:r>
      <w:r w:rsidRPr="001E753A">
        <w:t>to decide which model to use, and the RSM was chosen for three reasons:</w:t>
      </w:r>
    </w:p>
    <w:p w14:paraId="6CB58A6B" w14:textId="77777777" w:rsidR="00424C85" w:rsidRPr="001E753A" w:rsidRDefault="00424C85" w:rsidP="00BA5519">
      <w:pPr>
        <w:pStyle w:val="Numberedlist"/>
      </w:pPr>
      <w:r w:rsidRPr="001E753A">
        <w:t xml:space="preserve">All items in the instrument were </w:t>
      </w:r>
      <w:r w:rsidRPr="001E753A">
        <w:rPr>
          <w:i/>
        </w:rPr>
        <w:t>intended</w:t>
      </w:r>
      <w:r w:rsidRPr="001E753A">
        <w:t xml:space="preserve"> to share the same scoring structure. </w:t>
      </w:r>
    </w:p>
    <w:p w14:paraId="0B8C1593" w14:textId="77777777" w:rsidR="00424C85" w:rsidRPr="001E753A" w:rsidRDefault="00424C85" w:rsidP="00BA5519">
      <w:pPr>
        <w:pStyle w:val="Numberedlist"/>
      </w:pPr>
      <w:r>
        <w:t>S</w:t>
      </w:r>
      <w:r w:rsidRPr="001E753A">
        <w:t>ome of the items would have had less than 10 responses to some of the categories</w:t>
      </w:r>
      <w:r>
        <w:t xml:space="preserve"> if the PCM had been chosen</w:t>
      </w:r>
      <w:r w:rsidRPr="001E753A">
        <w:t>, which is considered to be problematic.</w:t>
      </w:r>
    </w:p>
    <w:p w14:paraId="18244EB2" w14:textId="1268C8B2" w:rsidR="00424C85" w:rsidRPr="001E753A" w:rsidRDefault="00424C85" w:rsidP="00BA5519">
      <w:pPr>
        <w:pStyle w:val="Numberedlist"/>
      </w:pPr>
      <w:r w:rsidRPr="001E753A">
        <w:t xml:space="preserve">The correlation between person </w:t>
      </w:r>
      <w:r w:rsidRPr="00BE1082">
        <w:t>measures was 1.00 when the different approaches were tested, leaving little room for argument as to whether to reject</w:t>
      </w:r>
      <w:r w:rsidRPr="001E753A">
        <w:t xml:space="preserve"> the RSM.</w:t>
      </w:r>
      <w:r w:rsidRPr="001E753A" w:rsidDel="00F926E0">
        <w:t xml:space="preserve"> </w:t>
      </w:r>
    </w:p>
    <w:p w14:paraId="43AC00C7" w14:textId="74086949" w:rsidR="00424C85" w:rsidRPr="001E753A" w:rsidRDefault="00424C85" w:rsidP="00BA5519">
      <w:pPr>
        <w:pStyle w:val="Newparagraph"/>
      </w:pPr>
      <w:r w:rsidRPr="001E753A">
        <w:t>The R</w:t>
      </w:r>
      <w:r w:rsidR="000900B3">
        <w:t>SM</w:t>
      </w:r>
      <w:r w:rsidRPr="001E753A">
        <w:t xml:space="preserve"> is a generalisation of the dichotomous Rasch Model.  With </w:t>
      </w:r>
      <w:r w:rsidRPr="001E753A">
        <w:rPr>
          <w:i/>
        </w:rPr>
        <w:t>m</w:t>
      </w:r>
      <w:r w:rsidRPr="001E753A">
        <w:t xml:space="preserve"> thresholds, </w:t>
      </w:r>
      <m:oMath>
        <m:sSub>
          <m:sSubPr>
            <m:ctrlPr>
              <w:rPr>
                <w:rFonts w:ascii="Cambria Math" w:hAnsi="Cambria Math" w:cs="Menlo Regular"/>
                <w:i/>
                <w:lang w:val="en-US"/>
              </w:rPr>
            </m:ctrlPr>
          </m:sSubPr>
          <m:e>
            <m:r>
              <w:rPr>
                <w:rFonts w:ascii="Cambria Math" w:hAnsi="Cambria Math" w:cs="Menlo Regular"/>
                <w:lang w:val="en-US"/>
              </w:rPr>
              <m:t>τ</m:t>
            </m:r>
          </m:e>
          <m:sub>
            <m:r>
              <w:rPr>
                <w:rFonts w:ascii="Cambria Math" w:hAnsi="Cambria Math" w:cs="Menlo Regular"/>
                <w:lang w:val="en-US"/>
              </w:rPr>
              <m:t>1</m:t>
            </m:r>
          </m:sub>
        </m:sSub>
        <m:r>
          <w:rPr>
            <w:rFonts w:ascii="Cambria Math" w:hAnsi="Cambria Math" w:cs="Menlo Regular"/>
            <w:lang w:val="en-US"/>
          </w:rPr>
          <m:t xml:space="preserve">, </m:t>
        </m:r>
        <m:sSub>
          <m:sSubPr>
            <m:ctrlPr>
              <w:rPr>
                <w:rFonts w:ascii="Cambria Math" w:hAnsi="Cambria Math" w:cs="Menlo Regular"/>
                <w:i/>
                <w:lang w:val="en-US"/>
              </w:rPr>
            </m:ctrlPr>
          </m:sSubPr>
          <m:e>
            <m:r>
              <w:rPr>
                <w:rFonts w:ascii="Cambria Math" w:hAnsi="Cambria Math" w:cs="Menlo Regular"/>
                <w:lang w:val="en-US"/>
              </w:rPr>
              <m:t>τ</m:t>
            </m:r>
          </m:e>
          <m:sub>
            <m:r>
              <w:rPr>
                <w:rFonts w:ascii="Cambria Math" w:hAnsi="Cambria Math" w:cs="Menlo Regular"/>
                <w:lang w:val="en-US"/>
              </w:rPr>
              <m:t>2</m:t>
            </m:r>
          </m:sub>
        </m:sSub>
        <m:r>
          <w:rPr>
            <w:rFonts w:ascii="Cambria Math" w:hAnsi="Cambria Math" w:cs="Menlo Regular"/>
            <w:lang w:val="en-US"/>
          </w:rPr>
          <m:t xml:space="preserve">, …, </m:t>
        </m:r>
        <m:sSub>
          <m:sSubPr>
            <m:ctrlPr>
              <w:rPr>
                <w:rFonts w:ascii="Cambria Math" w:hAnsi="Cambria Math" w:cs="Menlo Regular"/>
                <w:i/>
                <w:lang w:val="en-US"/>
              </w:rPr>
            </m:ctrlPr>
          </m:sSubPr>
          <m:e>
            <m:r>
              <w:rPr>
                <w:rFonts w:ascii="Cambria Math" w:hAnsi="Cambria Math" w:cs="Menlo Regular"/>
                <w:lang w:val="en-US"/>
              </w:rPr>
              <m:t>τ</m:t>
            </m:r>
          </m:e>
          <m:sub>
            <m:r>
              <w:rPr>
                <w:rFonts w:ascii="Cambria Math" w:hAnsi="Cambria Math" w:cs="Menlo Regular"/>
                <w:lang w:val="en-US"/>
              </w:rPr>
              <m:t>m</m:t>
            </m:r>
          </m:sub>
        </m:sSub>
        <m:r>
          <w:rPr>
            <w:rFonts w:ascii="Cambria Math" w:hAnsi="Cambria Math" w:cs="Menlo Regular"/>
            <w:lang w:val="en-US"/>
          </w:rPr>
          <m:t>,</m:t>
        </m:r>
      </m:oMath>
      <w:r w:rsidRPr="001E753A">
        <w:rPr>
          <w:lang w:val="en-US"/>
        </w:rPr>
        <w:t xml:space="preserve"> it takes the form</w:t>
      </w:r>
      <w:r w:rsidRPr="001E753A">
        <w:t>:</w:t>
      </w:r>
    </w:p>
    <w:p w14:paraId="38A6AB4F" w14:textId="77777777" w:rsidR="00424C85" w:rsidRPr="001E753A" w:rsidRDefault="00424C85" w:rsidP="00BA5519"/>
    <w:p w14:paraId="6D06C772" w14:textId="14CE4CE6" w:rsidR="00424C85" w:rsidRPr="001E753A" w:rsidRDefault="00424C85" w:rsidP="00BA5519">
      <w:pPr>
        <w:pStyle w:val="Displayedequation"/>
        <w:rPr>
          <w:lang w:val="en-US"/>
        </w:rPr>
      </w:pPr>
      <m:oMathPara>
        <m:oMath>
          <m:r>
            <m:rPr>
              <m:sty m:val="p"/>
            </m:rPr>
            <w:rPr>
              <w:rFonts w:ascii="Cambria Math" w:hAnsi="Cambria Math"/>
            </w:rPr>
            <m:t>Pr</m:t>
          </m:r>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X</m:t>
                  </m:r>
                </m:e>
                <m:sub>
                  <m:r>
                    <w:rPr>
                      <w:rFonts w:ascii="Cambria Math" w:hAnsi="Cambria Math"/>
                      <w:lang w:val="en-US"/>
                    </w:rPr>
                    <m:t>ni</m:t>
                  </m:r>
                </m:sub>
              </m:sSub>
              <m:r>
                <m:rPr>
                  <m:sty m:val="p"/>
                </m:rPr>
                <w:rPr>
                  <w:rFonts w:ascii="Cambria Math" w:hAnsi="Cambria Math"/>
                  <w:lang w:val="en-US"/>
                </w:rPr>
                <m:t>=</m:t>
              </m:r>
              <m:r>
                <w:rPr>
                  <w:rFonts w:ascii="Cambria Math" w:hAnsi="Cambria Math"/>
                  <w:lang w:val="en-US"/>
                </w:rPr>
                <m:t>x</m:t>
              </m:r>
            </m:e>
            <m:e>
              <m:sSup>
                <m:sSupPr>
                  <m:ctrlPr>
                    <w:rPr>
                      <w:rFonts w:ascii="Cambria Math" w:hAnsi="Cambria Math"/>
                      <w:lang w:val="en-US"/>
                    </w:rPr>
                  </m:ctrlPr>
                </m:sSupPr>
                <m:e>
                  <m:r>
                    <m:rPr>
                      <m:sty m:val="p"/>
                    </m:rPr>
                    <w:rPr>
                      <w:rFonts w:ascii="Cambria Math" w:hAnsi="Cambria Math"/>
                      <w:lang w:val="en-US"/>
                    </w:rPr>
                    <m:t>Ω</m:t>
                  </m:r>
                </m:e>
                <m:sup>
                  <m:r>
                    <m:rPr>
                      <m:sty m:val="p"/>
                    </m:rPr>
                    <w:rPr>
                      <w:rFonts w:ascii="Cambria Math" w:hAnsi="Cambria Math"/>
                      <w:lang w:val="en-US"/>
                    </w:rPr>
                    <m:t>'</m:t>
                  </m:r>
                </m:sup>
              </m:sSup>
            </m:e>
          </m:d>
          <m:r>
            <m:rPr>
              <m:sty m:val="p"/>
            </m:rPr>
            <w:rPr>
              <w:rFonts w:ascii="Cambria Math" w:hAnsi="Cambria Math"/>
              <w:lang w:val="en-US"/>
            </w:rPr>
            <m:t>=</m:t>
          </m:r>
          <m:f>
            <m:fPr>
              <m:ctrlPr>
                <w:rPr>
                  <w:rFonts w:ascii="Cambria Math" w:hAnsi="Cambria Math"/>
                  <w:lang w:val="en-US"/>
                </w:rPr>
              </m:ctrlPr>
            </m:fPr>
            <m:num>
              <m:func>
                <m:funcPr>
                  <m:ctrlPr>
                    <w:rPr>
                      <w:rFonts w:ascii="Cambria Math" w:hAnsi="Cambria Math"/>
                      <w:lang w:val="en-US"/>
                    </w:rPr>
                  </m:ctrlPr>
                </m:funcPr>
                <m:fName>
                  <m:r>
                    <m:rPr>
                      <m:sty m:val="p"/>
                    </m:rPr>
                    <w:rPr>
                      <w:rFonts w:ascii="Cambria Math" w:hAnsi="Cambria Math"/>
                      <w:lang w:val="en-US"/>
                    </w:rPr>
                    <m:t>exp</m:t>
                  </m:r>
                </m:fName>
                <m:e>
                  <m:d>
                    <m:dPr>
                      <m:ctrlPr>
                        <w:rPr>
                          <w:rFonts w:ascii="Cambria Math" w:hAnsi="Cambria Math"/>
                          <w:lang w:val="en-US"/>
                        </w:rPr>
                      </m:ctrlPr>
                    </m:dPr>
                    <m:e>
                      <m:r>
                        <w:rPr>
                          <w:rFonts w:ascii="Cambria Math" w:hAnsi="Cambria Math"/>
                          <w:lang w:val="en-US"/>
                        </w:rPr>
                        <m:t>x</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β</m:t>
                              </m:r>
                            </m:e>
                            <m:sub>
                              <m:r>
                                <w:rPr>
                                  <w:rFonts w:ascii="Cambria Math" w:hAnsi="Cambria Math"/>
                                  <w:lang w:val="en-US"/>
                                </w:rPr>
                                <m:t>n</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δ</m:t>
                              </m:r>
                            </m:e>
                            <m:sub>
                              <m:r>
                                <w:rPr>
                                  <w:rFonts w:ascii="Cambria Math" w:hAnsi="Cambria Math"/>
                                  <w:lang w:val="en-US"/>
                                </w:rPr>
                                <m:t>i</m:t>
                              </m:r>
                            </m:sub>
                          </m:sSub>
                        </m:e>
                      </m:d>
                      <m:r>
                        <m:rPr>
                          <m:sty m:val="p"/>
                        </m:rPr>
                        <w:rPr>
                          <w:rFonts w:ascii="Cambria Math" w:hAnsi="Cambria Math"/>
                          <w:lang w:val="en-US"/>
                        </w:rPr>
                        <m:t>-</m:t>
                      </m:r>
                      <m:nary>
                        <m:naryPr>
                          <m:chr m:val="∑"/>
                          <m:limLoc m:val="undOvr"/>
                          <m:ctrlPr>
                            <w:rPr>
                              <w:rFonts w:ascii="Cambria Math" w:hAnsi="Cambria Math"/>
                              <w:lang w:val="en-US"/>
                            </w:rPr>
                          </m:ctrlPr>
                        </m:naryPr>
                        <m:sub>
                          <m:r>
                            <w:rPr>
                              <w:rFonts w:ascii="Cambria Math" w:hAnsi="Cambria Math"/>
                              <w:lang w:val="en-US"/>
                            </w:rPr>
                            <m:t>k</m:t>
                          </m:r>
                          <m:r>
                            <m:rPr>
                              <m:sty m:val="p"/>
                            </m:rPr>
                            <w:rPr>
                              <w:rFonts w:ascii="Cambria Math" w:hAnsi="Cambria Math"/>
                              <w:lang w:val="en-US"/>
                            </w:rPr>
                            <m:t>=0</m:t>
                          </m:r>
                        </m:sub>
                        <m:sup>
                          <m:r>
                            <w:rPr>
                              <w:rFonts w:ascii="Cambria Math" w:hAnsi="Cambria Math"/>
                              <w:lang w:val="en-US"/>
                            </w:rPr>
                            <m:t>x</m:t>
                          </m:r>
                        </m:sup>
                        <m:e>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k</m:t>
                              </m:r>
                            </m:sub>
                          </m:sSub>
                        </m:e>
                      </m:nary>
                    </m:e>
                  </m:d>
                </m:e>
              </m:func>
              <m:ctrlPr>
                <w:rPr>
                  <w:rFonts w:ascii="Cambria Math" w:hAnsi="Cambria Math"/>
                  <w:i/>
                  <w:lang w:val="en-US"/>
                </w:rPr>
              </m:ctrlPr>
            </m:num>
            <m:den>
              <m:sSub>
                <m:sSubPr>
                  <m:ctrlPr>
                    <w:rPr>
                      <w:rFonts w:ascii="Cambria Math" w:hAnsi="Cambria Math"/>
                      <w:lang w:val="en-US"/>
                    </w:rPr>
                  </m:ctrlPr>
                </m:sSubPr>
                <m:e>
                  <m:r>
                    <w:rPr>
                      <w:rFonts w:ascii="Cambria Math" w:hAnsi="Cambria Math"/>
                      <w:lang w:val="en-US"/>
                    </w:rPr>
                    <m:t>γ</m:t>
                  </m:r>
                </m:e>
                <m:sub>
                  <m:r>
                    <w:rPr>
                      <w:rFonts w:ascii="Cambria Math" w:hAnsi="Cambria Math"/>
                      <w:lang w:val="en-US"/>
                    </w:rPr>
                    <m:t xml:space="preserve">ni </m:t>
                  </m:r>
                </m:sub>
              </m:sSub>
            </m:den>
          </m:f>
          <m:r>
            <w:rPr>
              <w:rFonts w:ascii="Cambria Math" w:hAnsi="Cambria Math"/>
              <w:lang w:val="en-US"/>
            </w:rPr>
            <m:t xml:space="preserve">                         (1)</m:t>
          </m:r>
        </m:oMath>
      </m:oMathPara>
    </w:p>
    <w:p w14:paraId="381E40C6" w14:textId="77777777" w:rsidR="00424C85" w:rsidRPr="001E753A" w:rsidRDefault="00424C85" w:rsidP="00BA5519"/>
    <w:p w14:paraId="7BA7B62E" w14:textId="77777777" w:rsidR="00424C85" w:rsidRPr="001E753A" w:rsidRDefault="00424C85" w:rsidP="00BA5519">
      <w:r w:rsidRPr="001E753A">
        <w:t>Where:</w:t>
      </w:r>
    </w:p>
    <w:p w14:paraId="6C050323" w14:textId="77777777" w:rsidR="00424C85" w:rsidRPr="001E753A" w:rsidRDefault="00424C85" w:rsidP="00BA5519"/>
    <w:p w14:paraId="17563C72" w14:textId="77777777" w:rsidR="00424C85" w:rsidRPr="001E753A" w:rsidRDefault="00424C85" w:rsidP="00BA5519">
      <w:pPr>
        <w:rPr>
          <w:lang w:val="en-US"/>
        </w:rPr>
      </w:pPr>
      <w:r w:rsidRPr="001E753A">
        <w:t xml:space="preserve"> </w:t>
      </w:r>
      <m:oMath>
        <m:nary>
          <m:naryPr>
            <m:chr m:val="∑"/>
            <m:limLoc m:val="undOvr"/>
            <m:ctrlPr>
              <w:rPr>
                <w:rFonts w:ascii="Cambria Math" w:hAnsi="Cambria Math" w:cs="Menlo Regular"/>
                <w:i/>
                <w:lang w:val="en-US"/>
              </w:rPr>
            </m:ctrlPr>
          </m:naryPr>
          <m:sub>
            <m:r>
              <w:rPr>
                <w:rFonts w:ascii="Cambria Math" w:hAnsi="Cambria Math" w:cs="Menlo Regular"/>
                <w:lang w:val="en-US"/>
              </w:rPr>
              <m:t>k=0</m:t>
            </m:r>
          </m:sub>
          <m:sup>
            <m:r>
              <w:rPr>
                <w:rFonts w:ascii="Cambria Math" w:hAnsi="Cambria Math" w:cs="Menlo Regular"/>
                <w:lang w:val="en-US"/>
              </w:rPr>
              <m:t>m</m:t>
            </m:r>
          </m:sup>
          <m:e>
            <m:sSub>
              <m:sSubPr>
                <m:ctrlPr>
                  <w:rPr>
                    <w:rFonts w:ascii="Cambria Math" w:hAnsi="Cambria Math" w:cs="Menlo Regular"/>
                    <w:i/>
                    <w:lang w:val="en-US"/>
                  </w:rPr>
                </m:ctrlPr>
              </m:sSubPr>
              <m:e>
                <m:r>
                  <w:rPr>
                    <w:rFonts w:ascii="Cambria Math" w:hAnsi="Cambria Math" w:cs="Menlo Regular"/>
                    <w:lang w:val="en-US"/>
                  </w:rPr>
                  <m:t>τ</m:t>
                </m:r>
              </m:e>
              <m:sub>
                <m:r>
                  <w:rPr>
                    <w:rFonts w:ascii="Cambria Math" w:hAnsi="Cambria Math" w:cs="Menlo Regular"/>
                    <w:lang w:val="en-US"/>
                  </w:rPr>
                  <m:t>k</m:t>
                </m:r>
              </m:sub>
            </m:sSub>
          </m:e>
        </m:nary>
      </m:oMath>
      <w:r w:rsidRPr="001E753A">
        <w:rPr>
          <w:lang w:val="en-US"/>
        </w:rPr>
        <w:t xml:space="preserve"> = 0</w:t>
      </w:r>
    </w:p>
    <w:p w14:paraId="62599616" w14:textId="77777777" w:rsidR="00424C85" w:rsidRPr="001E753A" w:rsidRDefault="009106D7" w:rsidP="00BA5519">
      <m:oMath>
        <m:sSub>
          <m:sSubPr>
            <m:ctrlPr>
              <w:rPr>
                <w:rFonts w:ascii="Cambria Math" w:hAnsi="Cambria Math" w:cs="Menlo Regular"/>
                <w:i/>
                <w:lang w:val="en-US"/>
              </w:rPr>
            </m:ctrlPr>
          </m:sSubPr>
          <m:e>
            <m:r>
              <w:rPr>
                <w:rFonts w:ascii="Cambria Math" w:hAnsi="Cambria Math" w:cs="Menlo Regular"/>
                <w:lang w:val="en-US"/>
              </w:rPr>
              <m:t>β</m:t>
            </m:r>
          </m:e>
          <m:sub>
            <m:r>
              <w:rPr>
                <w:rFonts w:ascii="Cambria Math" w:hAnsi="Cambria Math" w:cs="Menlo Regular"/>
                <w:lang w:val="en-US"/>
              </w:rPr>
              <m:t>n</m:t>
            </m:r>
          </m:sub>
        </m:sSub>
      </m:oMath>
      <w:r w:rsidR="00424C85" w:rsidRPr="001E753A">
        <w:rPr>
          <w:vertAlign w:val="subscript"/>
        </w:rPr>
        <w:t xml:space="preserve"> </w:t>
      </w:r>
      <w:proofErr w:type="gramStart"/>
      <w:r w:rsidR="00424C85" w:rsidRPr="001E753A">
        <w:t>is</w:t>
      </w:r>
      <w:proofErr w:type="gramEnd"/>
      <w:r w:rsidR="00424C85" w:rsidRPr="001E753A">
        <w:t xml:space="preserve"> the measure of person </w:t>
      </w:r>
      <m:oMath>
        <m:r>
          <w:rPr>
            <w:rFonts w:ascii="Cambria Math" w:hAnsi="Cambria Math"/>
          </w:rPr>
          <m:t>n</m:t>
        </m:r>
      </m:oMath>
      <w:r w:rsidR="00424C85" w:rsidRPr="001E753A">
        <w:rPr>
          <w:lang w:val="en-US"/>
        </w:rPr>
        <w:t>,</w:t>
      </w:r>
    </w:p>
    <w:p w14:paraId="21DFBE6F" w14:textId="77777777" w:rsidR="00424C85" w:rsidRPr="001E753A" w:rsidRDefault="009106D7" w:rsidP="00BA5519">
      <w:pPr>
        <w:rPr>
          <w:lang w:val="en-US"/>
        </w:rPr>
      </w:pPr>
      <m:oMath>
        <m:sSub>
          <m:sSubPr>
            <m:ctrlPr>
              <w:rPr>
                <w:rFonts w:ascii="Cambria Math" w:hAnsi="Cambria Math" w:cs="Menlo Regular"/>
                <w:i/>
                <w:lang w:val="en-US"/>
              </w:rPr>
            </m:ctrlPr>
          </m:sSubPr>
          <m:e>
            <m:r>
              <w:rPr>
                <w:rFonts w:ascii="Cambria Math" w:hAnsi="Cambria Math" w:cs="Menlo Regular"/>
                <w:lang w:val="en-US"/>
              </w:rPr>
              <m:t>δ</m:t>
            </m:r>
          </m:e>
          <m:sub>
            <m:r>
              <w:rPr>
                <w:rFonts w:ascii="Cambria Math" w:hAnsi="Cambria Math" w:cs="Menlo Regular"/>
                <w:lang w:val="en-US"/>
              </w:rPr>
              <m:t>i</m:t>
            </m:r>
          </m:sub>
        </m:sSub>
        <m:r>
          <w:rPr>
            <w:rFonts w:ascii="Cambria Math" w:hAnsi="Cambria Math" w:cs="Menlo Regular"/>
            <w:lang w:val="en-US"/>
          </w:rPr>
          <m:t xml:space="preserve"> </m:t>
        </m:r>
      </m:oMath>
      <w:proofErr w:type="gramStart"/>
      <w:r w:rsidR="00424C85" w:rsidRPr="001E753A">
        <w:t>is</w:t>
      </w:r>
      <w:proofErr w:type="gramEnd"/>
      <w:r w:rsidR="00424C85" w:rsidRPr="001E753A">
        <w:t xml:space="preserve"> the measure of item </w:t>
      </w:r>
      <m:oMath>
        <m:r>
          <w:rPr>
            <w:rFonts w:ascii="Cambria Math" w:hAnsi="Cambria Math" w:cs="Menlo Regular"/>
            <w:lang w:val="en-US"/>
          </w:rPr>
          <m:t>i,</m:t>
        </m:r>
      </m:oMath>
    </w:p>
    <w:p w14:paraId="1F996624" w14:textId="77777777" w:rsidR="00424C85" w:rsidRPr="001E753A" w:rsidRDefault="009106D7" w:rsidP="00BA5519">
      <w:pPr>
        <w:rPr>
          <w:lang w:val="en-US"/>
        </w:rPr>
      </w:pPr>
      <m:oMath>
        <m:sSup>
          <m:sSupPr>
            <m:ctrlPr>
              <w:rPr>
                <w:rFonts w:ascii="Cambria Math" w:hAnsi="Cambria Math" w:cs="Menlo Regular"/>
                <w:lang w:val="en-US"/>
              </w:rPr>
            </m:ctrlPr>
          </m:sSupPr>
          <m:e>
            <m:r>
              <m:rPr>
                <m:sty m:val="p"/>
              </m:rPr>
              <w:rPr>
                <w:rFonts w:ascii="Cambria Math" w:hAnsi="Cambria Math" w:cs="Menlo Regular"/>
                <w:lang w:val="en-US"/>
              </w:rPr>
              <m:t>Ω</m:t>
            </m:r>
          </m:e>
          <m:sup>
            <m:r>
              <m:rPr>
                <m:sty m:val="p"/>
              </m:rPr>
              <w:rPr>
                <w:rFonts w:ascii="Cambria Math" w:hAnsi="Cambria Math" w:cs="Menlo Regular"/>
                <w:lang w:val="en-US"/>
              </w:rPr>
              <m:t>'</m:t>
            </m:r>
          </m:sup>
        </m:sSup>
      </m:oMath>
      <w:r w:rsidR="00424C85" w:rsidRPr="001E753A">
        <w:rPr>
          <w:lang w:val="en-US"/>
        </w:rPr>
        <w:t xml:space="preserve"> </w:t>
      </w:r>
      <w:proofErr w:type="gramStart"/>
      <w:r w:rsidR="00424C85" w:rsidRPr="001E753A">
        <w:rPr>
          <w:lang w:val="en-US"/>
        </w:rPr>
        <w:t>is</w:t>
      </w:r>
      <w:proofErr w:type="gramEnd"/>
      <w:r w:rsidR="00424C85" w:rsidRPr="001E753A">
        <w:rPr>
          <w:lang w:val="en-US"/>
        </w:rPr>
        <w:t xml:space="preserve"> the outcome space,</w:t>
      </w:r>
    </w:p>
    <w:p w14:paraId="5AF0474C" w14:textId="77777777" w:rsidR="00424C85" w:rsidRPr="001E753A" w:rsidRDefault="00424C85" w:rsidP="00BA5519">
      <m:oMath>
        <m:r>
          <w:rPr>
            <w:rFonts w:ascii="Cambria Math" w:hAnsi="Cambria Math"/>
          </w:rPr>
          <m:t>P</m:t>
        </m:r>
        <m:d>
          <m:dPr>
            <m:begChr m:val="{"/>
            <m:endChr m:val="}"/>
            <m:ctrlPr>
              <w:rPr>
                <w:rFonts w:ascii="Cambria Math" w:hAnsi="Cambria Math" w:cs="Menlo Regular"/>
                <w:lang w:val="en-US"/>
              </w:rPr>
            </m:ctrlPr>
          </m:dPr>
          <m:e>
            <m:sSub>
              <m:sSubPr>
                <m:ctrlPr>
                  <w:rPr>
                    <w:rFonts w:ascii="Cambria Math" w:hAnsi="Cambria Math" w:cs="Menlo Regular"/>
                    <w:lang w:val="en-US"/>
                  </w:rPr>
                </m:ctrlPr>
              </m:sSubPr>
              <m:e>
                <m:r>
                  <m:rPr>
                    <m:sty m:val="p"/>
                  </m:rPr>
                  <w:rPr>
                    <w:rFonts w:ascii="Cambria Math" w:hAnsi="Cambria Math" w:cs="Menlo Regular"/>
                    <w:lang w:val="en-US"/>
                  </w:rPr>
                  <m:t>X</m:t>
                </m:r>
              </m:e>
              <m:sub>
                <m:r>
                  <w:rPr>
                    <w:rFonts w:ascii="Cambria Math" w:hAnsi="Cambria Math" w:cs="Menlo Regular"/>
                    <w:lang w:val="en-US"/>
                  </w:rPr>
                  <m:t>ni</m:t>
                </m:r>
              </m:sub>
            </m:sSub>
            <m:r>
              <m:rPr>
                <m:sty m:val="p"/>
              </m:rPr>
              <w:rPr>
                <w:rFonts w:ascii="Cambria Math" w:hAnsi="Cambria Math" w:cs="Menlo Regular"/>
                <w:lang w:val="en-US"/>
              </w:rPr>
              <m:t>=</m:t>
            </m:r>
            <m:r>
              <w:rPr>
                <w:rFonts w:ascii="Cambria Math" w:hAnsi="Cambria Math" w:cs="Menlo Regular"/>
                <w:lang w:val="en-US"/>
              </w:rPr>
              <m:t>x</m:t>
            </m:r>
          </m:e>
          <m:e>
            <m:sSup>
              <m:sSupPr>
                <m:ctrlPr>
                  <w:rPr>
                    <w:rFonts w:ascii="Cambria Math" w:hAnsi="Cambria Math" w:cs="Menlo Regular"/>
                    <w:i/>
                    <w:lang w:val="en-US"/>
                  </w:rPr>
                </m:ctrlPr>
              </m:sSupPr>
              <m:e>
                <m:r>
                  <m:rPr>
                    <m:sty m:val="p"/>
                  </m:rPr>
                  <w:rPr>
                    <w:rFonts w:ascii="Cambria Math" w:hAnsi="Cambria Math" w:cs="Menlo Regular"/>
                    <w:lang w:val="en-US"/>
                  </w:rPr>
                  <m:t>Ω</m:t>
                </m:r>
              </m:e>
              <m:sup>
                <m:r>
                  <w:rPr>
                    <w:rFonts w:ascii="Cambria Math" w:hAnsi="Cambria Math" w:cs="Menlo Regular"/>
                    <w:lang w:val="en-US"/>
                  </w:rPr>
                  <m:t>'</m:t>
                </m:r>
              </m:sup>
            </m:sSup>
          </m:e>
        </m:d>
        <m:r>
          <w:rPr>
            <w:rFonts w:ascii="Cambria Math" w:hAnsi="Cambria Math" w:cs="Menlo Regular"/>
            <w:lang w:val="en-US"/>
          </w:rPr>
          <m:t xml:space="preserve"> </m:t>
        </m:r>
      </m:oMath>
      <w:proofErr w:type="gramStart"/>
      <w:r w:rsidRPr="001E753A">
        <w:t>is</w:t>
      </w:r>
      <w:proofErr w:type="gramEnd"/>
      <w:r w:rsidRPr="001E753A">
        <w:t xml:space="preserve"> the probability of person </w:t>
      </w:r>
      <m:oMath>
        <m:r>
          <w:rPr>
            <w:rFonts w:ascii="Cambria Math" w:hAnsi="Cambria Math"/>
          </w:rPr>
          <m:t>n</m:t>
        </m:r>
      </m:oMath>
      <w:r w:rsidRPr="001E753A">
        <w:t xml:space="preserve"> responding in category </w:t>
      </w:r>
      <w:r w:rsidRPr="0051373F">
        <w:rPr>
          <w:i/>
        </w:rPr>
        <w:t>x</w:t>
      </w:r>
      <w:r w:rsidRPr="001E753A">
        <w:t xml:space="preserve"> on item </w:t>
      </w:r>
      <m:oMath>
        <m:r>
          <w:rPr>
            <w:rFonts w:ascii="Cambria Math" w:hAnsi="Cambria Math" w:cs="Menlo Regular"/>
            <w:lang w:val="en-US"/>
          </w:rPr>
          <m:t>i</m:t>
        </m:r>
        <m:r>
          <w:rPr>
            <w:rFonts w:ascii="Cambria Math" w:hAnsi="Cambria Math"/>
            <w:lang w:val="en-US"/>
          </w:rPr>
          <m:t>,</m:t>
        </m:r>
        <m:r>
          <m:rPr>
            <m:sty m:val="p"/>
          </m:rPr>
          <w:rPr>
            <w:rFonts w:ascii="Cambria Math" w:hAnsi="Cambria Math"/>
            <w:lang w:val="en-US"/>
          </w:rPr>
          <w:br/>
        </m:r>
      </m:oMath>
    </w:p>
    <w:p w14:paraId="4EEC0EBE" w14:textId="77777777" w:rsidR="00424C85" w:rsidRPr="001E753A" w:rsidRDefault="00424C85" w:rsidP="00BA5519">
      <w:proofErr w:type="gramStart"/>
      <w:r w:rsidRPr="001E753A">
        <w:t>and</w:t>
      </w:r>
      <w:proofErr w:type="gramEnd"/>
    </w:p>
    <w:p w14:paraId="50FE6A96" w14:textId="77777777" w:rsidR="00424C85" w:rsidRPr="001E753A" w:rsidRDefault="009106D7" w:rsidP="00BA5519">
      <w:pPr>
        <w:pStyle w:val="Displayedequation"/>
        <w:rPr>
          <w:lang w:val="en-US"/>
        </w:rPr>
      </w:pPr>
      <m:oMathPara>
        <m:oMathParaPr>
          <m:jc m:val="left"/>
        </m:oMathParaPr>
        <m:oMath>
          <m:sSub>
            <m:sSubPr>
              <m:ctrlPr>
                <w:rPr>
                  <w:rFonts w:ascii="Cambria Math" w:hAnsi="Cambria Math"/>
                </w:rPr>
              </m:ctrlPr>
            </m:sSubPr>
            <m:e>
              <m:r>
                <w:rPr>
                  <w:rFonts w:ascii="Cambria Math" w:hAnsi="Cambria Math"/>
                </w:rPr>
                <m:t>γ</m:t>
              </m:r>
            </m:e>
            <m:sub>
              <m:r>
                <w:rPr>
                  <w:rFonts w:ascii="Cambria Math" w:hAnsi="Cambria Math"/>
                </w:rPr>
                <m:t>ni</m:t>
              </m:r>
            </m:sub>
          </m:sSub>
          <m:r>
            <m:rPr>
              <m:sty m:val="p"/>
            </m:rPr>
            <w:rPr>
              <w:rFonts w:ascii="Cambria Math" w:hAnsi="Cambria Math"/>
              <w:lang w:val="en-US"/>
            </w:rPr>
            <m:t>=</m:t>
          </m:r>
          <m:nary>
            <m:naryPr>
              <m:chr m:val="∑"/>
              <m:limLoc m:val="undOvr"/>
              <m:ctrlPr>
                <w:rPr>
                  <w:rFonts w:ascii="Cambria Math" w:hAnsi="Cambria Math"/>
                  <w:lang w:val="en-US"/>
                </w:rPr>
              </m:ctrlPr>
            </m:naryPr>
            <m:sub>
              <m:r>
                <w:rPr>
                  <w:rFonts w:ascii="Cambria Math" w:hAnsi="Cambria Math"/>
                  <w:lang w:val="en-US"/>
                </w:rPr>
                <m:t>x</m:t>
              </m:r>
              <m:r>
                <m:rPr>
                  <m:sty m:val="p"/>
                </m:rPr>
                <w:rPr>
                  <w:rFonts w:ascii="Cambria Math" w:hAnsi="Cambria Math"/>
                  <w:lang w:val="en-US"/>
                </w:rPr>
                <m:t>=0</m:t>
              </m:r>
            </m:sub>
            <m:sup>
              <m:sSub>
                <m:sSubPr>
                  <m:ctrlPr>
                    <w:rPr>
                      <w:rFonts w:ascii="Cambria Math" w:hAnsi="Cambria Math"/>
                      <w:lang w:val="en-US"/>
                    </w:rPr>
                  </m:ctrlPr>
                </m:sSubPr>
                <m:e>
                  <m:r>
                    <w:rPr>
                      <w:rFonts w:ascii="Cambria Math" w:hAnsi="Cambria Math"/>
                      <w:lang w:val="en-US"/>
                    </w:rPr>
                    <m:t>m</m:t>
                  </m:r>
                </m:e>
                <m:sub>
                  <m:r>
                    <w:rPr>
                      <w:rFonts w:ascii="Cambria Math" w:hAnsi="Cambria Math"/>
                      <w:lang w:val="en-US"/>
                    </w:rPr>
                    <m:t>i</m:t>
                  </m:r>
                </m:sub>
              </m:sSub>
            </m:sup>
            <m:e>
              <m:d>
                <m:dPr>
                  <m:begChr m:val="["/>
                  <m:endChr m:val="]"/>
                  <m:ctrlPr>
                    <w:rPr>
                      <w:rFonts w:ascii="Cambria Math" w:hAnsi="Cambria Math"/>
                      <w:lang w:val="en-US"/>
                    </w:rPr>
                  </m:ctrlPr>
                </m:dPr>
                <m:e>
                  <m:r>
                    <m:rPr>
                      <m:sty m:val="p"/>
                    </m:rPr>
                    <w:rPr>
                      <w:rFonts w:ascii="Cambria Math" w:hAnsi="Cambria Math"/>
                      <w:lang w:val="en-US"/>
                    </w:rPr>
                    <m:t>exp⁡</m:t>
                  </m:r>
                  <m:d>
                    <m:dPr>
                      <m:ctrlPr>
                        <w:rPr>
                          <w:rFonts w:ascii="Cambria Math" w:hAnsi="Cambria Math"/>
                          <w:lang w:val="en-US"/>
                        </w:rPr>
                      </m:ctrlPr>
                    </m:dPr>
                    <m:e>
                      <m:r>
                        <w:rPr>
                          <w:rFonts w:ascii="Cambria Math" w:hAnsi="Cambria Math"/>
                          <w:lang w:val="en-US"/>
                        </w:rPr>
                        <m:t>x</m:t>
                      </m:r>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β</m:t>
                          </m:r>
                        </m:e>
                        <m:sub>
                          <m:r>
                            <w:rPr>
                              <w:rFonts w:ascii="Cambria Math" w:hAnsi="Cambria Math"/>
                              <w:lang w:val="en-US"/>
                            </w:rPr>
                            <m:t>n</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δ</m:t>
                          </m:r>
                        </m:e>
                        <m:sub>
                          <m:r>
                            <w:rPr>
                              <w:rFonts w:ascii="Cambria Math" w:hAnsi="Cambria Math"/>
                              <w:lang w:val="en-US"/>
                            </w:rPr>
                            <m:t>i</m:t>
                          </m:r>
                        </m:sub>
                      </m:sSub>
                      <m:r>
                        <m:rPr>
                          <m:sty m:val="p"/>
                        </m:rPr>
                        <w:rPr>
                          <w:rFonts w:ascii="Cambria Math" w:hAnsi="Cambria Math"/>
                          <w:lang w:val="en-US"/>
                        </w:rPr>
                        <m:t>)-</m:t>
                      </m:r>
                      <m:nary>
                        <m:naryPr>
                          <m:chr m:val="∑"/>
                          <m:limLoc m:val="undOvr"/>
                          <m:ctrlPr>
                            <w:rPr>
                              <w:rFonts w:ascii="Cambria Math" w:hAnsi="Cambria Math"/>
                              <w:lang w:val="en-US"/>
                            </w:rPr>
                          </m:ctrlPr>
                        </m:naryPr>
                        <m:sub>
                          <m:r>
                            <w:rPr>
                              <w:rFonts w:ascii="Cambria Math" w:hAnsi="Cambria Math"/>
                              <w:lang w:val="en-US"/>
                            </w:rPr>
                            <m:t>k</m:t>
                          </m:r>
                          <m:r>
                            <m:rPr>
                              <m:sty m:val="p"/>
                            </m:rPr>
                            <w:rPr>
                              <w:rFonts w:ascii="Cambria Math" w:hAnsi="Cambria Math"/>
                              <w:lang w:val="en-US"/>
                            </w:rPr>
                            <m:t>=0</m:t>
                          </m:r>
                        </m:sub>
                        <m:sup>
                          <m:r>
                            <w:rPr>
                              <w:rFonts w:ascii="Cambria Math" w:hAnsi="Cambria Math"/>
                              <w:lang w:val="en-US"/>
                            </w:rPr>
                            <m:t>x</m:t>
                          </m:r>
                        </m:sup>
                        <m:e>
                          <m:sSub>
                            <m:sSubPr>
                              <m:ctrlPr>
                                <w:rPr>
                                  <w:rFonts w:ascii="Cambria Math" w:hAnsi="Cambria Math"/>
                                  <w:lang w:val="en-US"/>
                                </w:rPr>
                              </m:ctrlPr>
                            </m:sSubPr>
                            <m:e>
                              <m:r>
                                <w:rPr>
                                  <w:rFonts w:ascii="Cambria Math" w:hAnsi="Cambria Math"/>
                                  <w:lang w:val="en-US"/>
                                </w:rPr>
                                <m:t>τ</m:t>
                              </m:r>
                            </m:e>
                            <m:sub>
                              <m:r>
                                <w:rPr>
                                  <w:rFonts w:ascii="Cambria Math" w:hAnsi="Cambria Math"/>
                                  <w:lang w:val="en-US"/>
                                </w:rPr>
                                <m:t>k</m:t>
                              </m:r>
                            </m:sub>
                          </m:sSub>
                        </m:e>
                      </m:nary>
                    </m:e>
                  </m:d>
                </m:e>
              </m:d>
            </m:e>
          </m:nary>
        </m:oMath>
      </m:oMathPara>
    </w:p>
    <w:p w14:paraId="4B4BD4FB" w14:textId="77777777" w:rsidR="00424C85" w:rsidRPr="001E753A" w:rsidRDefault="00424C85" w:rsidP="00BA5519"/>
    <w:p w14:paraId="37368EE1" w14:textId="77777777" w:rsidR="00424C85" w:rsidRDefault="00424C85" w:rsidP="00BA5519">
      <w:pPr>
        <w:rPr>
          <w:lang w:val="en-US"/>
        </w:rPr>
      </w:pPr>
      <w:proofErr w:type="gramStart"/>
      <w:r w:rsidRPr="001E753A">
        <w:rPr>
          <w:lang w:val="en-US"/>
        </w:rPr>
        <w:t>is</w:t>
      </w:r>
      <w:proofErr w:type="gramEnd"/>
      <w:r w:rsidRPr="001E753A">
        <w:rPr>
          <w:lang w:val="en-US"/>
        </w:rPr>
        <w:t xml:space="preserve"> the normalising factor ensuring that the sum of probabilities </w:t>
      </w:r>
      <w:r>
        <w:rPr>
          <w:lang w:val="en-US"/>
        </w:rPr>
        <w:t>is</w:t>
      </w:r>
      <w:r w:rsidRPr="001E753A">
        <w:rPr>
          <w:lang w:val="en-US"/>
        </w:rPr>
        <w:t xml:space="preserve"> 1 </w:t>
      </w:r>
      <w:r>
        <w:rPr>
          <w:noProof/>
          <w:lang w:val="en-US"/>
        </w:rPr>
        <w:t>(Andrich</w:t>
      </w:r>
      <w:r w:rsidRPr="001E753A">
        <w:rPr>
          <w:noProof/>
          <w:lang w:val="en-US"/>
        </w:rPr>
        <w:t xml:space="preserve"> 1978)</w:t>
      </w:r>
      <w:r w:rsidRPr="001E753A">
        <w:rPr>
          <w:lang w:val="en-US"/>
        </w:rPr>
        <w:t>.</w:t>
      </w:r>
    </w:p>
    <w:p w14:paraId="43142495" w14:textId="347B22D8" w:rsidR="00424C85" w:rsidRPr="00BE1082" w:rsidRDefault="00424C85" w:rsidP="00171728">
      <w:pPr>
        <w:pStyle w:val="Newparagraph"/>
        <w:jc w:val="both"/>
        <w:rPr>
          <w:noProof/>
          <w:lang w:val="en-US"/>
        </w:rPr>
      </w:pPr>
      <w:r w:rsidRPr="001E753A">
        <w:rPr>
          <w:lang w:val="en-US"/>
        </w:rPr>
        <w:t xml:space="preserve">Since a response to an item with more than two categories is considered to be a series of independent dichotomous judgments, i.e. deciding whether one should pass each threshold or not, the outcome space, </w:t>
      </w:r>
      <m:oMath>
        <m:r>
          <m:rPr>
            <m:sty m:val="p"/>
          </m:rPr>
          <w:rPr>
            <w:rFonts w:ascii="Cambria Math" w:hAnsi="Cambria Math" w:cs="Menlo Regular"/>
            <w:lang w:val="en-US"/>
          </w:rPr>
          <m:t>Ω</m:t>
        </m:r>
      </m:oMath>
      <w:r w:rsidRPr="001E753A">
        <w:rPr>
          <w:lang w:val="en-US"/>
        </w:rPr>
        <w:t xml:space="preserve">, is reduced to a restricted outcome space, </w:t>
      </w:r>
      <m:oMath>
        <m:sSup>
          <m:sSupPr>
            <m:ctrlPr>
              <w:rPr>
                <w:rFonts w:ascii="Cambria Math" w:hAnsi="Cambria Math" w:cs="Menlo Regular"/>
                <w:lang w:val="en-US"/>
              </w:rPr>
            </m:ctrlPr>
          </m:sSupPr>
          <m:e>
            <m:r>
              <m:rPr>
                <m:sty m:val="p"/>
              </m:rPr>
              <w:rPr>
                <w:rFonts w:ascii="Cambria Math" w:hAnsi="Cambria Math" w:cs="Menlo Regular"/>
                <w:lang w:val="en-US"/>
              </w:rPr>
              <m:t>Ω</m:t>
            </m:r>
          </m:e>
          <m:sup>
            <m:r>
              <m:rPr>
                <m:sty m:val="p"/>
              </m:rPr>
              <w:rPr>
                <w:rFonts w:ascii="Cambria Math" w:hAnsi="Cambria Math" w:cs="Menlo Regular"/>
                <w:lang w:val="en-US"/>
              </w:rPr>
              <m:t>'</m:t>
            </m:r>
          </m:sup>
        </m:sSup>
        <m:r>
          <m:rPr>
            <m:sty m:val="p"/>
          </m:rPr>
          <w:rPr>
            <w:rFonts w:ascii="Cambria Math" w:hAnsi="Cambria Math" w:cs="Menlo Regular"/>
            <w:lang w:val="en-US"/>
          </w:rPr>
          <m:t>,</m:t>
        </m:r>
      </m:oMath>
      <w:r w:rsidRPr="001E753A">
        <w:rPr>
          <w:lang w:val="en-US"/>
        </w:rPr>
        <w:t xml:space="preserve"> that follows the Guttman structure; i.e. the possibility of passing the </w:t>
      </w:r>
      <w:r w:rsidRPr="001E753A">
        <w:rPr>
          <w:i/>
          <w:lang w:val="en-US"/>
        </w:rPr>
        <w:t>k</w:t>
      </w:r>
      <w:r w:rsidR="00623069">
        <w:rPr>
          <w:i/>
          <w:lang w:val="en-US"/>
        </w:rPr>
        <w:t>-</w:t>
      </w:r>
      <w:r w:rsidRPr="001E753A">
        <w:rPr>
          <w:lang w:val="en-US"/>
        </w:rPr>
        <w:t>th threshold when the (</w:t>
      </w:r>
      <w:r w:rsidRPr="001E753A">
        <w:rPr>
          <w:i/>
          <w:lang w:val="en-US"/>
        </w:rPr>
        <w:t>k</w:t>
      </w:r>
      <w:r w:rsidRPr="001E753A">
        <w:rPr>
          <w:lang w:val="en-US"/>
        </w:rPr>
        <w:t>-1)</w:t>
      </w:r>
      <w:r w:rsidR="00623069">
        <w:rPr>
          <w:lang w:val="en-US"/>
        </w:rPr>
        <w:t>-</w:t>
      </w:r>
      <w:r w:rsidRPr="001E753A">
        <w:rPr>
          <w:lang w:val="en-US"/>
        </w:rPr>
        <w:t xml:space="preserve">th threshold is not passed, is non-existing. As such, a person that is responding in the </w:t>
      </w:r>
      <w:r w:rsidRPr="001E753A">
        <w:rPr>
          <w:i/>
          <w:lang w:val="en-US"/>
        </w:rPr>
        <w:t>k</w:t>
      </w:r>
      <w:r w:rsidR="00DE33BB">
        <w:rPr>
          <w:i/>
          <w:lang w:val="en-US"/>
        </w:rPr>
        <w:t>-</w:t>
      </w:r>
      <w:r w:rsidRPr="001E753A">
        <w:rPr>
          <w:lang w:val="en-US"/>
        </w:rPr>
        <w:t xml:space="preserve">th category to an item is </w:t>
      </w:r>
      <w:r w:rsidRPr="00BE1082">
        <w:rPr>
          <w:lang w:val="en-US"/>
        </w:rPr>
        <w:t xml:space="preserve">considered to ‘succeed’ the first </w:t>
      </w:r>
      <w:r w:rsidRPr="00BE1082">
        <w:rPr>
          <w:i/>
          <w:lang w:val="en-US"/>
        </w:rPr>
        <w:t>k</w:t>
      </w:r>
      <w:r w:rsidRPr="00BE1082">
        <w:rPr>
          <w:lang w:val="en-US"/>
        </w:rPr>
        <w:t xml:space="preserve">-1 thresholds and ‘fail’ the rest </w:t>
      </w:r>
      <w:r w:rsidRPr="00BE1082">
        <w:rPr>
          <w:noProof/>
          <w:lang w:val="en-US"/>
        </w:rPr>
        <w:t>(e.g. Andrich 2010).</w:t>
      </w:r>
    </w:p>
    <w:p w14:paraId="76CC2F9C" w14:textId="01BC0DDC" w:rsidR="00424C85" w:rsidRPr="00BE1082" w:rsidRDefault="00424C85" w:rsidP="00171728">
      <w:pPr>
        <w:pStyle w:val="Newparagraph"/>
        <w:jc w:val="both"/>
        <w:rPr>
          <w:noProof/>
          <w:lang w:val="en-US"/>
        </w:rPr>
      </w:pPr>
      <w:r w:rsidRPr="00BE1082">
        <w:rPr>
          <w:noProof/>
          <w:lang w:val="en-US"/>
        </w:rPr>
        <w:t xml:space="preserve">Intuitively, </w:t>
      </w:r>
      <w:r w:rsidR="00654A71" w:rsidRPr="00BE1082">
        <w:rPr>
          <w:noProof/>
          <w:lang w:val="en-US"/>
        </w:rPr>
        <w:t>the model represents</w:t>
      </w:r>
      <w:r w:rsidRPr="00BE1082">
        <w:rPr>
          <w:noProof/>
          <w:lang w:val="en-US"/>
        </w:rPr>
        <w:t xml:space="preserve"> the probability of a person with a certain measure, responding in a certain category, on a certain item. The likelihood of a person responding in one of the higher categories increa</w:t>
      </w:r>
      <w:r w:rsidR="00654A71" w:rsidRPr="00BE1082">
        <w:rPr>
          <w:noProof/>
          <w:lang w:val="en-US"/>
        </w:rPr>
        <w:t xml:space="preserve">ses as </w:t>
      </w:r>
      <w:r w:rsidR="00422085" w:rsidRPr="00BE1082">
        <w:rPr>
          <w:noProof/>
          <w:lang w:val="en-US"/>
        </w:rPr>
        <w:t xml:space="preserve">the </w:t>
      </w:r>
      <w:r w:rsidR="00654A71" w:rsidRPr="00BE1082">
        <w:rPr>
          <w:noProof/>
          <w:lang w:val="en-US"/>
        </w:rPr>
        <w:t>person measure increases</w:t>
      </w:r>
      <w:r w:rsidRPr="00BE1082">
        <w:rPr>
          <w:noProof/>
          <w:lang w:val="en-US"/>
        </w:rPr>
        <w:t xml:space="preserve"> for any given item. Conversely, the likelihood of a person responding in one of the lower categories increases as </w:t>
      </w:r>
      <w:r w:rsidR="00422085" w:rsidRPr="00BE1082">
        <w:rPr>
          <w:noProof/>
          <w:lang w:val="en-US"/>
        </w:rPr>
        <w:t xml:space="preserve">the </w:t>
      </w:r>
      <w:r w:rsidRPr="00BE1082">
        <w:rPr>
          <w:noProof/>
          <w:lang w:val="en-US"/>
        </w:rPr>
        <w:t xml:space="preserve">person measure decreases. Moreover, the model is a logistic model, and the </w:t>
      </w:r>
      <w:r w:rsidR="00B703C6" w:rsidRPr="00BE1082">
        <w:rPr>
          <w:noProof/>
          <w:lang w:val="en-US"/>
        </w:rPr>
        <w:t>denominator</w:t>
      </w:r>
      <w:r w:rsidRPr="00BE1082">
        <w:rPr>
          <w:noProof/>
          <w:lang w:val="en-US"/>
        </w:rPr>
        <w:t xml:space="preserve">, </w:t>
      </w:r>
      <m:oMath>
        <m:sSub>
          <m:sSubPr>
            <m:ctrlPr>
              <w:rPr>
                <w:rFonts w:ascii="Cambria Math" w:hAnsi="Cambria Math"/>
              </w:rPr>
            </m:ctrlPr>
          </m:sSubPr>
          <m:e>
            <m:r>
              <w:rPr>
                <w:rFonts w:ascii="Cambria Math" w:hAnsi="Cambria Math"/>
              </w:rPr>
              <m:t>γ</m:t>
            </m:r>
          </m:e>
          <m:sub>
            <m:r>
              <w:rPr>
                <w:rFonts w:ascii="Cambria Math" w:hAnsi="Cambria Math"/>
              </w:rPr>
              <m:t>ni</m:t>
            </m:r>
          </m:sub>
        </m:sSub>
      </m:oMath>
      <w:r w:rsidRPr="00BE1082">
        <w:rPr>
          <w:noProof/>
        </w:rPr>
        <w:t xml:space="preserve">, ensures that the </w:t>
      </w:r>
      <w:r w:rsidRPr="00BE1082">
        <w:rPr>
          <w:noProof/>
          <w:lang w:val="en-US"/>
        </w:rPr>
        <w:t xml:space="preserve">likelihood for any case is restricted between 0 and 1. </w:t>
      </w:r>
    </w:p>
    <w:p w14:paraId="124B5874" w14:textId="77777777" w:rsidR="00424C85" w:rsidRPr="001E753A" w:rsidRDefault="00424C85" w:rsidP="00BA5519">
      <w:pPr>
        <w:pStyle w:val="Overskrift2"/>
        <w:rPr>
          <w:lang w:val="en-US"/>
        </w:rPr>
      </w:pPr>
      <w:r w:rsidRPr="001E753A">
        <w:rPr>
          <w:lang w:val="en-US"/>
        </w:rPr>
        <w:lastRenderedPageBreak/>
        <w:t>Data collection</w:t>
      </w:r>
    </w:p>
    <w:p w14:paraId="6F8D1974" w14:textId="2635A611" w:rsidR="00424C85" w:rsidRPr="001E753A" w:rsidRDefault="00424C85" w:rsidP="00BA5519">
      <w:pPr>
        <w:pStyle w:val="Paragraph"/>
      </w:pPr>
      <w:r w:rsidRPr="001E753A">
        <w:t xml:space="preserve">In our study items </w:t>
      </w:r>
      <w:r w:rsidR="007B6D4C">
        <w:t>of</w:t>
      </w:r>
      <w:r w:rsidRPr="001E753A">
        <w:t xml:space="preserve"> the instruments were influenced</w:t>
      </w:r>
      <w:r>
        <w:t xml:space="preserve"> by the practice-instrument of </w:t>
      </w:r>
      <w:r w:rsidRPr="001E753A">
        <w:t>Pampaka et al. (2012)</w:t>
      </w:r>
      <w:r>
        <w:t xml:space="preserve">, </w:t>
      </w:r>
      <w:r w:rsidR="007B6D4C">
        <w:t>which</w:t>
      </w:r>
      <w:r>
        <w:t xml:space="preserve"> in turn was influenced by Swan</w:t>
      </w:r>
      <w:r w:rsidR="007B6D4C">
        <w:t>’s</w:t>
      </w:r>
      <w:r>
        <w:t xml:space="preserve"> (2006)</w:t>
      </w:r>
      <w:r w:rsidR="007B6D4C">
        <w:t xml:space="preserve"> items</w:t>
      </w:r>
      <w:r w:rsidRPr="001E753A">
        <w:t>. These items were then translated into beliefs items. For instance, the practice item ‘Students work with tasks with a clear answer’ was translated into a beliefs item ‘Students should work with tasks with a clear answer’. The final items</w:t>
      </w:r>
      <w:r w:rsidR="002D7048">
        <w:t xml:space="preserve">, which </w:t>
      </w:r>
      <w:r w:rsidR="00E73FCF">
        <w:t>have been</w:t>
      </w:r>
      <w:r w:rsidRPr="001E753A">
        <w:t xml:space="preserve"> </w:t>
      </w:r>
      <w:r w:rsidR="00E73FCF" w:rsidRPr="001E753A">
        <w:t>established</w:t>
      </w:r>
      <w:r w:rsidRPr="001E753A">
        <w:t xml:space="preserve"> to be productive for measurement</w:t>
      </w:r>
      <w:r w:rsidR="002D7048">
        <w:t>,</w:t>
      </w:r>
      <w:r w:rsidRPr="001E753A">
        <w:t xml:space="preserve"> are presented in Appendix A</w:t>
      </w:r>
      <w:r>
        <w:t>,</w:t>
      </w:r>
      <w:r w:rsidRPr="001E753A">
        <w:t xml:space="preserve"> and Appendix B. </w:t>
      </w:r>
    </w:p>
    <w:p w14:paraId="131663A4" w14:textId="0841446F" w:rsidR="00424C85" w:rsidRDefault="00424C85" w:rsidP="00171728">
      <w:pPr>
        <w:pStyle w:val="Newparagraph"/>
        <w:jc w:val="both"/>
        <w:rPr>
          <w:color w:val="FF0000"/>
        </w:rPr>
      </w:pPr>
      <w:r w:rsidRPr="001E753A">
        <w:t xml:space="preserve">The items and the response categories were subsequently discussed with five teacher educators. From this discussion, 27 practice items and 27 beliefs items were piloted with 42 Norwegian student teachers in their second and third years of teacher education, and, </w:t>
      </w:r>
      <w:r w:rsidR="00B01E68">
        <w:t>also</w:t>
      </w:r>
      <w:r w:rsidR="00654A71">
        <w:t xml:space="preserve">, </w:t>
      </w:r>
      <w:r w:rsidR="006E6B1C">
        <w:t>with</w:t>
      </w:r>
      <w:r w:rsidR="00654A71">
        <w:t xml:space="preserve"> nine</w:t>
      </w:r>
      <w:r w:rsidRPr="001E753A">
        <w:t xml:space="preserve"> teacher educators at the same institution. The items were also briefly discussed with all participants. The items were </w:t>
      </w:r>
      <w:r w:rsidR="006E6B1C">
        <w:t>subsequently</w:t>
      </w:r>
      <w:r>
        <w:t xml:space="preserve"> revised</w:t>
      </w:r>
      <w:r w:rsidR="006E6B1C">
        <w:t>,</w:t>
      </w:r>
      <w:r>
        <w:t xml:space="preserve"> and again piloted with</w:t>
      </w:r>
      <w:r w:rsidRPr="001E753A">
        <w:t xml:space="preserve"> 36 student teachers in their second year of education. </w:t>
      </w:r>
    </w:p>
    <w:p w14:paraId="5CFBEAFD" w14:textId="6545DEF3" w:rsidR="00424C85" w:rsidRPr="00BE1082" w:rsidRDefault="00424C85" w:rsidP="00171728">
      <w:pPr>
        <w:pStyle w:val="Newparagraph"/>
        <w:jc w:val="both"/>
      </w:pPr>
      <w:r w:rsidRPr="001E753A">
        <w:t xml:space="preserve">After a final revision, 32 items were assigned to a convenience sample of 83 student teachers in their fourth (and for many, final) year of education. In the final analysis, all responses were used, although the pilot group </w:t>
      </w:r>
      <w:r w:rsidRPr="00BE1082">
        <w:t>did not respond to two of the items. In this case, respons</w:t>
      </w:r>
      <w:r w:rsidR="00472471" w:rsidRPr="00BE1082">
        <w:t xml:space="preserve">es were coded as ‘missing data’, which </w:t>
      </w:r>
      <w:r w:rsidRPr="00BE1082">
        <w:t xml:space="preserve">is considered to be non-problematic in the Rasch paradigm, except </w:t>
      </w:r>
      <w:r w:rsidR="00654A71" w:rsidRPr="00BE1082">
        <w:t xml:space="preserve">for </w:t>
      </w:r>
      <w:r w:rsidRPr="00BE1082">
        <w:t>some loss of statistical information</w:t>
      </w:r>
      <w:r w:rsidR="00292F4B" w:rsidRPr="00BE1082">
        <w:t xml:space="preserve"> of course</w:t>
      </w:r>
      <w:r w:rsidRPr="00BE1082">
        <w:t xml:space="preserve">. </w:t>
      </w:r>
      <w:r w:rsidR="00292F4B" w:rsidRPr="00BE1082">
        <w:t xml:space="preserve">Indeed, </w:t>
      </w:r>
      <w:r w:rsidRPr="00BE1082">
        <w:t xml:space="preserve">it is a </w:t>
      </w:r>
      <w:r w:rsidR="00292F4B" w:rsidRPr="00BE1082">
        <w:t xml:space="preserve">specific </w:t>
      </w:r>
      <w:r w:rsidRPr="00BE1082">
        <w:t>requirement o</w:t>
      </w:r>
      <w:r w:rsidR="00D37614" w:rsidRPr="00BE1082">
        <w:t>f meaningful measurements that ‘</w:t>
      </w:r>
      <w:r w:rsidRPr="00BE1082">
        <w:t>missing data must not</w:t>
      </w:r>
      <w:r w:rsidR="00D37614" w:rsidRPr="00BE1082">
        <w:t xml:space="preserve"> matter’</w:t>
      </w:r>
      <w:r w:rsidRPr="00BE1082">
        <w:t xml:space="preserve"> (Wright 1997). As the original practice-instrument identified some problems with the use of five response categories, four response categories were chosen in our study (‘in none/almost none of the lessons’; ‘in some of the lessons’; ‘in most of the lessons’; and ‘in all/almost all of the lessons’). </w:t>
      </w:r>
    </w:p>
    <w:p w14:paraId="04AAAE0C" w14:textId="72229DA7" w:rsidR="00244C34" w:rsidRDefault="00F476C4" w:rsidP="00244C34">
      <w:pPr>
        <w:pStyle w:val="Newparagraph"/>
        <w:jc w:val="both"/>
      </w:pPr>
      <w:r w:rsidRPr="00BE1082">
        <w:t xml:space="preserve">The items were administered in random order, but all participants answered the practice-instrument before </w:t>
      </w:r>
      <w:r w:rsidR="009A1116" w:rsidRPr="00BE1082">
        <w:t>answering the</w:t>
      </w:r>
      <w:r w:rsidRPr="00BE1082">
        <w:t xml:space="preserve"> beliefs-instrument. Moreover, it was made clear that </w:t>
      </w:r>
      <w:r w:rsidRPr="00BE1082">
        <w:lastRenderedPageBreak/>
        <w:t xml:space="preserve">these were two separate instruments. </w:t>
      </w:r>
      <w:r w:rsidR="006B3E64" w:rsidRPr="00A53EAB">
        <w:t xml:space="preserve">However, a legitimate concern is that a successful validation of the beliefs-instrument might be due to the close resemblance between the beliefs-items and the practice-items. As such, two actions were </w:t>
      </w:r>
      <w:r w:rsidR="00750277" w:rsidRPr="00A53EAB">
        <w:t>taken</w:t>
      </w:r>
      <w:r w:rsidR="006B3E64" w:rsidRPr="00A53EAB">
        <w:t xml:space="preserve"> to assess this concern.  First,</w:t>
      </w:r>
      <w:r w:rsidRPr="00A53EAB">
        <w:t xml:space="preserve"> </w:t>
      </w:r>
      <w:r w:rsidRPr="00BE1082">
        <w:t xml:space="preserve">correlations between standard residuals across instruments were tested. Standard residuals were </w:t>
      </w:r>
      <w:r w:rsidR="00654A71" w:rsidRPr="00BE1082">
        <w:t>favoured</w:t>
      </w:r>
      <w:r w:rsidRPr="00BE1082">
        <w:t xml:space="preserve"> </w:t>
      </w:r>
      <w:r w:rsidR="00654A71" w:rsidRPr="00BE1082">
        <w:t>over</w:t>
      </w:r>
      <w:r w:rsidRPr="00BE1082">
        <w:t xml:space="preserve"> raw scores since any standardised residual, in a theoretically perfect instrument, is considered to be random noise with an expected value of 0 (and SD = 1),</w:t>
      </w:r>
      <w:r w:rsidR="00E37EA2" w:rsidRPr="00BE1082">
        <w:t xml:space="preserve"> regardless of person- and item-</w:t>
      </w:r>
      <w:r w:rsidRPr="00BE1082">
        <w:t xml:space="preserve">measure.  As such, a high correlation between residuals of, say, practice item 7 and beliefs item 7, </w:t>
      </w:r>
      <w:r w:rsidR="00A86614" w:rsidRPr="00A53EAB">
        <w:t xml:space="preserve">means that </w:t>
      </w:r>
      <w:r w:rsidR="00750277" w:rsidRPr="00A53EAB">
        <w:t xml:space="preserve">when persons respond, for example, </w:t>
      </w:r>
      <w:r w:rsidR="00A86614" w:rsidRPr="00A53EAB">
        <w:t>higher than expected</w:t>
      </w:r>
      <w:r w:rsidR="00C13633" w:rsidRPr="00A53EAB">
        <w:t xml:space="preserve"> to practice-</w:t>
      </w:r>
      <w:r w:rsidR="00A86614" w:rsidRPr="00A53EAB">
        <w:t>item 7 they also respond high</w:t>
      </w:r>
      <w:r w:rsidR="00C13633" w:rsidRPr="00A53EAB">
        <w:t>er than expected to beliefs-</w:t>
      </w:r>
      <w:r w:rsidR="00A86614" w:rsidRPr="00A53EAB">
        <w:t>item</w:t>
      </w:r>
      <w:r w:rsidR="00C13633" w:rsidRPr="00A53EAB">
        <w:t xml:space="preserve"> 7</w:t>
      </w:r>
      <w:r w:rsidR="000C65BD" w:rsidRPr="00A53EAB">
        <w:t>.</w:t>
      </w:r>
      <w:r w:rsidR="00A86614" w:rsidRPr="00A53EAB">
        <w:t xml:space="preserve"> A weak correlation between residuals means that</w:t>
      </w:r>
      <w:r w:rsidR="00750277" w:rsidRPr="00A53EAB">
        <w:t>, for example,</w:t>
      </w:r>
      <w:r w:rsidR="00A86614" w:rsidRPr="00A53EAB">
        <w:t xml:space="preserve"> unexpectedly</w:t>
      </w:r>
      <w:r w:rsidR="00C13633" w:rsidRPr="00A53EAB">
        <w:t xml:space="preserve"> </w:t>
      </w:r>
      <w:r w:rsidR="00A86614" w:rsidRPr="00A53EAB">
        <w:t>high</w:t>
      </w:r>
      <w:r w:rsidR="00C13633" w:rsidRPr="00A53EAB">
        <w:t xml:space="preserve"> responses to the practice-item do not affect how they respond to the beliefs-item.</w:t>
      </w:r>
      <w:r w:rsidR="00A86614" w:rsidRPr="00A53EAB">
        <w:t xml:space="preserve"> </w:t>
      </w:r>
      <w:r w:rsidR="000C65BD" w:rsidRPr="00A53EAB">
        <w:t xml:space="preserve"> </w:t>
      </w:r>
      <w:r w:rsidRPr="00BE1082">
        <w:t xml:space="preserve">In the Rasch paradigm, only items with </w:t>
      </w:r>
      <w:r w:rsidR="00654A71" w:rsidRPr="00BE1082">
        <w:t xml:space="preserve">the </w:t>
      </w:r>
      <w:r w:rsidRPr="00BE1082">
        <w:t xml:space="preserve">correlation </w:t>
      </w:r>
      <w:r w:rsidRPr="00BE1082">
        <w:rPr>
          <w:i/>
        </w:rPr>
        <w:t>r</w:t>
      </w:r>
      <w:r w:rsidRPr="00BE1082">
        <w:t xml:space="preserve"> &gt; .7 are considered to be problematic when a local dependency is teste</w:t>
      </w:r>
      <w:r w:rsidR="007647AC" w:rsidRPr="00BE1082">
        <w:t>d within an instrument (Linacre</w:t>
      </w:r>
      <w:r w:rsidR="00A20C56">
        <w:t xml:space="preserve"> 2015</w:t>
      </w:r>
      <w:r w:rsidR="00913C43">
        <w:t>, 401</w:t>
      </w:r>
      <w:r w:rsidRPr="00BE1082">
        <w:t xml:space="preserve">). However, since response dependency </w:t>
      </w:r>
      <w:r w:rsidR="00835C46" w:rsidRPr="00BE1082">
        <w:t>had been</w:t>
      </w:r>
      <w:r w:rsidRPr="00BE1082">
        <w:t xml:space="preserve"> tested between instruments, a more conservative cut-value of .3 was chosen. Consequently, any pair of items with </w:t>
      </w:r>
      <w:r w:rsidRPr="00BE1082">
        <w:rPr>
          <w:i/>
        </w:rPr>
        <w:t xml:space="preserve">r </w:t>
      </w:r>
      <w:r w:rsidRPr="00BE1082">
        <w:t xml:space="preserve">&gt; .3 were considered to be potentially </w:t>
      </w:r>
      <w:r w:rsidR="00D37614" w:rsidRPr="00BE1082">
        <w:t>‘</w:t>
      </w:r>
      <w:r w:rsidRPr="00BE1082">
        <w:t>problematic</w:t>
      </w:r>
      <w:r w:rsidR="00D37614" w:rsidRPr="00BE1082">
        <w:t>’</w:t>
      </w:r>
      <w:r w:rsidRPr="00BE1082">
        <w:t xml:space="preserve"> items. Moreover, the impact of the response dependency was tested by comparing beliefs measures with </w:t>
      </w:r>
      <w:r w:rsidR="006C52FA" w:rsidRPr="00BE1082">
        <w:t>potentially</w:t>
      </w:r>
      <w:r w:rsidRPr="00BE1082">
        <w:t xml:space="preserve"> </w:t>
      </w:r>
      <w:r w:rsidR="00D37614" w:rsidRPr="00BE1082">
        <w:t>‘</w:t>
      </w:r>
      <w:r w:rsidRPr="00BE1082">
        <w:t>problematic</w:t>
      </w:r>
      <w:r w:rsidR="00D37614" w:rsidRPr="00BE1082">
        <w:t>’</w:t>
      </w:r>
      <w:r w:rsidRPr="00BE1082">
        <w:t xml:space="preserve"> items included </w:t>
      </w:r>
      <w:r w:rsidR="006C52FA" w:rsidRPr="00BE1082">
        <w:t xml:space="preserve">in the test </w:t>
      </w:r>
      <w:r w:rsidRPr="00BE1082">
        <w:t>versus beliefs measures with th</w:t>
      </w:r>
      <w:r w:rsidR="003F765E" w:rsidRPr="00BE1082">
        <w:t>o</w:t>
      </w:r>
      <w:r w:rsidRPr="00BE1082">
        <w:t xml:space="preserve">se items omitted. </w:t>
      </w:r>
    </w:p>
    <w:p w14:paraId="79BD4BA4" w14:textId="1BD048D2" w:rsidR="00F476C4" w:rsidRPr="00A53EAB" w:rsidRDefault="00A803C4" w:rsidP="00171728">
      <w:pPr>
        <w:pStyle w:val="Newparagraph"/>
        <w:jc w:val="both"/>
      </w:pPr>
      <w:r w:rsidRPr="00A53EAB">
        <w:t xml:space="preserve">Second, </w:t>
      </w:r>
      <w:r w:rsidR="00F137E8" w:rsidRPr="00A53EAB">
        <w:t>from examining the correlation betwee</w:t>
      </w:r>
      <w:r w:rsidR="00FD5113" w:rsidRPr="00A53EAB">
        <w:t>n students’ beliefs and practices</w:t>
      </w:r>
      <w:r w:rsidR="00857CFC" w:rsidRPr="00A53EAB">
        <w:t xml:space="preserve"> (not residuals this time)</w:t>
      </w:r>
      <w:r w:rsidR="00F137E8" w:rsidRPr="00A53EAB">
        <w:t xml:space="preserve">, </w:t>
      </w:r>
      <w:r w:rsidRPr="00A53EAB">
        <w:t>eviden</w:t>
      </w:r>
      <w:r w:rsidR="00DD2287" w:rsidRPr="00A53EAB">
        <w:t>ce for external validity was sou</w:t>
      </w:r>
      <w:r w:rsidRPr="00A53EAB">
        <w:t xml:space="preserve">ght to clarify whether </w:t>
      </w:r>
      <w:r w:rsidR="00425BB1" w:rsidRPr="00A53EAB">
        <w:t>responses to the beliefs-items seemed to be</w:t>
      </w:r>
      <w:r w:rsidR="002D6704" w:rsidRPr="00A53EAB">
        <w:t xml:space="preserve"> significantly</w:t>
      </w:r>
      <w:r w:rsidR="00425BB1" w:rsidRPr="00A53EAB">
        <w:t xml:space="preserve"> affected by responses to the practice-items</w:t>
      </w:r>
      <w:r w:rsidR="00244C34" w:rsidRPr="00A53EAB">
        <w:t xml:space="preserve">. That is, </w:t>
      </w:r>
      <w:r w:rsidR="00DD2287" w:rsidRPr="00A53EAB">
        <w:t xml:space="preserve">a review on existing literature show that the majority of studies report on a weak relationship between beliefs and practices (e.g. Skott 2001; Liljedahl 2009), </w:t>
      </w:r>
      <w:r w:rsidR="002D6704" w:rsidRPr="00A53EAB">
        <w:t xml:space="preserve">even if </w:t>
      </w:r>
      <w:r w:rsidR="00DD2287" w:rsidRPr="00A53EAB">
        <w:t>we</w:t>
      </w:r>
      <w:r w:rsidR="002D6704" w:rsidRPr="00A53EAB">
        <w:t xml:space="preserve"> did not find any studies that used equated instruments based</w:t>
      </w:r>
      <w:r w:rsidR="00FD5113" w:rsidRPr="00A53EAB">
        <w:t xml:space="preserve"> on requirements of measurement</w:t>
      </w:r>
      <w:r w:rsidR="002D6704" w:rsidRPr="00A53EAB">
        <w:t xml:space="preserve">. </w:t>
      </w:r>
      <w:r w:rsidR="00244C34" w:rsidRPr="00A53EAB">
        <w:t>If students’ responses to the beliefs-instrument were significantly affected by their respon</w:t>
      </w:r>
      <w:r w:rsidR="007E074E" w:rsidRPr="00A53EAB">
        <w:t xml:space="preserve">ses to </w:t>
      </w:r>
      <w:r w:rsidR="007E074E" w:rsidRPr="00A53EAB">
        <w:lastRenderedPageBreak/>
        <w:t>the practice-instrument</w:t>
      </w:r>
      <w:r w:rsidR="00F137E8" w:rsidRPr="00A53EAB">
        <w:t xml:space="preserve"> </w:t>
      </w:r>
      <w:r w:rsidR="00244C34" w:rsidRPr="00A53EAB">
        <w:t>one would</w:t>
      </w:r>
      <w:r w:rsidR="00C13633" w:rsidRPr="00A53EAB">
        <w:t>, h</w:t>
      </w:r>
      <w:r w:rsidR="007E074E" w:rsidRPr="00A53EAB">
        <w:t>owever,</w:t>
      </w:r>
      <w:r w:rsidR="00244C34" w:rsidRPr="00A53EAB">
        <w:t xml:space="preserve"> expect practices and beliefs to be highly correlated, i.e</w:t>
      </w:r>
      <w:r w:rsidR="00842479" w:rsidRPr="00A53EAB">
        <w:t>.</w:t>
      </w:r>
      <w:r w:rsidR="00244C34" w:rsidRPr="00A53EAB">
        <w:t xml:space="preserve">, inconsistent with </w:t>
      </w:r>
      <w:r w:rsidR="00857CFC" w:rsidRPr="00A53EAB">
        <w:t>these studies</w:t>
      </w:r>
      <w:r w:rsidR="002D6704" w:rsidRPr="00A53EAB">
        <w:t>. Hence, we assert that a weak correlation between students’ beliefs and practices would</w:t>
      </w:r>
      <w:r w:rsidR="00857CFC" w:rsidRPr="00A53EAB">
        <w:t xml:space="preserve"> be consistent with existing literature and</w:t>
      </w:r>
      <w:r w:rsidR="002D6704" w:rsidRPr="00A53EAB">
        <w:t xml:space="preserve"> </w:t>
      </w:r>
      <w:r w:rsidR="00857CFC" w:rsidRPr="00A53EAB">
        <w:t>strengthen the external validity, as opposed to a high correlation that would be inconsist</w:t>
      </w:r>
      <w:r w:rsidR="00FD5113" w:rsidRPr="00A53EAB">
        <w:t>ent with a majority of existing</w:t>
      </w:r>
      <w:r w:rsidR="00857CFC" w:rsidRPr="00A53EAB">
        <w:t xml:space="preserve"> literature and weaken, not only the external validity, but also the internal validity since this result would suggest </w:t>
      </w:r>
      <w:r w:rsidR="008015C8" w:rsidRPr="00A53EAB">
        <w:t xml:space="preserve">possibly </w:t>
      </w:r>
      <w:r w:rsidR="00857CFC" w:rsidRPr="00A53EAB">
        <w:t xml:space="preserve">highly dependent </w:t>
      </w:r>
      <w:r w:rsidR="008015C8" w:rsidRPr="00A53EAB">
        <w:t xml:space="preserve">responses. </w:t>
      </w:r>
    </w:p>
    <w:p w14:paraId="4772E37F" w14:textId="1FD2D0E7" w:rsidR="00424C85" w:rsidRPr="00BE1082" w:rsidRDefault="00424C85" w:rsidP="00171728">
      <w:pPr>
        <w:pStyle w:val="Newparagraph"/>
        <w:jc w:val="both"/>
      </w:pPr>
      <w:r w:rsidRPr="00BE1082">
        <w:t>In addition to</w:t>
      </w:r>
      <w:r w:rsidR="00654A71" w:rsidRPr="00BE1082">
        <w:t xml:space="preserve"> the quantitative data, nine</w:t>
      </w:r>
      <w:r w:rsidRPr="00BE1082">
        <w:t xml:space="preserve"> student teachers in their final year of education were interviewed about their practice. Before the interviews, the interviewees shared documents</w:t>
      </w:r>
      <w:r w:rsidR="00EA3608" w:rsidRPr="00BE1082">
        <w:t xml:space="preserve"> relevant to their practice of teaching mathematics</w:t>
      </w:r>
      <w:r w:rsidRPr="00BE1082">
        <w:t xml:space="preserve"> that they had stored on their computers. </w:t>
      </w:r>
      <w:proofErr w:type="gramStart"/>
      <w:r w:rsidRPr="00BE1082">
        <w:t>These documents</w:t>
      </w:r>
      <w:r w:rsidR="00654A71" w:rsidRPr="00BE1082">
        <w:t xml:space="preserve"> mostly</w:t>
      </w:r>
      <w:r w:rsidRPr="00BE1082">
        <w:t xml:space="preserve"> consisted</w:t>
      </w:r>
      <w:r w:rsidR="00F476C4" w:rsidRPr="00BE1082">
        <w:t xml:space="preserve"> </w:t>
      </w:r>
      <w:r w:rsidRPr="00BE1082">
        <w:t>of essays,</w:t>
      </w:r>
      <w:r w:rsidR="00F476C4" w:rsidRPr="00BE1082">
        <w:t xml:space="preserve"> tasks, and planning</w:t>
      </w:r>
      <w:r w:rsidR="00EA3608" w:rsidRPr="00BE1082">
        <w:t xml:space="preserve"> </w:t>
      </w:r>
      <w:r w:rsidR="00F476C4" w:rsidRPr="00BE1082">
        <w:t>documents</w:t>
      </w:r>
      <w:r w:rsidRPr="00BE1082">
        <w:t>.</w:t>
      </w:r>
      <w:proofErr w:type="gramEnd"/>
      <w:r w:rsidRPr="00BE1082">
        <w:t xml:space="preserve"> The interviews were audio-recorded and lasted for 60 – 90 minutes. During the interviews</w:t>
      </w:r>
      <w:r w:rsidR="00654A71" w:rsidRPr="00BE1082">
        <w:t xml:space="preserve"> the students were asked about</w:t>
      </w:r>
      <w:r w:rsidRPr="00BE1082">
        <w:t xml:space="preserve"> their experiences with mathematics, their time at University College, and their </w:t>
      </w:r>
      <w:r w:rsidR="00F101A6" w:rsidRPr="00BE1082">
        <w:t xml:space="preserve">experiences and </w:t>
      </w:r>
      <w:r w:rsidRPr="00BE1082">
        <w:t>practice as mathematics teachers. Moreover, the students were asked to comment upon two planning</w:t>
      </w:r>
      <w:r w:rsidR="00EA3608" w:rsidRPr="00BE1082">
        <w:t xml:space="preserve"> </w:t>
      </w:r>
      <w:r w:rsidRPr="00BE1082">
        <w:t>documents</w:t>
      </w:r>
      <w:r w:rsidR="00CE7D2F" w:rsidRPr="00BE1082">
        <w:t>,</w:t>
      </w:r>
      <w:r w:rsidRPr="00BE1082">
        <w:t xml:space="preserve"> or papers that described teaching</w:t>
      </w:r>
      <w:r w:rsidR="00EA3608" w:rsidRPr="00BE1082">
        <w:t xml:space="preserve"> </w:t>
      </w:r>
      <w:r w:rsidRPr="00BE1082">
        <w:t>sequences related to mathematics. Finally, the students were asked to complete the practice- and beliefs-</w:t>
      </w:r>
      <w:r w:rsidR="009C7448" w:rsidRPr="00BE1082">
        <w:t>questionnaires</w:t>
      </w:r>
      <w:r w:rsidRPr="00BE1082">
        <w:t>. In this paper, excer</w:t>
      </w:r>
      <w:r w:rsidR="00472471" w:rsidRPr="00BE1082">
        <w:t>p</w:t>
      </w:r>
      <w:r w:rsidRPr="00BE1082">
        <w:t xml:space="preserve">ts from the interviewed cases are presented for </w:t>
      </w:r>
      <w:r w:rsidRPr="00BE1082">
        <w:rPr>
          <w:i/>
        </w:rPr>
        <w:t>interpretability</w:t>
      </w:r>
      <w:r w:rsidRPr="00BE1082">
        <w:t xml:space="preserve"> validi</w:t>
      </w:r>
      <w:r w:rsidR="003351F8" w:rsidRPr="00BE1082">
        <w:t>t</w:t>
      </w:r>
      <w:r w:rsidR="00654A71" w:rsidRPr="00BE1082">
        <w:t>y</w:t>
      </w:r>
      <w:r w:rsidR="009C7448" w:rsidRPr="00BE1082">
        <w:t>,</w:t>
      </w:r>
      <w:r w:rsidRPr="00BE1082">
        <w:t xml:space="preserve"> to provide the reader with some examples of </w:t>
      </w:r>
      <w:r w:rsidR="009C7448" w:rsidRPr="00BE1082">
        <w:t>the</w:t>
      </w:r>
      <w:r w:rsidRPr="00BE1082">
        <w:t xml:space="preserve"> kinds of statements one can expect along the variable.    </w:t>
      </w:r>
    </w:p>
    <w:p w14:paraId="1D8E5515" w14:textId="77777777" w:rsidR="00424C85" w:rsidRPr="00BE1082" w:rsidRDefault="00424C85" w:rsidP="00BA5519">
      <w:pPr>
        <w:pStyle w:val="Overskrift2"/>
      </w:pPr>
      <w:r w:rsidRPr="00BE1082">
        <w:t>Validity</w:t>
      </w:r>
    </w:p>
    <w:p w14:paraId="7862C737" w14:textId="60AD1C0C" w:rsidR="00424C85" w:rsidRPr="001E753A" w:rsidRDefault="00424C85" w:rsidP="00EA3608">
      <w:pPr>
        <w:pStyle w:val="Paragraph"/>
        <w:jc w:val="both"/>
      </w:pPr>
      <w:r w:rsidRPr="00BE1082">
        <w:t xml:space="preserve">To find evidence of validity, we used guidelines presented by </w:t>
      </w:r>
      <w:r w:rsidRPr="00BE1082">
        <w:rPr>
          <w:noProof/>
        </w:rPr>
        <w:t>Wolfe and Smith Jr. (2006)</w:t>
      </w:r>
      <w:r w:rsidRPr="00BE1082">
        <w:t xml:space="preserve">, which extend Messick’s (1995) validation framework </w:t>
      </w:r>
      <w:r w:rsidR="00DF2C1C" w:rsidRPr="00BE1082">
        <w:t xml:space="preserve">by </w:t>
      </w:r>
      <w:r w:rsidRPr="00BE1082">
        <w:t>two aspects of evidence suggested by The Medical Outcomes Trust (MOT</w:t>
      </w:r>
      <w:r w:rsidRPr="001E753A">
        <w:t xml:space="preserve">). To summarise, </w:t>
      </w:r>
      <w:r w:rsidRPr="001E753A">
        <w:rPr>
          <w:noProof/>
        </w:rPr>
        <w:t>Messick (1995)</w:t>
      </w:r>
      <w:r w:rsidRPr="001E753A">
        <w:t xml:space="preserve"> viewed validity as a unified concept</w:t>
      </w:r>
      <w:r w:rsidR="00503526">
        <w:t xml:space="preserve">, in the sense that he claims </w:t>
      </w:r>
      <w:r w:rsidRPr="001E753A">
        <w:t>that there do not exist different kinds of validity, but rather different kinds of evidence that support validity. Accordingly, Messick (1995) present</w:t>
      </w:r>
      <w:r w:rsidR="00503526">
        <w:t>s</w:t>
      </w:r>
      <w:r w:rsidRPr="001E753A">
        <w:t xml:space="preserve"> six different aspects of validity where evidence can be found: the </w:t>
      </w:r>
      <w:r w:rsidRPr="001E753A">
        <w:rPr>
          <w:i/>
        </w:rPr>
        <w:t>content</w:t>
      </w:r>
      <w:r>
        <w:rPr>
          <w:i/>
        </w:rPr>
        <w:t xml:space="preserve"> </w:t>
      </w:r>
      <w:r>
        <w:t xml:space="preserve">(e.g. </w:t>
      </w:r>
      <w:r>
        <w:lastRenderedPageBreak/>
        <w:t xml:space="preserve">relevance, representativeness, and technical </w:t>
      </w:r>
      <w:r w:rsidRPr="0080284B">
        <w:t>quality</w:t>
      </w:r>
      <w:r>
        <w:t>)</w:t>
      </w:r>
      <w:r w:rsidRPr="001E753A">
        <w:rPr>
          <w:i/>
        </w:rPr>
        <w:t>; substantive</w:t>
      </w:r>
      <w:r>
        <w:t xml:space="preserve"> (e.g. theoretical foundation)</w:t>
      </w:r>
      <w:r w:rsidRPr="001E753A">
        <w:rPr>
          <w:i/>
        </w:rPr>
        <w:t>; structural</w:t>
      </w:r>
      <w:r>
        <w:rPr>
          <w:i/>
        </w:rPr>
        <w:t xml:space="preserve"> </w:t>
      </w:r>
      <w:r>
        <w:t>(e.g. evidence of uni-dimensionality)</w:t>
      </w:r>
      <w:r w:rsidRPr="001E753A">
        <w:rPr>
          <w:i/>
        </w:rPr>
        <w:t>; generalisability</w:t>
      </w:r>
      <w:r>
        <w:rPr>
          <w:i/>
        </w:rPr>
        <w:t xml:space="preserve"> </w:t>
      </w:r>
      <w:r>
        <w:t>(e.g. generalisation across sample and context)</w:t>
      </w:r>
      <w:r w:rsidRPr="001E753A">
        <w:rPr>
          <w:i/>
        </w:rPr>
        <w:t>; external</w:t>
      </w:r>
      <w:r>
        <w:rPr>
          <w:i/>
        </w:rPr>
        <w:t xml:space="preserve"> </w:t>
      </w:r>
      <w:r>
        <w:t>(e.g. convergent and discriminant evidence)</w:t>
      </w:r>
      <w:r w:rsidRPr="001E753A">
        <w:rPr>
          <w:i/>
        </w:rPr>
        <w:t xml:space="preserve">; </w:t>
      </w:r>
      <w:r w:rsidRPr="001E753A">
        <w:t>and</w:t>
      </w:r>
      <w:r w:rsidRPr="001E753A">
        <w:rPr>
          <w:i/>
        </w:rPr>
        <w:t xml:space="preserve"> consequential</w:t>
      </w:r>
      <w:r>
        <w:t xml:space="preserve"> (e.g. the extent to which society benefits from using the test)</w:t>
      </w:r>
      <w:r w:rsidRPr="001E753A">
        <w:rPr>
          <w:i/>
        </w:rPr>
        <w:t xml:space="preserve"> </w:t>
      </w:r>
      <w:r w:rsidRPr="001E753A">
        <w:t xml:space="preserve">aspects. Furthermore, the MOT presents two aspects not proposed by Messick: </w:t>
      </w:r>
      <w:r w:rsidRPr="001E753A">
        <w:rPr>
          <w:i/>
        </w:rPr>
        <w:t>responsiveness</w:t>
      </w:r>
      <w:r>
        <w:rPr>
          <w:i/>
        </w:rPr>
        <w:t xml:space="preserve"> </w:t>
      </w:r>
      <w:r>
        <w:t>(e.g. the capacity to detect change)</w:t>
      </w:r>
      <w:r w:rsidR="000B21E0">
        <w:t>;</w:t>
      </w:r>
      <w:r w:rsidRPr="001E753A">
        <w:t xml:space="preserve"> and </w:t>
      </w:r>
      <w:r w:rsidRPr="001E753A">
        <w:rPr>
          <w:i/>
        </w:rPr>
        <w:t>interpretability</w:t>
      </w:r>
      <w:r>
        <w:t xml:space="preserve"> (e.g. how quantitative measures are related to qualitative meaning)</w:t>
      </w:r>
      <w:r w:rsidRPr="001E753A">
        <w:t xml:space="preserve">. </w:t>
      </w:r>
    </w:p>
    <w:p w14:paraId="008178DA" w14:textId="77777777" w:rsidR="00424C85" w:rsidRPr="001E753A" w:rsidRDefault="00424C85" w:rsidP="00BA5519">
      <w:pPr>
        <w:pStyle w:val="Overskrift2"/>
      </w:pPr>
      <w:r w:rsidRPr="001E753A">
        <w:t>Simulation studies</w:t>
      </w:r>
    </w:p>
    <w:p w14:paraId="0205FE05" w14:textId="392577B9" w:rsidR="00424C85" w:rsidRPr="001E753A" w:rsidRDefault="00424C85" w:rsidP="00EA3608">
      <w:pPr>
        <w:pStyle w:val="Paragraph"/>
        <w:jc w:val="both"/>
      </w:pPr>
      <w:r w:rsidRPr="001E753A">
        <w:t>As a tool for interpreting some of the results in the analysis, 100 simulation studies were conducted for both instruments, wh</w:t>
      </w:r>
      <w:r w:rsidR="001A6DD4">
        <w:t xml:space="preserve">ich comprised of </w:t>
      </w:r>
      <w:r w:rsidRPr="001E753A">
        <w:t xml:space="preserve">the empirical measures used to generate Rasch-fitting data. </w:t>
      </w:r>
    </w:p>
    <w:p w14:paraId="3AEEA97C" w14:textId="77777777" w:rsidR="00424C85" w:rsidRPr="001E753A" w:rsidRDefault="00424C85" w:rsidP="00BA5519">
      <w:pPr>
        <w:pStyle w:val="Overskrift2"/>
      </w:pPr>
      <w:r w:rsidRPr="001E753A">
        <w:t>Analysis</w:t>
      </w:r>
    </w:p>
    <w:p w14:paraId="70E8CAB4" w14:textId="73173D58" w:rsidR="00424C85" w:rsidRPr="001E753A" w:rsidRDefault="00424C85" w:rsidP="00EA3608">
      <w:pPr>
        <w:pStyle w:val="Paragraph"/>
        <w:jc w:val="both"/>
      </w:pPr>
      <w:r w:rsidRPr="001E753A">
        <w:t>In the analy</w:t>
      </w:r>
      <w:r>
        <w:t>sis, the WINSTEPS (Linacre 201</w:t>
      </w:r>
      <w:r w:rsidR="005B1FCD">
        <w:t>4</w:t>
      </w:r>
      <w:r w:rsidRPr="001E753A">
        <w:t xml:space="preserve">) software was used. To </w:t>
      </w:r>
      <w:r>
        <w:t>find evidence for</w:t>
      </w:r>
      <w:r w:rsidRPr="001E753A">
        <w:t xml:space="preserve"> </w:t>
      </w:r>
      <w:r w:rsidRPr="001E753A">
        <w:rPr>
          <w:i/>
        </w:rPr>
        <w:t>content</w:t>
      </w:r>
      <w:r w:rsidRPr="001E753A">
        <w:t xml:space="preserve"> validity, infit and outfit mean-squared and ZSTD</w:t>
      </w:r>
      <w:r w:rsidR="00251525">
        <w:t xml:space="preserve"> (</w:t>
      </w:r>
      <w:r w:rsidR="00251525" w:rsidRPr="00BE1082">
        <w:rPr>
          <w:i/>
        </w:rPr>
        <w:t>t</w:t>
      </w:r>
      <w:r w:rsidR="00251525" w:rsidRPr="00BE1082">
        <w:t>-tests that test the hypothesis of whether the data fits the model</w:t>
      </w:r>
      <w:r w:rsidR="00251525">
        <w:t>)</w:t>
      </w:r>
      <w:r w:rsidRPr="001E753A">
        <w:t xml:space="preserve"> were used to assess data to model fit.</w:t>
      </w:r>
      <w:r w:rsidR="00251525" w:rsidRPr="00BE1082">
        <w:t xml:space="preserve"> </w:t>
      </w:r>
      <w:r w:rsidRPr="001E753A">
        <w:t>Outfit is based on the mean of squared standardised residuals, whil</w:t>
      </w:r>
      <w:r w:rsidR="00B471AC">
        <w:t>st</w:t>
      </w:r>
      <w:r w:rsidRPr="001E753A">
        <w:t xml:space="preserve"> infit is an information-weighted sum </w:t>
      </w:r>
      <w:r>
        <w:rPr>
          <w:noProof/>
        </w:rPr>
        <w:t xml:space="preserve">(Bond and Fox 2003, </w:t>
      </w:r>
      <w:r w:rsidRPr="001E753A">
        <w:rPr>
          <w:noProof/>
        </w:rPr>
        <w:t>238)</w:t>
      </w:r>
      <w:r>
        <w:t>.  Although d</w:t>
      </w:r>
      <w:r w:rsidRPr="001E753A">
        <w:t>ifferent critical values for infit and ou</w:t>
      </w:r>
      <w:r w:rsidR="00654A71">
        <w:t>tfit mean-squared can be</w:t>
      </w:r>
      <w:r w:rsidRPr="001E753A">
        <w:t xml:space="preserve"> found in the liter</w:t>
      </w:r>
      <w:r>
        <w:t>ature, e.g. 0.5 to 1.5 (Linacre</w:t>
      </w:r>
      <w:r w:rsidRPr="001E753A">
        <w:t xml:space="preserve"> 2002</w:t>
      </w:r>
      <w:r>
        <w:t>b</w:t>
      </w:r>
      <w:r w:rsidRPr="001E753A">
        <w:t xml:space="preserve">) or above 1.2 - 1.3 </w:t>
      </w:r>
      <w:r w:rsidRPr="001E753A">
        <w:rPr>
          <w:noProof/>
        </w:rPr>
        <w:t>(Smith</w:t>
      </w:r>
      <w:r>
        <w:rPr>
          <w:noProof/>
        </w:rPr>
        <w:t xml:space="preserve">, Schumacker, and Busch 1998, </w:t>
      </w:r>
      <w:r w:rsidRPr="001E753A">
        <w:rPr>
          <w:noProof/>
        </w:rPr>
        <w:t>67)</w:t>
      </w:r>
      <w:r>
        <w:t xml:space="preserve">, we have chosen to use the more conservative cut-values, </w:t>
      </w:r>
      <w:r w:rsidRPr="001E753A">
        <w:t xml:space="preserve">since the role of these statistics </w:t>
      </w:r>
      <w:r w:rsidR="00B471AC">
        <w:t>wa</w:t>
      </w:r>
      <w:r w:rsidRPr="001E753A">
        <w:t xml:space="preserve">s merely to ‘flag’ potential problematic items for closer inspection </w:t>
      </w:r>
      <w:r>
        <w:rPr>
          <w:noProof/>
        </w:rPr>
        <w:t xml:space="preserve">(Bohlig et al. 1998, </w:t>
      </w:r>
      <w:r w:rsidRPr="001E753A">
        <w:rPr>
          <w:noProof/>
        </w:rPr>
        <w:t>607)</w:t>
      </w:r>
      <w:r>
        <w:t xml:space="preserve">. </w:t>
      </w:r>
      <w:r w:rsidR="00E37EA2">
        <w:t>Thus, critical values for infit</w:t>
      </w:r>
      <w:r w:rsidRPr="001E753A">
        <w:t xml:space="preserve"> and outfit mean-squared were calculated, from the formulas suggested in </w:t>
      </w:r>
      <w:r>
        <w:rPr>
          <w:noProof/>
        </w:rPr>
        <w:t xml:space="preserve">Smith et al. (1998, </w:t>
      </w:r>
      <w:r w:rsidRPr="001E753A">
        <w:rPr>
          <w:noProof/>
        </w:rPr>
        <w:t>78)</w:t>
      </w:r>
      <w:r w:rsidRPr="001E753A">
        <w:t xml:space="preserve">, to be 1.1 (infit mean-squared) and 1.4 (outfit mean-squared). The simulation studies confirmed that these values seemed </w:t>
      </w:r>
      <w:r w:rsidRPr="00BE1082">
        <w:t xml:space="preserve">reasonable (e.g. the mean of the largest outfit in the beliefs-simulations was 1.25 with </w:t>
      </w:r>
      <w:r w:rsidRPr="00BE1082">
        <w:lastRenderedPageBreak/>
        <w:t>SD= .16). Values for |ZSTD| were set to 2.0. Positive values indicate lack of predictability, wh</w:t>
      </w:r>
      <w:r w:rsidR="00654A71" w:rsidRPr="00BE1082">
        <w:t>il</w:t>
      </w:r>
      <w:r w:rsidR="00B471AC" w:rsidRPr="00BE1082">
        <w:t>st</w:t>
      </w:r>
      <w:r w:rsidRPr="00BE1082">
        <w:t xml:space="preserve"> negative values indicate </w:t>
      </w:r>
      <w:r w:rsidR="00D37614" w:rsidRPr="00BE1082">
        <w:t>‘</w:t>
      </w:r>
      <w:r w:rsidRPr="00BE1082">
        <w:t>too predictable</w:t>
      </w:r>
      <w:r w:rsidR="00D37614" w:rsidRPr="00BE1082">
        <w:t>’</w:t>
      </w:r>
      <w:r w:rsidRPr="00BE1082">
        <w:t xml:space="preserve"> items (Linacre 2002b). Moreover, the item-measure correlation was assessed</w:t>
      </w:r>
      <w:r w:rsidRPr="001E753A">
        <w:t xml:space="preserve"> with .40 as the suggested value for flagging. No items, however, were removed based upon these </w:t>
      </w:r>
      <w:r w:rsidR="00A46D2C">
        <w:t>criteria</w:t>
      </w:r>
      <w:r w:rsidRPr="001E753A">
        <w:t xml:space="preserve"> alone.</w:t>
      </w:r>
    </w:p>
    <w:p w14:paraId="2DB54604" w14:textId="4F2C440C" w:rsidR="00424C85" w:rsidRPr="001E753A" w:rsidRDefault="00424C85" w:rsidP="00EA3608">
      <w:pPr>
        <w:pStyle w:val="Newparagraph"/>
        <w:jc w:val="both"/>
      </w:pPr>
      <w:r>
        <w:t>T</w:t>
      </w:r>
      <w:r w:rsidRPr="001E753A">
        <w:t xml:space="preserve">o find evidence for </w:t>
      </w:r>
      <w:r w:rsidRPr="001E753A">
        <w:rPr>
          <w:i/>
        </w:rPr>
        <w:t xml:space="preserve">substantive </w:t>
      </w:r>
      <w:r w:rsidRPr="001E753A">
        <w:t>validity</w:t>
      </w:r>
      <w:r>
        <w:t xml:space="preserve">, </w:t>
      </w:r>
      <w:r w:rsidRPr="001E753A">
        <w:t xml:space="preserve">a rating scale analysis was conducted. </w:t>
      </w:r>
      <w:r w:rsidRPr="001E753A">
        <w:rPr>
          <w:noProof/>
        </w:rPr>
        <w:t>Linacre (2002</w:t>
      </w:r>
      <w:r>
        <w:rPr>
          <w:noProof/>
        </w:rPr>
        <w:t>a</w:t>
      </w:r>
      <w:r w:rsidRPr="001E753A">
        <w:rPr>
          <w:noProof/>
        </w:rPr>
        <w:t>)</w:t>
      </w:r>
      <w:r w:rsidRPr="001E753A">
        <w:t xml:space="preserve"> presented eight aspects whereby evidence for well-functioning rating scales can be found: </w:t>
      </w:r>
      <w:r w:rsidR="007F6E1E">
        <w:t>(</w:t>
      </w:r>
      <w:r w:rsidRPr="001E753A">
        <w:t xml:space="preserve">1) each rating scale category should contain more than 10 observations; </w:t>
      </w:r>
      <w:r w:rsidR="007F6E1E">
        <w:t>(</w:t>
      </w:r>
      <w:r w:rsidRPr="001E753A">
        <w:t xml:space="preserve">2) the shape of each rating scale distribution should be smooth and unimodal; </w:t>
      </w:r>
      <w:r w:rsidR="007F6E1E">
        <w:t>(</w:t>
      </w:r>
      <w:r w:rsidRPr="001E753A">
        <w:t xml:space="preserve">3) the average respondent measure associated with each category should increase with the values of the categories; </w:t>
      </w:r>
      <w:r w:rsidR="007F6E1E">
        <w:t>(</w:t>
      </w:r>
      <w:r w:rsidRPr="001E753A">
        <w:t xml:space="preserve">4) the outfit mean-squared fit statistics should be less than 2.0; </w:t>
      </w:r>
      <w:r w:rsidR="007F6E1E">
        <w:t>(</w:t>
      </w:r>
      <w:r w:rsidRPr="001E753A">
        <w:t xml:space="preserve">5) </w:t>
      </w:r>
      <w:r w:rsidR="007F6E1E">
        <w:t>s</w:t>
      </w:r>
      <w:r w:rsidRPr="001E753A">
        <w:t xml:space="preserve">tep calibrations should advance; </w:t>
      </w:r>
      <w:r w:rsidR="007F6E1E">
        <w:t>(</w:t>
      </w:r>
      <w:r w:rsidRPr="001E753A">
        <w:t xml:space="preserve">6) Step difficulties should advance by at least 1.4 logits; </w:t>
      </w:r>
      <w:r w:rsidR="007F6E1E">
        <w:t>(</w:t>
      </w:r>
      <w:r w:rsidRPr="001E753A">
        <w:t xml:space="preserve">7) </w:t>
      </w:r>
      <w:r w:rsidR="007F6E1E">
        <w:t>s</w:t>
      </w:r>
      <w:r w:rsidRPr="001E753A">
        <w:t xml:space="preserve">tep difficulties should advance by less than 5.0 logits; and </w:t>
      </w:r>
      <w:r w:rsidR="007F6E1E">
        <w:t>(</w:t>
      </w:r>
      <w:r w:rsidRPr="001E753A">
        <w:t xml:space="preserve">8) </w:t>
      </w:r>
      <w:r w:rsidR="007F6E1E">
        <w:t>r</w:t>
      </w:r>
      <w:r w:rsidRPr="001E753A">
        <w:t>at</w:t>
      </w:r>
      <w:r>
        <w:t xml:space="preserve">ings should imply measures </w:t>
      </w:r>
      <w:r w:rsidR="00A46D2C">
        <w:t xml:space="preserve">    </w:t>
      </w:r>
      <w:r>
        <w:t xml:space="preserve">(C </w:t>
      </w:r>
      <w:r>
        <w:sym w:font="Symbol" w:char="F0AE"/>
      </w:r>
      <w:r w:rsidRPr="001E753A">
        <w:t xml:space="preserve"> M), and mea</w:t>
      </w:r>
      <w:r>
        <w:t xml:space="preserve">sures should imply ratings (M </w:t>
      </w:r>
      <w:r>
        <w:sym w:font="Symbol" w:char="F0AE"/>
      </w:r>
      <w:r w:rsidRPr="001E753A">
        <w:t xml:space="preserve"> C). Additionally, </w:t>
      </w:r>
      <w:r>
        <w:rPr>
          <w:noProof/>
        </w:rPr>
        <w:t xml:space="preserve">Wolfe and Smith Jr. (2006, </w:t>
      </w:r>
      <w:r w:rsidRPr="001E753A">
        <w:rPr>
          <w:noProof/>
        </w:rPr>
        <w:t>210)</w:t>
      </w:r>
      <w:r>
        <w:rPr>
          <w:noProof/>
        </w:rPr>
        <w:t xml:space="preserve">, referring to </w:t>
      </w:r>
      <w:r w:rsidRPr="001E753A">
        <w:rPr>
          <w:noProof/>
        </w:rPr>
        <w:t>Zhu (2002)</w:t>
      </w:r>
      <w:r>
        <w:t>,</w:t>
      </w:r>
      <w:r w:rsidRPr="001E753A">
        <w:t xml:space="preserve"> stated</w:t>
      </w:r>
      <w:r>
        <w:t xml:space="preserve"> that</w:t>
      </w:r>
      <w:r w:rsidRPr="001E753A">
        <w:t xml:space="preserve"> researchers should </w:t>
      </w:r>
      <w:r w:rsidR="004F1E23">
        <w:t xml:space="preserve">also </w:t>
      </w:r>
      <w:r w:rsidRPr="001E753A">
        <w:t>consider several post</w:t>
      </w:r>
      <w:r w:rsidR="00984C54">
        <w:t>-</w:t>
      </w:r>
      <w:r w:rsidRPr="001E753A">
        <w:t>hoc categorisations</w:t>
      </w:r>
      <w:r>
        <w:t>, and to use</w:t>
      </w:r>
      <w:r w:rsidRPr="001E753A">
        <w:t xml:space="preserve"> person reliability and fit of the data to the model when deciding upon which categorisation optimises the rating scale structure. </w:t>
      </w:r>
    </w:p>
    <w:p w14:paraId="1E4BCD37" w14:textId="786121D4" w:rsidR="00424C85" w:rsidRPr="001E753A" w:rsidRDefault="00424C85" w:rsidP="00EA3608">
      <w:pPr>
        <w:pStyle w:val="Newparagraph"/>
        <w:jc w:val="both"/>
      </w:pPr>
      <w:r w:rsidRPr="001E753A">
        <w:t xml:space="preserve">Another source of </w:t>
      </w:r>
      <w:r w:rsidRPr="001E753A">
        <w:rPr>
          <w:i/>
        </w:rPr>
        <w:t xml:space="preserve">substantive </w:t>
      </w:r>
      <w:r w:rsidRPr="001E753A">
        <w:t>validity is the analysis of person</w:t>
      </w:r>
      <w:r w:rsidR="00E10622">
        <w:t>-</w:t>
      </w:r>
      <w:r w:rsidRPr="001E753A">
        <w:t>fit (</w:t>
      </w:r>
      <w:r w:rsidRPr="001E753A">
        <w:rPr>
          <w:noProof/>
        </w:rPr>
        <w:t xml:space="preserve">Wolfe </w:t>
      </w:r>
      <w:r>
        <w:rPr>
          <w:noProof/>
        </w:rPr>
        <w:t>and</w:t>
      </w:r>
      <w:r w:rsidRPr="001E753A">
        <w:rPr>
          <w:noProof/>
        </w:rPr>
        <w:t xml:space="preserve"> Smith Jr</w:t>
      </w:r>
      <w:r>
        <w:rPr>
          <w:noProof/>
        </w:rPr>
        <w:t>.</w:t>
      </w:r>
      <w:r>
        <w:t xml:space="preserve"> 2006, </w:t>
      </w:r>
      <w:r w:rsidRPr="001E753A">
        <w:t>211). A</w:t>
      </w:r>
      <w:r w:rsidR="00E37EA2">
        <w:t>s such, persons with infit mean-</w:t>
      </w:r>
      <w:r w:rsidRPr="001E753A">
        <w:t xml:space="preserve">squared larger than 2.0 were flagged and examined more closely. </w:t>
      </w:r>
      <w:r>
        <w:t xml:space="preserve">Specifically, qualitative meanings of the misfit were sought, in addition to the consequences of removing obviously </w:t>
      </w:r>
      <w:r w:rsidR="00D37614">
        <w:t>‘</w:t>
      </w:r>
      <w:r>
        <w:t>misfitting</w:t>
      </w:r>
      <w:r w:rsidR="00D37614">
        <w:t>’</w:t>
      </w:r>
      <w:r>
        <w:t xml:space="preserve"> persons from the data (e.g. in terms of changes in reliability). </w:t>
      </w:r>
    </w:p>
    <w:p w14:paraId="5D0C6E93" w14:textId="3E699E6F" w:rsidR="00424C85" w:rsidRPr="001E753A" w:rsidRDefault="00424C85" w:rsidP="00EA3608">
      <w:pPr>
        <w:pStyle w:val="Newparagraph"/>
        <w:jc w:val="both"/>
      </w:pPr>
      <w:r w:rsidRPr="001E753A">
        <w:t xml:space="preserve">To find evidence for the </w:t>
      </w:r>
      <w:r w:rsidRPr="001E753A">
        <w:rPr>
          <w:i/>
        </w:rPr>
        <w:t xml:space="preserve">generalisability </w:t>
      </w:r>
      <w:r w:rsidRPr="001E753A">
        <w:t xml:space="preserve">aspect of validity, </w:t>
      </w:r>
      <w:r w:rsidRPr="001E753A">
        <w:rPr>
          <w:i/>
        </w:rPr>
        <w:t xml:space="preserve">the loss of invariance of item estimates across testing occasions </w:t>
      </w:r>
      <w:r>
        <w:rPr>
          <w:noProof/>
        </w:rPr>
        <w:t xml:space="preserve">(Bond and Fox 2003, </w:t>
      </w:r>
      <w:r w:rsidRPr="001E753A">
        <w:rPr>
          <w:noProof/>
        </w:rPr>
        <w:t>309)</w:t>
      </w:r>
      <w:r w:rsidRPr="001E753A">
        <w:t xml:space="preserve"> was conducted through Diffe</w:t>
      </w:r>
      <w:r>
        <w:t>rential Item Functioning (DIF)</w:t>
      </w:r>
      <w:r w:rsidR="00C4336A">
        <w:t xml:space="preserve">: </w:t>
      </w:r>
      <w:r w:rsidR="003C777F">
        <w:t xml:space="preserve">the </w:t>
      </w:r>
      <w:r w:rsidRPr="001E753A">
        <w:t xml:space="preserve">comparison between two items should be independent of </w:t>
      </w:r>
      <w:r w:rsidR="003C777F">
        <w:t>the</w:t>
      </w:r>
      <w:r w:rsidRPr="001E753A">
        <w:t xml:space="preserve"> persons </w:t>
      </w:r>
      <w:r w:rsidR="003C777F">
        <w:t xml:space="preserve">who are </w:t>
      </w:r>
      <w:r w:rsidRPr="001E753A">
        <w:t>used</w:t>
      </w:r>
      <w:r w:rsidR="003C777F">
        <w:t xml:space="preserve"> for </w:t>
      </w:r>
      <w:r w:rsidRPr="001E753A">
        <w:t xml:space="preserve">calibration </w:t>
      </w:r>
      <w:r>
        <w:rPr>
          <w:noProof/>
        </w:rPr>
        <w:t xml:space="preserve">(Rasch 1961, </w:t>
      </w:r>
      <w:r w:rsidR="007647AC">
        <w:rPr>
          <w:noProof/>
        </w:rPr>
        <w:t>331</w:t>
      </w:r>
      <w:r w:rsidR="007647AC">
        <w:t>–</w:t>
      </w:r>
      <w:r w:rsidRPr="001E753A">
        <w:rPr>
          <w:noProof/>
        </w:rPr>
        <w:t>332)</w:t>
      </w:r>
      <w:r w:rsidRPr="001E753A">
        <w:t xml:space="preserve">. </w:t>
      </w:r>
      <w:r w:rsidR="0097685E">
        <w:t xml:space="preserve">Hence, </w:t>
      </w:r>
      <w:r w:rsidRPr="001E753A">
        <w:t xml:space="preserve">DIF </w:t>
      </w:r>
      <w:r w:rsidRPr="001E753A">
        <w:lastRenderedPageBreak/>
        <w:t xml:space="preserve">analysis was conducted to test the hypothesis that item measures remained invariant between males/females and between pilot responses/final responses. This study used the Rasch-Welch method, </w:t>
      </w:r>
      <w:r>
        <w:t>which mean</w:t>
      </w:r>
      <w:r w:rsidR="003C2A8C">
        <w:t>t</w:t>
      </w:r>
      <w:r>
        <w:t xml:space="preserve"> that ‘everything’ (i.e. person and item measures) but the item under investigation</w:t>
      </w:r>
      <w:r w:rsidRPr="001E753A">
        <w:t xml:space="preserve"> </w:t>
      </w:r>
      <w:r w:rsidR="003C2A8C">
        <w:t>wa</w:t>
      </w:r>
      <w:r>
        <w:t>s held constant</w:t>
      </w:r>
      <w:r w:rsidRPr="001E753A">
        <w:t xml:space="preserve">. As proposed by </w:t>
      </w:r>
      <w:r>
        <w:rPr>
          <w:noProof/>
        </w:rPr>
        <w:t>Linacre (20</w:t>
      </w:r>
      <w:r w:rsidR="00C4509C">
        <w:rPr>
          <w:noProof/>
        </w:rPr>
        <w:t>15</w:t>
      </w:r>
      <w:r>
        <w:rPr>
          <w:noProof/>
        </w:rPr>
        <w:t xml:space="preserve">, </w:t>
      </w:r>
      <w:r w:rsidR="00C4509C">
        <w:rPr>
          <w:noProof/>
        </w:rPr>
        <w:t>542</w:t>
      </w:r>
      <w:r w:rsidRPr="001E753A">
        <w:rPr>
          <w:noProof/>
        </w:rPr>
        <w:t>)</w:t>
      </w:r>
      <w:r w:rsidRPr="001E753A">
        <w:t xml:space="preserve">, a threshold of .64 for DIF contrast and .05 for </w:t>
      </w:r>
      <w:r w:rsidRPr="00E37EA2">
        <w:rPr>
          <w:i/>
        </w:rPr>
        <w:t>p</w:t>
      </w:r>
      <w:r w:rsidRPr="001E753A">
        <w:t>-value was chosen to flag potentially problematic items. However, when multiple hypothesis tests are conducted (one for each item), it is entirely probable that at least one of these will, by chance, show significant DIF. Indeed, amongst the simulation studies (that wer</w:t>
      </w:r>
      <w:r w:rsidR="00654A71">
        <w:t>e simulated to show no DIF), 56</w:t>
      </w:r>
      <w:r w:rsidRPr="001E753A">
        <w:t xml:space="preserve">% had at least one item with DIF. Therefore, it was decided to use a Bonferroni correction, which accounts for multiple hypothesis-tests </w:t>
      </w:r>
      <w:r w:rsidRPr="001E753A">
        <w:rPr>
          <w:noProof/>
        </w:rPr>
        <w:t xml:space="preserve">(Bland </w:t>
      </w:r>
      <w:r>
        <w:rPr>
          <w:noProof/>
        </w:rPr>
        <w:t>and Altman</w:t>
      </w:r>
      <w:r w:rsidRPr="001E753A">
        <w:rPr>
          <w:noProof/>
        </w:rPr>
        <w:t xml:space="preserve"> 1995)</w:t>
      </w:r>
      <w:r w:rsidRPr="001E753A">
        <w:t xml:space="preserve">, leaving a corrected threshold for </w:t>
      </w:r>
      <w:r w:rsidRPr="00F476C4">
        <w:rPr>
          <w:i/>
        </w:rPr>
        <w:t>p</w:t>
      </w:r>
      <w:r w:rsidRPr="001E753A">
        <w:t>-value = .0033. Finally, to detect non-uniform</w:t>
      </w:r>
      <w:r w:rsidR="00E37EA2">
        <w:t xml:space="preserve"> DIF, expected and empirical item characteristic</w:t>
      </w:r>
      <w:r w:rsidRPr="001E753A">
        <w:t xml:space="preserve"> curves</w:t>
      </w:r>
      <w:r w:rsidR="00E37EA2">
        <w:t xml:space="preserve"> (ICC)</w:t>
      </w:r>
      <w:r w:rsidRPr="001E753A">
        <w:t xml:space="preserve"> were inspected.</w:t>
      </w:r>
    </w:p>
    <w:p w14:paraId="40FAF510" w14:textId="28732AAD" w:rsidR="00424C85" w:rsidRPr="001E753A" w:rsidRDefault="00424C85" w:rsidP="00EA3608">
      <w:pPr>
        <w:pStyle w:val="Newparagraph"/>
        <w:jc w:val="both"/>
      </w:pPr>
      <w:r>
        <w:t xml:space="preserve">To find evidence of </w:t>
      </w:r>
      <w:r>
        <w:rPr>
          <w:i/>
        </w:rPr>
        <w:t xml:space="preserve">structural </w:t>
      </w:r>
      <w:r>
        <w:t xml:space="preserve">validity, </w:t>
      </w:r>
      <w:r w:rsidRPr="001E753A">
        <w:t>t</w:t>
      </w:r>
      <w:r>
        <w:t>he dimensionality of the items w</w:t>
      </w:r>
      <w:r w:rsidR="000773D5">
        <w:t>as</w:t>
      </w:r>
      <w:r>
        <w:t xml:space="preserve"> assessed </w:t>
      </w:r>
      <w:r w:rsidR="000773D5">
        <w:t>by</w:t>
      </w:r>
      <w:r w:rsidRPr="001E753A">
        <w:t xml:space="preserve"> Principal Component Analysis</w:t>
      </w:r>
      <w:r>
        <w:t xml:space="preserve"> (PCA). </w:t>
      </w:r>
      <w:r w:rsidRPr="00BE1082">
        <w:t xml:space="preserve">Since classical factor </w:t>
      </w:r>
      <w:r w:rsidR="003351F8" w:rsidRPr="00BE1082">
        <w:t>analysis</w:t>
      </w:r>
      <w:r w:rsidRPr="00BE1082">
        <w:t xml:space="preserve"> on raw scores tend</w:t>
      </w:r>
      <w:r w:rsidR="00654A71" w:rsidRPr="00BE1082">
        <w:t>s</w:t>
      </w:r>
      <w:r w:rsidRPr="00BE1082">
        <w:t xml:space="preserve"> to extract too many dimensions (e.g. items with similar measures tend to be reported as separate factors) (Bond 1994), PCA on </w:t>
      </w:r>
      <w:r w:rsidR="00B01E68" w:rsidRPr="00BE1082">
        <w:t xml:space="preserve">standardised residuals was </w:t>
      </w:r>
      <w:r w:rsidR="00654A71" w:rsidRPr="00BE1082">
        <w:t>favoured</w:t>
      </w:r>
      <w:r w:rsidRPr="00BE1082">
        <w:t xml:space="preserve">. </w:t>
      </w:r>
      <w:r w:rsidR="000773D5" w:rsidRPr="00BE1082">
        <w:t xml:space="preserve">Based on </w:t>
      </w:r>
      <w:r w:rsidRPr="00BE1082">
        <w:t xml:space="preserve">suggestions presented by Linacre (2015), a threshold of 2.0 in Eigenvalue units was chosen for </w:t>
      </w:r>
      <w:r w:rsidR="00791764" w:rsidRPr="00BE1082">
        <w:t xml:space="preserve">potential </w:t>
      </w:r>
      <w:r w:rsidRPr="00BE1082">
        <w:t>substantial</w:t>
      </w:r>
      <w:r w:rsidR="00791764" w:rsidRPr="00BE1082">
        <w:t xml:space="preserve"> </w:t>
      </w:r>
      <w:r w:rsidRPr="00BE1082">
        <w:t>dimensions. Furthermore, qualitative meanings were sought to make sense of po</w:t>
      </w:r>
      <w:r w:rsidR="00791764" w:rsidRPr="00BE1082">
        <w:t>tential additional</w:t>
      </w:r>
      <w:r w:rsidRPr="00BE1082">
        <w:t xml:space="preserve"> dimensions. In addition, person</w:t>
      </w:r>
      <w:r w:rsidRPr="001E753A">
        <w:t xml:space="preserve"> measures based on items from different sub-dimensions were correlated</w:t>
      </w:r>
      <w:r>
        <w:t xml:space="preserve"> to examine the impact on those dimensions</w:t>
      </w:r>
      <w:r w:rsidRPr="001E753A">
        <w:t>. The degree of local dependency between items was also assessed</w:t>
      </w:r>
      <w:r w:rsidR="00791764">
        <w:t>,</w:t>
      </w:r>
      <w:r w:rsidRPr="001E753A">
        <w:t xml:space="preserve"> to see if responses to some items affected the responses to others. </w:t>
      </w:r>
    </w:p>
    <w:p w14:paraId="769843B8" w14:textId="77777777" w:rsidR="00424C85" w:rsidRPr="001E753A" w:rsidRDefault="00424C85" w:rsidP="00BA5519">
      <w:pPr>
        <w:pStyle w:val="Overskrift2"/>
      </w:pPr>
      <w:r w:rsidRPr="001E753A">
        <w:t>Equating</w:t>
      </w:r>
    </w:p>
    <w:p w14:paraId="4A6AF30A" w14:textId="4E1518AE" w:rsidR="00424C85" w:rsidRPr="001E753A" w:rsidRDefault="00424C85" w:rsidP="00A46D2C">
      <w:pPr>
        <w:pStyle w:val="Paragraph"/>
        <w:jc w:val="both"/>
      </w:pPr>
      <w:r w:rsidRPr="001E753A">
        <w:t>One of the benefits of measuring practice in terms of teacher-</w:t>
      </w:r>
      <w:r w:rsidR="00D014AF">
        <w:t>centred</w:t>
      </w:r>
      <w:r w:rsidR="00CA7049">
        <w:t>ness</w:t>
      </w:r>
      <w:r w:rsidRPr="001E753A">
        <w:t xml:space="preserve"> is that one can say that one</w:t>
      </w:r>
      <w:r w:rsidR="005E034B">
        <w:t xml:space="preserve"> teacher’s practice</w:t>
      </w:r>
      <w:r w:rsidRPr="001E753A">
        <w:t xml:space="preserve"> i</w:t>
      </w:r>
      <w:r w:rsidR="003351F8">
        <w:t>s more, or less, teacher-centred</w:t>
      </w:r>
      <w:r w:rsidRPr="001E753A">
        <w:t xml:space="preserve"> than </w:t>
      </w:r>
      <w:r w:rsidR="005E034B">
        <w:t>another teacher’s</w:t>
      </w:r>
      <w:r w:rsidRPr="001E753A">
        <w:t xml:space="preserve"> (and also by how much). </w:t>
      </w:r>
      <w:r w:rsidR="00567F79">
        <w:t xml:space="preserve">Subsequently, </w:t>
      </w:r>
      <w:r w:rsidRPr="001E753A">
        <w:t xml:space="preserve">one of the benefits of measuring both practice and beliefs on the </w:t>
      </w:r>
      <w:r w:rsidRPr="001E753A">
        <w:lastRenderedPageBreak/>
        <w:t xml:space="preserve">same ‘unit’ </w:t>
      </w:r>
      <w:r w:rsidR="00567F79">
        <w:t>is the following</w:t>
      </w:r>
      <w:r w:rsidRPr="001E753A">
        <w:t xml:space="preserve">: in addition to comparing one person with another, persons can also be compared </w:t>
      </w:r>
      <w:r w:rsidR="00D37614">
        <w:t>‘</w:t>
      </w:r>
      <w:r w:rsidRPr="001E753A">
        <w:t>with themselves</w:t>
      </w:r>
      <w:r w:rsidR="00D37614">
        <w:t>’</w:t>
      </w:r>
      <w:r w:rsidRPr="001E753A">
        <w:t>. That is, measurements can be used to decide whether people’s practices are m</w:t>
      </w:r>
      <w:r w:rsidR="003351F8">
        <w:t>ore, or less, teacher-centred</w:t>
      </w:r>
      <w:r w:rsidRPr="001E753A">
        <w:t xml:space="preserve"> than their </w:t>
      </w:r>
      <w:r w:rsidR="00567F79">
        <w:t xml:space="preserve">(measured) </w:t>
      </w:r>
      <w:r w:rsidRPr="001E753A">
        <w:t xml:space="preserve">beliefs. </w:t>
      </w:r>
      <w:r w:rsidR="00567F79">
        <w:t>However, t</w:t>
      </w:r>
      <w:r w:rsidRPr="001E753A">
        <w:t xml:space="preserve">o make such conclusions based on the measures alone is not straightforward. To illustrate, imagine that a </w:t>
      </w:r>
      <w:r w:rsidR="00567F79">
        <w:t>teacher</w:t>
      </w:r>
      <w:r w:rsidRPr="001E753A">
        <w:t xml:space="preserve">’s practice is measured to be, say 1.7, and her beliefs measured to be 2.1. Appreciating that these measures come from separately calibrated instruments, how can one </w:t>
      </w:r>
      <w:r w:rsidR="000859C4">
        <w:t xml:space="preserve">decide whether </w:t>
      </w:r>
      <w:r w:rsidRPr="001E753A">
        <w:t xml:space="preserve">the qualitative meaning of 2.1 on the beliefs-instrument is actually more, less, or about the same as 1.7 on the practice-instrument? </w:t>
      </w:r>
    </w:p>
    <w:p w14:paraId="03FA9097" w14:textId="7817116F" w:rsidR="00424C85" w:rsidRPr="001E753A" w:rsidRDefault="00424C85" w:rsidP="00A46D2C">
      <w:pPr>
        <w:pStyle w:val="Newparagraph"/>
        <w:jc w:val="both"/>
      </w:pPr>
      <w:r>
        <w:t xml:space="preserve">Since each practice </w:t>
      </w:r>
      <w:r w:rsidRPr="001E753A">
        <w:t xml:space="preserve">item (e.g. ‘I teach each subject separately’) </w:t>
      </w:r>
      <w:r w:rsidR="00C77222">
        <w:t>wa</w:t>
      </w:r>
      <w:r w:rsidRPr="001E753A">
        <w:t>s related to a pseudo-common item in the beliefs-instrument (‘the teacher should teach each subject separately’), we propose that the instruments can be linked through</w:t>
      </w:r>
      <w:r>
        <w:t xml:space="preserve"> a stack-analysis (Wright 2003)</w:t>
      </w:r>
      <w:r w:rsidRPr="001E753A">
        <w:t xml:space="preserve">. </w:t>
      </w:r>
      <w:r>
        <w:t>In effect, each pseudo-common pair of items was treated as identical items, and persons’ belief responses and practice responses were treated as distinct persons, in a pooled analysis. Moreover, DIF analysis between ‘beliefs’-responses and ‘practice’-responses was conducted. Finally, person measures based on th</w:t>
      </w:r>
      <w:r w:rsidR="00E37EA2">
        <w:t>e pooled calibrated items versus</w:t>
      </w:r>
      <w:r>
        <w:t xml:space="preserve"> the original calibrations were correlated</w:t>
      </w:r>
      <w:r w:rsidR="00C77222">
        <w:t>,</w:t>
      </w:r>
      <w:r>
        <w:t xml:space="preserve"> to see if the equating process affected persons’ measures.</w:t>
      </w:r>
    </w:p>
    <w:p w14:paraId="3E89AF0C" w14:textId="5E0B5F0D" w:rsidR="00424C85" w:rsidRDefault="00424C85" w:rsidP="00A46D2C">
      <w:pPr>
        <w:pStyle w:val="Newparagraph"/>
        <w:jc w:val="both"/>
      </w:pPr>
      <w:r w:rsidRPr="001E753A">
        <w:t xml:space="preserve">In the analysis we will demonstrate how the instruments can be equated, although we emphasise that different samples might yield different results. </w:t>
      </w:r>
      <w:r w:rsidR="002537AC">
        <w:t>F</w:t>
      </w:r>
      <w:r w:rsidRPr="001E753A">
        <w:t>or instance</w:t>
      </w:r>
      <w:r w:rsidR="002537AC">
        <w:t xml:space="preserve">, in some cases </w:t>
      </w:r>
      <w:r w:rsidRPr="001E753A">
        <w:t>using textbooks might be harder to endorse as a practice item than a beliefs item</w:t>
      </w:r>
      <w:r w:rsidR="002537AC">
        <w:t>,</w:t>
      </w:r>
      <w:r w:rsidRPr="001E753A">
        <w:t xml:space="preserve"> if the textbooks provided in the schools are of poor quality. Because of this, we suggest that the instruments should be recalibrated if they are to be used in other contexts.</w:t>
      </w:r>
    </w:p>
    <w:p w14:paraId="430D300F" w14:textId="77777777" w:rsidR="00424C85" w:rsidRPr="001E753A" w:rsidRDefault="00424C85" w:rsidP="00BA5519">
      <w:pPr>
        <w:pStyle w:val="Overskrift1"/>
      </w:pPr>
      <w:r w:rsidRPr="001E753A">
        <w:t>RESULTS</w:t>
      </w:r>
    </w:p>
    <w:p w14:paraId="6BF97AF9" w14:textId="7496EDE5" w:rsidR="00424C85" w:rsidRPr="001E753A" w:rsidRDefault="00424C85" w:rsidP="00A46D2C">
      <w:pPr>
        <w:pStyle w:val="Paragraph"/>
        <w:jc w:val="both"/>
      </w:pPr>
      <w:r w:rsidRPr="00BE1082">
        <w:t xml:space="preserve">Based on the person/item fit statistics and person/item separation, obvious </w:t>
      </w:r>
      <w:r w:rsidR="005E6AD3" w:rsidRPr="00BE1082">
        <w:t>‘</w:t>
      </w:r>
      <w:r w:rsidRPr="00BE1082">
        <w:t>misfitting persons</w:t>
      </w:r>
      <w:r w:rsidR="005E6AD3" w:rsidRPr="00BE1082">
        <w:t>’</w:t>
      </w:r>
      <w:r w:rsidRPr="00BE1082">
        <w:t xml:space="preserve"> (5) and items (6) were removed from the instrument</w:t>
      </w:r>
      <w:r w:rsidR="00426061" w:rsidRPr="00BE1082">
        <w:t xml:space="preserve"> (see Linacre 2010)</w:t>
      </w:r>
      <w:r w:rsidRPr="00BE1082">
        <w:t xml:space="preserve">. Since some respondents only responded to one of the instruments, and the teacher educators only </w:t>
      </w:r>
      <w:r w:rsidRPr="00BE1082">
        <w:lastRenderedPageBreak/>
        <w:t>responded to the beliefs-instrument, the data-</w:t>
      </w:r>
      <w:r w:rsidR="00654A71" w:rsidRPr="00BE1082">
        <w:t>sets consist</w:t>
      </w:r>
      <w:r w:rsidR="00DF3B23" w:rsidRPr="00BE1082">
        <w:t>ed</w:t>
      </w:r>
      <w:r w:rsidRPr="00BE1082">
        <w:t xml:space="preserve"> of 150 responses to the practice-instrument, and 160 responses to the beliefs-instrument. 148 respondents completed both instruments. The final results will be discussed</w:t>
      </w:r>
      <w:r w:rsidRPr="001E753A">
        <w:t xml:space="preserve"> in terms of </w:t>
      </w:r>
      <w:r w:rsidRPr="001E753A">
        <w:rPr>
          <w:i/>
        </w:rPr>
        <w:t xml:space="preserve">content, substantive, structural, generalisability, interpretability </w:t>
      </w:r>
      <w:r w:rsidRPr="001E753A">
        <w:t>and</w:t>
      </w:r>
      <w:r w:rsidRPr="001E753A">
        <w:rPr>
          <w:i/>
        </w:rPr>
        <w:t xml:space="preserve"> responsiveness</w:t>
      </w:r>
      <w:r w:rsidRPr="001E753A">
        <w:t xml:space="preserve"> validity.</w:t>
      </w:r>
    </w:p>
    <w:p w14:paraId="5CEFA641" w14:textId="59D42B1E" w:rsidR="00424C85" w:rsidRPr="001E753A" w:rsidRDefault="00424C85" w:rsidP="00BA5519">
      <w:pPr>
        <w:pStyle w:val="Overskrift2"/>
      </w:pPr>
      <w:r w:rsidRPr="001E753A">
        <w:t>Uni</w:t>
      </w:r>
      <w:r w:rsidR="003F170F">
        <w:t>-</w:t>
      </w:r>
      <w:r w:rsidRPr="001E753A">
        <w:t>dimensionality and response dependency</w:t>
      </w:r>
    </w:p>
    <w:p w14:paraId="70C9F8EE" w14:textId="0082763F" w:rsidR="00424C85" w:rsidRDefault="00424C85" w:rsidP="00A46D2C">
      <w:pPr>
        <w:pStyle w:val="Paragraph"/>
        <w:jc w:val="both"/>
      </w:pPr>
      <w:r w:rsidRPr="001E753A">
        <w:t>Uni</w:t>
      </w:r>
      <w:r w:rsidR="003F170F">
        <w:t>-</w:t>
      </w:r>
      <w:r w:rsidRPr="001E753A">
        <w:t xml:space="preserve">dimensionality is a basic requirement of measurement </w:t>
      </w:r>
      <w:r>
        <w:rPr>
          <w:noProof/>
        </w:rPr>
        <w:t>(Andrich</w:t>
      </w:r>
      <w:r w:rsidRPr="001E753A">
        <w:rPr>
          <w:noProof/>
        </w:rPr>
        <w:t xml:space="preserve"> 1989)</w:t>
      </w:r>
      <w:r w:rsidRPr="001E753A">
        <w:t xml:space="preserve">. That is, </w:t>
      </w:r>
      <w:r>
        <w:t xml:space="preserve">PCA </w:t>
      </w:r>
      <w:r w:rsidRPr="001E753A">
        <w:t xml:space="preserve">of the standardised residuals after the part that is explained by the measure should indicate no other dimensions. However, </w:t>
      </w:r>
      <w:r w:rsidRPr="001E753A">
        <w:rPr>
          <w:noProof/>
        </w:rPr>
        <w:t>Yamaguchi (1997)</w:t>
      </w:r>
      <w:r w:rsidRPr="001E753A">
        <w:t xml:space="preserve"> indicated that items with negative wording might cause a violation to this requirement. In effect, ‘not being A’ is not always the same as ‘being the opposite of A’.  In this study, PCA clearly indicated that the items comprised</w:t>
      </w:r>
      <w:r>
        <w:t xml:space="preserve"> at least</w:t>
      </w:r>
      <w:r w:rsidRPr="001E753A">
        <w:t xml:space="preserve"> two dimensions</w:t>
      </w:r>
      <w:r w:rsidR="00782439">
        <w:t>,</w:t>
      </w:r>
      <w:r w:rsidRPr="001E753A">
        <w:t xml:space="preserve"> as 3.58 unexplained variance in Eigenvalue units was found in a second contrast. Moreover, the standardised residual plot for the second contrast (Figure 1) shows how positively and negatively worded items </w:t>
      </w:r>
      <w:r w:rsidR="00782439">
        <w:t>we</w:t>
      </w:r>
      <w:r w:rsidRPr="001E753A">
        <w:t xml:space="preserve">re stratified. The </w:t>
      </w:r>
      <w:proofErr w:type="gramStart"/>
      <w:r w:rsidRPr="001E753A">
        <w:t>negatively</w:t>
      </w:r>
      <w:r w:rsidR="00563609">
        <w:t>-</w:t>
      </w:r>
      <w:r w:rsidRPr="001E753A">
        <w:t>worded</w:t>
      </w:r>
      <w:proofErr w:type="gramEnd"/>
      <w:r w:rsidRPr="001E753A">
        <w:t xml:space="preserve"> items </w:t>
      </w:r>
      <w:r w:rsidR="00563609">
        <w:t>we</w:t>
      </w:r>
      <w:r w:rsidRPr="001E753A">
        <w:t xml:space="preserve">re the ones that were negatively coded; that is the ‘student-centred’ items. The positively worded items </w:t>
      </w:r>
      <w:r w:rsidR="00563609">
        <w:t>we</w:t>
      </w:r>
      <w:r w:rsidRPr="001E753A">
        <w:t>re the ‘teacher-centred’ items. Furth</w:t>
      </w:r>
      <w:r>
        <w:t>er analysis proved that the dis</w:t>
      </w:r>
      <w:r w:rsidR="00563609">
        <w:t>-</w:t>
      </w:r>
      <w:r w:rsidRPr="001E753A">
        <w:t>attenuated correlation between the ‘student-centred’ items and ‘teacher-centred’ items was .</w:t>
      </w:r>
      <w:proofErr w:type="gramStart"/>
      <w:r w:rsidRPr="001E753A">
        <w:t xml:space="preserve">70, </w:t>
      </w:r>
      <w:r w:rsidR="00563609">
        <w:t>that</w:t>
      </w:r>
      <w:proofErr w:type="gramEnd"/>
      <w:r w:rsidR="00563609">
        <w:t xml:space="preserve"> is </w:t>
      </w:r>
      <w:r w:rsidRPr="001E753A">
        <w:t>too low to be ignored. Thus, we concluded that ‘not being teacher-centred’ does not imply ‘being student-centred’. Consequently, all the student-centred items were removed from the analysis, leaving 15 items</w:t>
      </w:r>
      <w:r>
        <w:t>.</w:t>
      </w:r>
    </w:p>
    <w:p w14:paraId="0F5FC331" w14:textId="77777777" w:rsidR="00424C85" w:rsidRDefault="00424C85" w:rsidP="00BA5519">
      <w:pPr>
        <w:pStyle w:val="Newparagraph"/>
      </w:pPr>
    </w:p>
    <w:p w14:paraId="67CFE4AC" w14:textId="77777777" w:rsidR="00424C85" w:rsidRDefault="00424C85" w:rsidP="00BA5519">
      <w:pPr>
        <w:pStyle w:val="Newparagraph"/>
        <w:jc w:val="center"/>
      </w:pPr>
      <w:r>
        <w:t>[Figure 1 about here]</w:t>
      </w:r>
    </w:p>
    <w:p w14:paraId="2D848B54" w14:textId="77777777" w:rsidR="00424C85" w:rsidRDefault="00424C85" w:rsidP="00BA5519">
      <w:pPr>
        <w:pStyle w:val="Newparagraph"/>
        <w:jc w:val="center"/>
      </w:pPr>
    </w:p>
    <w:p w14:paraId="50E1DE1F" w14:textId="77777777" w:rsidR="00424C85" w:rsidRPr="001E753A" w:rsidRDefault="00424C85" w:rsidP="00A46D2C">
      <w:pPr>
        <w:pStyle w:val="Newparagraph"/>
        <w:jc w:val="both"/>
      </w:pPr>
      <w:r w:rsidRPr="001E753A">
        <w:t xml:space="preserve">After the student-centred items had been removed from the instrument, unexplained variances that could be explained in a second contrast were reduced to 1.9 (practice-instrument) and 1.9 (beliefs-instrument) in Eigenvalue units. Thus, the second dimensions </w:t>
      </w:r>
      <w:r w:rsidRPr="001E753A">
        <w:lastRenderedPageBreak/>
        <w:t>were treated as strands (like addition and subtraction on a mathematics test), and not as dimensions that needed separate instruments.</w:t>
      </w:r>
    </w:p>
    <w:p w14:paraId="0413257B" w14:textId="498DAA21" w:rsidR="00424C85" w:rsidRDefault="00424C85" w:rsidP="00A46D2C">
      <w:pPr>
        <w:pStyle w:val="Newparagraph"/>
        <w:jc w:val="both"/>
      </w:pPr>
      <w:r w:rsidRPr="00BE1082">
        <w:t xml:space="preserve">Moreover, the largest standardised residual correlation between items within each instrument was </w:t>
      </w:r>
      <w:r w:rsidR="00F476C4" w:rsidRPr="00BE1082">
        <w:rPr>
          <w:i/>
        </w:rPr>
        <w:t xml:space="preserve">r </w:t>
      </w:r>
      <w:r w:rsidR="00F476C4" w:rsidRPr="00BE1082">
        <w:t xml:space="preserve">= </w:t>
      </w:r>
      <w:r w:rsidRPr="00BE1082">
        <w:t>.24 (between practice item 12 and 9). Although there seemed to be a qualitative similarity between these items (as they both express</w:t>
      </w:r>
      <w:r w:rsidR="002F100A" w:rsidRPr="00BE1082">
        <w:t>ed</w:t>
      </w:r>
      <w:r w:rsidRPr="00BE1082">
        <w:t xml:space="preserve"> students working on tasks), the relatively small residual correlation did not lead to further action. Standardised residual correlations between items across instruments showed that item 12 had a correlation </w:t>
      </w:r>
      <w:r w:rsidRPr="00BE1082">
        <w:rPr>
          <w:i/>
        </w:rPr>
        <w:t xml:space="preserve">r </w:t>
      </w:r>
      <w:r w:rsidRPr="00BE1082">
        <w:t>= .66 between the practice- and beliefs-item. In addition, 7 items (items 2, 3, 5, 6, 7, 9, and 10) showed modest correlations in the range of .30 and .44. However, the dis</w:t>
      </w:r>
      <w:r w:rsidR="002F100A" w:rsidRPr="00BE1082">
        <w:t>-</w:t>
      </w:r>
      <w:r w:rsidRPr="00BE1082">
        <w:t>attenuated correlation between persons’</w:t>
      </w:r>
      <w:r w:rsidR="00FE7D23" w:rsidRPr="00BE1082">
        <w:t xml:space="preserve"> beliefs </w:t>
      </w:r>
      <w:r w:rsidRPr="00BE1082">
        <w:t>measures</w:t>
      </w:r>
      <w:r w:rsidR="002F100A" w:rsidRPr="00BE1082">
        <w:t>,</w:t>
      </w:r>
      <w:r w:rsidRPr="00BE1082">
        <w:t xml:space="preserve"> with these items included versus</w:t>
      </w:r>
      <w:r w:rsidR="00FE7D23" w:rsidRPr="00BE1082">
        <w:t xml:space="preserve"> </w:t>
      </w:r>
      <w:r w:rsidRPr="00BE1082">
        <w:t>beliefs measu</w:t>
      </w:r>
      <w:r w:rsidR="003351F8" w:rsidRPr="00BE1082">
        <w:t>res with these items om</w:t>
      </w:r>
      <w:r w:rsidRPr="00BE1082">
        <w:t>itted</w:t>
      </w:r>
      <w:r w:rsidR="002F100A" w:rsidRPr="00BE1082">
        <w:t>,</w:t>
      </w:r>
      <w:r w:rsidRPr="00BE1082">
        <w:t xml:space="preserve"> was </w:t>
      </w:r>
      <w:r w:rsidR="00F476C4" w:rsidRPr="00BE1082">
        <w:rPr>
          <w:i/>
        </w:rPr>
        <w:t xml:space="preserve">r </w:t>
      </w:r>
      <w:r w:rsidR="00F476C4" w:rsidRPr="00BE1082">
        <w:t xml:space="preserve">= </w:t>
      </w:r>
      <w:r w:rsidRPr="00BE1082">
        <w:t>1.00</w:t>
      </w:r>
      <w:r w:rsidR="009A4698" w:rsidRPr="00BE1082">
        <w:t xml:space="preserve">, </w:t>
      </w:r>
      <w:r w:rsidRPr="00BE1082">
        <w:t>i.e</w:t>
      </w:r>
      <w:r w:rsidR="002F100A" w:rsidRPr="00BE1082">
        <w:t>.</w:t>
      </w:r>
      <w:r w:rsidRPr="00BE1082">
        <w:t xml:space="preserve"> none of the differences between persons’ measures were found to be significant.</w:t>
      </w:r>
    </w:p>
    <w:p w14:paraId="276DA0A8" w14:textId="0797A1AF" w:rsidR="008015C8" w:rsidRPr="00A53EAB" w:rsidRDefault="008015C8" w:rsidP="00A46D2C">
      <w:pPr>
        <w:pStyle w:val="Newparagraph"/>
        <w:jc w:val="both"/>
      </w:pPr>
      <w:r w:rsidRPr="00A53EAB">
        <w:t>As consistent with the majority of existing literature, the relationship between students’ beliefs and measures was</w:t>
      </w:r>
      <w:r w:rsidR="004865AD" w:rsidRPr="00A53EAB">
        <w:t xml:space="preserve"> weak</w:t>
      </w:r>
      <w:r w:rsidRPr="00A53EAB">
        <w:t xml:space="preserve"> (</w:t>
      </w:r>
      <w:r w:rsidRPr="00A53EAB">
        <w:rPr>
          <w:i/>
        </w:rPr>
        <w:t>r</w:t>
      </w:r>
      <w:r w:rsidRPr="00A53EAB">
        <w:rPr>
          <w:i/>
          <w:vertAlign w:val="superscript"/>
        </w:rPr>
        <w:t>2</w:t>
      </w:r>
      <w:r w:rsidR="00853ABA" w:rsidRPr="00A53EAB">
        <w:t xml:space="preserve"> = .35). One explicit example </w:t>
      </w:r>
      <w:r w:rsidR="00DA3A16" w:rsidRPr="00A53EAB">
        <w:t>can be found in one of the students who reported that his practice (6.1 units) was more teacher-</w:t>
      </w:r>
      <w:r w:rsidR="00D014AF" w:rsidRPr="00A53EAB">
        <w:t>centred</w:t>
      </w:r>
      <w:r w:rsidR="00DA3A16" w:rsidRPr="00A53EAB">
        <w:t xml:space="preserve"> than his beliefs (3.5 units). These </w:t>
      </w:r>
      <w:r w:rsidR="009A0B34" w:rsidRPr="00A53EAB">
        <w:t>measures</w:t>
      </w:r>
      <w:r w:rsidR="00DA3A16" w:rsidRPr="00A53EAB">
        <w:t xml:space="preserve"> were consistent with statements in his interview, such as ‘That the students should be challenged. That they should understand. So, when there are so many different [students]. So, you need to teach differently’ (coded as a belief-statement) and ‘</w:t>
      </w:r>
      <w:r w:rsidR="00B11006" w:rsidRPr="00A53EAB">
        <w:t xml:space="preserve">Like, teaching on the blackboard, work with exercises, maybe </w:t>
      </w:r>
      <w:r w:rsidR="00842479" w:rsidRPr="00A53EAB">
        <w:t>rehearse</w:t>
      </w:r>
      <w:r w:rsidR="00B11006" w:rsidRPr="00A53EAB">
        <w:t>, and ask if anything is difficult. And then more exercises</w:t>
      </w:r>
      <w:r w:rsidR="00043733" w:rsidRPr="00A53EAB">
        <w:t xml:space="preserve">’ (coded as a practice-statement). </w:t>
      </w:r>
      <w:r w:rsidR="002103E1" w:rsidRPr="00A53EAB">
        <w:t>Since the correlation is weak, we conclude that the successful validation of the beliefs-instrument was not caused by the close resemblance to the practice-instrument.</w:t>
      </w:r>
      <w:r w:rsidR="002103E1" w:rsidRPr="00A53EAB" w:rsidDel="002103E1">
        <w:t xml:space="preserve"> </w:t>
      </w:r>
    </w:p>
    <w:p w14:paraId="6D918778" w14:textId="77777777" w:rsidR="00424C85" w:rsidRPr="001E753A" w:rsidRDefault="00424C85" w:rsidP="00BA5519">
      <w:pPr>
        <w:pStyle w:val="Overskrift2"/>
      </w:pPr>
      <w:r w:rsidRPr="001E753A">
        <w:t>Summary statistics</w:t>
      </w:r>
    </w:p>
    <w:p w14:paraId="0306F1BF" w14:textId="55F62EA0" w:rsidR="00424C85" w:rsidRPr="001E753A" w:rsidRDefault="00424C85" w:rsidP="00FE7D23">
      <w:pPr>
        <w:pStyle w:val="Paragraph"/>
        <w:jc w:val="both"/>
        <w:rPr>
          <w:i/>
        </w:rPr>
      </w:pPr>
      <w:r w:rsidRPr="001E753A">
        <w:t xml:space="preserve">Person reliability values, analogous to Cronbach’s alpha, were .85 (practice) and .81 (beliefs), </w:t>
      </w:r>
      <w:r w:rsidRPr="00BE1082">
        <w:t xml:space="preserve">and item reliability was .99 on both tests. Since the simulated data also showed a highly </w:t>
      </w:r>
      <w:r w:rsidRPr="00BE1082">
        <w:lastRenderedPageBreak/>
        <w:t xml:space="preserve">significant difference between person reliability on the two instruments (mean = .89, SD = .01 [practice] against mean = .85, SD = .01 [beliefs]), it seemed that this difference, on the whole, could be explained by the person and item distributions. Thus, although the person reliability </w:t>
      </w:r>
      <w:r w:rsidR="00A26C93" w:rsidRPr="00BE1082">
        <w:t>wa</w:t>
      </w:r>
      <w:r w:rsidRPr="00BE1082">
        <w:t xml:space="preserve">s acceptable </w:t>
      </w:r>
      <w:r w:rsidR="00A26C93" w:rsidRPr="00BE1082">
        <w:t>for</w:t>
      </w:r>
      <w:r w:rsidRPr="00BE1082">
        <w:t xml:space="preserve"> both instruments, further improvements should consider more items and samples with greater variance, as person reliability is heavily affected</w:t>
      </w:r>
      <w:r w:rsidRPr="001E753A">
        <w:t xml:space="preserve"> by the test length and person distribution. </w:t>
      </w:r>
    </w:p>
    <w:p w14:paraId="3C74D646" w14:textId="77777777" w:rsidR="00424C85" w:rsidRPr="001E753A" w:rsidRDefault="00424C85" w:rsidP="00BA5519">
      <w:pPr>
        <w:pStyle w:val="Overskrift2"/>
      </w:pPr>
      <w:r w:rsidRPr="001E753A">
        <w:t>Item fit</w:t>
      </w:r>
    </w:p>
    <w:p w14:paraId="694D0383" w14:textId="69C64755" w:rsidR="00424C85" w:rsidRDefault="00424C85" w:rsidP="00FE7D23">
      <w:pPr>
        <w:pStyle w:val="Paragraph"/>
        <w:jc w:val="both"/>
      </w:pPr>
      <w:r w:rsidRPr="001E753A">
        <w:t xml:space="preserve">To find evidence for the </w:t>
      </w:r>
      <w:r w:rsidRPr="001E753A">
        <w:rPr>
          <w:i/>
        </w:rPr>
        <w:t>content</w:t>
      </w:r>
      <w:r w:rsidRPr="001E753A">
        <w:t xml:space="preserve"> aspect of validity, the technical quality of the items was eval</w:t>
      </w:r>
      <w:r w:rsidR="00F476C4">
        <w:t>uated. In Table 1, the practice-instrument and beliefs-</w:t>
      </w:r>
      <w:r w:rsidRPr="001E753A">
        <w:t>instrument are presented with items in measure order. In both instruments, all the point-measure correlations were positive, with beliefs-item 12 (.38) being the least. Furthermore, both infit and outfit statistics were in the range of critical values for mos</w:t>
      </w:r>
      <w:r w:rsidR="00F476C4">
        <w:t>t of the items. In the practice-</w:t>
      </w:r>
      <w:r w:rsidRPr="001E753A">
        <w:t xml:space="preserve">instrument, items 12 and 15 were the most </w:t>
      </w:r>
      <w:r w:rsidR="005E6AD3">
        <w:t>‘</w:t>
      </w:r>
      <w:r w:rsidRPr="001E753A">
        <w:t>underfitting</w:t>
      </w:r>
      <w:r w:rsidR="005E6AD3">
        <w:t>’</w:t>
      </w:r>
      <w:r w:rsidRPr="001E753A">
        <w:t xml:space="preserve"> with infit/outfit mnsq 1.18/1.21 and 1.20/1.05 respectively. In the </w:t>
      </w:r>
      <w:r w:rsidR="00F476C4">
        <w:t>beliefs-instrument</w:t>
      </w:r>
      <w:r w:rsidRPr="001E753A">
        <w:t xml:space="preserve">, item 6 was the most </w:t>
      </w:r>
      <w:r w:rsidR="005E6AD3">
        <w:t>‘</w:t>
      </w:r>
      <w:r w:rsidRPr="001E753A">
        <w:t>underfitting</w:t>
      </w:r>
      <w:r w:rsidR="005E6AD3">
        <w:t>’</w:t>
      </w:r>
      <w:r w:rsidRPr="001E753A">
        <w:t xml:space="preserve"> with infit/outfit mnsq 1.19/1.23. Removing any of these items did not, however, have any significant effect on person measures, only a negative effect on person reliability. Moreover, the misfit in all items could be explained by </w:t>
      </w:r>
      <w:r w:rsidR="001A6339">
        <w:t>selected</w:t>
      </w:r>
      <w:r w:rsidRPr="001E753A">
        <w:t xml:space="preserve"> anomalous responses. Removing the two most unexpected responses to the practice item 15, for instance, reduced the infit/outfit to 1.07/ .98. Thus, it was decided to keep these items in the instrument. </w:t>
      </w:r>
    </w:p>
    <w:p w14:paraId="4A8C9F64" w14:textId="77777777" w:rsidR="00424C85" w:rsidRDefault="00424C85" w:rsidP="00BA5519">
      <w:pPr>
        <w:pStyle w:val="Newparagraph"/>
      </w:pPr>
    </w:p>
    <w:p w14:paraId="0FCBA143" w14:textId="77777777" w:rsidR="00424C85" w:rsidRDefault="00424C85" w:rsidP="00BA5519">
      <w:pPr>
        <w:pStyle w:val="Newparagraph"/>
        <w:jc w:val="center"/>
      </w:pPr>
      <w:r>
        <w:t>[Table 1 about here]</w:t>
      </w:r>
    </w:p>
    <w:p w14:paraId="11F64A54" w14:textId="77777777" w:rsidR="00424C85" w:rsidRDefault="00424C85" w:rsidP="00BA5519">
      <w:pPr>
        <w:pStyle w:val="Newparagraph"/>
        <w:jc w:val="center"/>
      </w:pPr>
    </w:p>
    <w:p w14:paraId="308E3AD4" w14:textId="795D213F" w:rsidR="00424C85" w:rsidRDefault="00424C85" w:rsidP="00FE7D23">
      <w:pPr>
        <w:pStyle w:val="Newparagraph"/>
        <w:jc w:val="both"/>
      </w:pPr>
      <w:r w:rsidRPr="001E753A">
        <w:t xml:space="preserve">Another key source of information about item fit is the </w:t>
      </w:r>
      <w:r w:rsidR="00E37EA2">
        <w:t>ICC</w:t>
      </w:r>
      <w:r w:rsidRPr="001E753A">
        <w:t xml:space="preserve"> </w:t>
      </w:r>
      <w:r>
        <w:rPr>
          <w:noProof/>
        </w:rPr>
        <w:t>(e.g. Schumacker</w:t>
      </w:r>
      <w:r w:rsidRPr="001E753A">
        <w:rPr>
          <w:noProof/>
        </w:rPr>
        <w:t xml:space="preserve"> 2015)</w:t>
      </w:r>
      <w:r w:rsidRPr="001E753A">
        <w:t xml:space="preserve">.  An inspection of the misfitting items indicated that practice item 12 </w:t>
      </w:r>
      <w:r w:rsidR="00444CCC">
        <w:t>wa</w:t>
      </w:r>
      <w:r w:rsidRPr="001E753A">
        <w:t>s the most problematic, although practic</w:t>
      </w:r>
      <w:r w:rsidR="00E37EA2">
        <w:t xml:space="preserve">e item 15 had the highest infit mean-squared </w:t>
      </w:r>
      <w:r w:rsidRPr="001E753A">
        <w:t xml:space="preserve">values. From the </w:t>
      </w:r>
      <w:r w:rsidRPr="001E753A">
        <w:lastRenderedPageBreak/>
        <w:t xml:space="preserve">ICC of practice item 12, one can clearly see how the item </w:t>
      </w:r>
      <w:r w:rsidR="00444CCC">
        <w:t>ha</w:t>
      </w:r>
      <w:r w:rsidRPr="001E753A">
        <w:t>s</w:t>
      </w:r>
      <w:r w:rsidR="00444CCC">
        <w:t xml:space="preserve"> been</w:t>
      </w:r>
      <w:r w:rsidRPr="001E753A">
        <w:t xml:space="preserve"> systematically under-discriminating, i.e. the probability of agreeing with this item </w:t>
      </w:r>
      <w:r w:rsidR="00444CCC">
        <w:t>did</w:t>
      </w:r>
      <w:r w:rsidRPr="001E753A">
        <w:t xml:space="preserve"> not increas</w:t>
      </w:r>
      <w:r w:rsidR="00444CCC">
        <w:t xml:space="preserve">e </w:t>
      </w:r>
      <w:r w:rsidRPr="001E753A">
        <w:t>as much as expected when person measures increase</w:t>
      </w:r>
      <w:r w:rsidR="00444CCC">
        <w:t>d</w:t>
      </w:r>
      <w:r w:rsidRPr="001E753A">
        <w:t xml:space="preserve">. In contrast, the ICC of item 15 shows how the empirical ICC is close to the model ICC. </w:t>
      </w:r>
    </w:p>
    <w:p w14:paraId="5B73A756" w14:textId="77777777" w:rsidR="00424C85" w:rsidRDefault="00424C85" w:rsidP="00BA5519">
      <w:pPr>
        <w:pStyle w:val="Newparagraph"/>
      </w:pPr>
    </w:p>
    <w:p w14:paraId="7EE783A7" w14:textId="77777777" w:rsidR="00424C85" w:rsidRDefault="00424C85" w:rsidP="00BA5519">
      <w:pPr>
        <w:pStyle w:val="Newparagraph"/>
        <w:jc w:val="center"/>
      </w:pPr>
      <w:r>
        <w:t>[Figure 2a about here]</w:t>
      </w:r>
    </w:p>
    <w:p w14:paraId="12B28FB6" w14:textId="77777777" w:rsidR="00424C85" w:rsidRDefault="00424C85" w:rsidP="00BA5519">
      <w:pPr>
        <w:pStyle w:val="Newparagraph"/>
        <w:jc w:val="center"/>
      </w:pPr>
      <w:r>
        <w:t>[Figure 2b about here]</w:t>
      </w:r>
    </w:p>
    <w:p w14:paraId="673FFE46" w14:textId="77777777" w:rsidR="00424C85" w:rsidRDefault="00424C85" w:rsidP="00BA5519">
      <w:pPr>
        <w:pStyle w:val="Newparagraph"/>
      </w:pPr>
    </w:p>
    <w:p w14:paraId="1D0AB65F" w14:textId="77777777" w:rsidR="00424C85" w:rsidRPr="001E753A" w:rsidRDefault="00424C85" w:rsidP="00BA5519">
      <w:pPr>
        <w:pStyle w:val="Overskrift2"/>
      </w:pPr>
      <w:r w:rsidRPr="001E753A">
        <w:t>Differential item functioning</w:t>
      </w:r>
    </w:p>
    <w:p w14:paraId="3F03266A" w14:textId="219419D3" w:rsidR="00424C85" w:rsidRPr="00BE1082" w:rsidRDefault="00424C85" w:rsidP="00FE7D23">
      <w:pPr>
        <w:pStyle w:val="Newparagraph"/>
        <w:jc w:val="both"/>
      </w:pPr>
      <w:r w:rsidRPr="001E753A">
        <w:t xml:space="preserve">When DIF analysis was conducted </w:t>
      </w:r>
      <w:r w:rsidRPr="00BE1082">
        <w:t xml:space="preserve">to test the hypothesis that item measures stayed invariant between genders, beliefs item 15 showed some DIF (.88 logits harder to endorse to for males than females). </w:t>
      </w:r>
      <w:r w:rsidR="00251525">
        <w:t>H</w:t>
      </w:r>
      <w:r w:rsidRPr="00BE1082">
        <w:t>owever, the DIF was concluded to be non-significant. Moreover, the correlatio</w:t>
      </w:r>
      <w:r w:rsidR="00251525">
        <w:t>n between persons’ measures was</w:t>
      </w:r>
      <w:r w:rsidR="00F476C4" w:rsidRPr="00BE1082">
        <w:t xml:space="preserve"> </w:t>
      </w:r>
      <w:r w:rsidR="00F476C4" w:rsidRPr="00BE1082">
        <w:rPr>
          <w:i/>
        </w:rPr>
        <w:t xml:space="preserve">r </w:t>
      </w:r>
      <w:r w:rsidR="00F476C4" w:rsidRPr="00BE1082">
        <w:t xml:space="preserve">= </w:t>
      </w:r>
      <w:r w:rsidRPr="00BE1082">
        <w:t>1.00</w:t>
      </w:r>
      <w:r w:rsidR="00D16FB5" w:rsidRPr="00BE1082">
        <w:t xml:space="preserve"> when item 15 was fixed to be –</w:t>
      </w:r>
      <w:r w:rsidRPr="00BE1082">
        <w:t xml:space="preserve">.78 (female estimation) and .10 (male estimation). Thus, it was decided not to take further action on this item. </w:t>
      </w:r>
      <w:r w:rsidR="00D16FB5" w:rsidRPr="00BE1082">
        <w:t xml:space="preserve"> </w:t>
      </w:r>
    </w:p>
    <w:p w14:paraId="76E58A6B" w14:textId="292E95A0" w:rsidR="00424C85" w:rsidRDefault="00424C85" w:rsidP="00FE7D23">
      <w:pPr>
        <w:pStyle w:val="Newparagraph"/>
        <w:jc w:val="both"/>
      </w:pPr>
      <w:r w:rsidRPr="00BE1082">
        <w:t>The DIF analysis</w:t>
      </w:r>
      <w:r w:rsidRPr="001E753A">
        <w:t xml:space="preserve"> between the pilo</w:t>
      </w:r>
      <w:r w:rsidR="003351F8">
        <w:t>t respondents (second and third-</w:t>
      </w:r>
      <w:r w:rsidRPr="001E753A">
        <w:t>year students) an</w:t>
      </w:r>
      <w:r w:rsidR="003351F8">
        <w:t>d the final respondents (fourth-</w:t>
      </w:r>
      <w:r w:rsidRPr="001E753A">
        <w:t>year students) showed that beliefs item 12 had significa</w:t>
      </w:r>
      <w:r>
        <w:t>nt DIF. Furthermore, the ICC</w:t>
      </w:r>
      <w:r w:rsidRPr="001E753A">
        <w:t xml:space="preserve"> indicated that the DIF was uniform, i.e. item 12 was relatively easier to </w:t>
      </w:r>
      <w:r w:rsidR="006B6ACC">
        <w:t xml:space="preserve">be </w:t>
      </w:r>
      <w:r w:rsidRPr="001E753A">
        <w:t>endorse</w:t>
      </w:r>
      <w:r w:rsidR="006B6ACC">
        <w:t xml:space="preserve">d by </w:t>
      </w:r>
      <w:r w:rsidR="000D4287">
        <w:t>fourth-</w:t>
      </w:r>
      <w:r w:rsidRPr="001E753A">
        <w:t>year students for all ‘ability’ levels (e.g. Figure 3). Although removing item 12 had only a negligible effect on the persons’ measures</w:t>
      </w:r>
      <w:r>
        <w:t xml:space="preserve">, this item seems </w:t>
      </w:r>
      <w:r w:rsidRPr="001E753A">
        <w:t xml:space="preserve">to be an area for future improvement. </w:t>
      </w:r>
    </w:p>
    <w:p w14:paraId="5EFC29DF" w14:textId="77777777" w:rsidR="00424C85" w:rsidRDefault="00424C85" w:rsidP="00BA5519">
      <w:pPr>
        <w:pStyle w:val="Newparagraph"/>
      </w:pPr>
    </w:p>
    <w:p w14:paraId="0ADF4BB9" w14:textId="77777777" w:rsidR="00424C85" w:rsidRDefault="00424C85" w:rsidP="00BA5519">
      <w:pPr>
        <w:pStyle w:val="Newparagraph"/>
        <w:jc w:val="center"/>
      </w:pPr>
      <w:r>
        <w:t>[Figure 3 about here]</w:t>
      </w:r>
    </w:p>
    <w:p w14:paraId="3368A76A" w14:textId="77777777" w:rsidR="00424C85" w:rsidRDefault="00424C85" w:rsidP="00BA5519">
      <w:pPr>
        <w:pStyle w:val="Newparagraph"/>
        <w:jc w:val="center"/>
      </w:pPr>
    </w:p>
    <w:p w14:paraId="50EB519E" w14:textId="77777777" w:rsidR="00424C85" w:rsidRPr="001E753A" w:rsidRDefault="00424C85" w:rsidP="00BA5519">
      <w:pPr>
        <w:pStyle w:val="Overskrift2"/>
      </w:pPr>
      <w:r w:rsidRPr="001E753A">
        <w:lastRenderedPageBreak/>
        <w:t>Targeting</w:t>
      </w:r>
    </w:p>
    <w:p w14:paraId="6EA6F881" w14:textId="15CCE112" w:rsidR="00424C85" w:rsidRPr="001E753A" w:rsidRDefault="00424C85" w:rsidP="00FE7D23">
      <w:pPr>
        <w:pStyle w:val="Paragraph"/>
        <w:jc w:val="both"/>
      </w:pPr>
      <w:r>
        <w:t xml:space="preserve">To ascertain </w:t>
      </w:r>
      <w:r w:rsidRPr="001E753A">
        <w:rPr>
          <w:i/>
        </w:rPr>
        <w:t>responsiveness</w:t>
      </w:r>
      <w:r>
        <w:t xml:space="preserve"> validity</w:t>
      </w:r>
      <w:r w:rsidRPr="001E753A">
        <w:t>, it is important that the items in the instrument not only fit well with the sample abilities, but also po</w:t>
      </w:r>
      <w:r w:rsidR="002974F4">
        <w:t>tential</w:t>
      </w:r>
      <w:r w:rsidRPr="001E753A">
        <w:t xml:space="preserve"> abilities in the futu</w:t>
      </w:r>
      <w:r>
        <w:t xml:space="preserve">re (Wolfe and Smith Jr. 2006, </w:t>
      </w:r>
      <w:r w:rsidRPr="001E753A">
        <w:t>222). As such, the person-item maps in Figure</w:t>
      </w:r>
      <w:r>
        <w:t xml:space="preserve"> 4 </w:t>
      </w:r>
      <w:r w:rsidR="002974F4">
        <w:t>we</w:t>
      </w:r>
      <w:r w:rsidRPr="001E753A">
        <w:t>re good indicators for areas of po</w:t>
      </w:r>
      <w:r w:rsidR="002974F4">
        <w:t>tential</w:t>
      </w:r>
      <w:r w:rsidRPr="001E753A">
        <w:t xml:space="preserve"> improvement. </w:t>
      </w:r>
      <w:r w:rsidR="002974F4">
        <w:t xml:space="preserve">In particular </w:t>
      </w:r>
      <w:r w:rsidRPr="001E753A">
        <w:t xml:space="preserve">for the beliefs-instrument, there seemed to be a ‘missing tail’ in the person distribution. Thus, including persons with measures above 4 logits </w:t>
      </w:r>
      <w:r w:rsidR="003C3498">
        <w:t>would</w:t>
      </w:r>
      <w:r w:rsidR="002974F4">
        <w:t xml:space="preserve"> </w:t>
      </w:r>
      <w:r w:rsidR="003C3498">
        <w:t>likely</w:t>
      </w:r>
      <w:r w:rsidR="002974F4">
        <w:t xml:space="preserve"> </w:t>
      </w:r>
      <w:r w:rsidRPr="001E753A">
        <w:t xml:space="preserve">improve the estimates of the items that </w:t>
      </w:r>
      <w:r w:rsidR="003C3498">
        <w:t>are</w:t>
      </w:r>
      <w:r w:rsidRPr="001E753A">
        <w:t xml:space="preserve"> hardest to endorse</w:t>
      </w:r>
      <w:r>
        <w:t xml:space="preserve"> </w:t>
      </w:r>
      <w:r w:rsidRPr="001E753A">
        <w:t>(e.g. item 1 and item 2), and increase person reliability.</w:t>
      </w:r>
    </w:p>
    <w:p w14:paraId="16987277" w14:textId="77777777" w:rsidR="00424C85" w:rsidRDefault="00424C85" w:rsidP="00FE7D23">
      <w:pPr>
        <w:pStyle w:val="Newparagraph"/>
        <w:jc w:val="both"/>
      </w:pPr>
      <w:r w:rsidRPr="001E753A">
        <w:t xml:space="preserve">Moreover, the person-item map on the practice-instrument suggested that more items at the extreme teacher-centred end, in particular between 3 and 4 logits and above 5 logits, would improve the estimates of extremely teacher-centred persons, and increase person reliability. </w:t>
      </w:r>
    </w:p>
    <w:p w14:paraId="716BED9C" w14:textId="77777777" w:rsidR="00424C85" w:rsidRDefault="00424C85" w:rsidP="00BA5519">
      <w:pPr>
        <w:pStyle w:val="Newparagraph"/>
      </w:pPr>
    </w:p>
    <w:p w14:paraId="54876438" w14:textId="77777777" w:rsidR="00424C85" w:rsidRDefault="00424C85" w:rsidP="00BA5519">
      <w:pPr>
        <w:pStyle w:val="Newparagraph"/>
        <w:jc w:val="center"/>
      </w:pPr>
      <w:r>
        <w:t>[Figure 4 about here]</w:t>
      </w:r>
    </w:p>
    <w:p w14:paraId="691C9D92" w14:textId="77777777" w:rsidR="00424C85" w:rsidRDefault="00424C85" w:rsidP="00BA5519">
      <w:pPr>
        <w:pStyle w:val="Newparagraph"/>
      </w:pPr>
    </w:p>
    <w:p w14:paraId="09D5D318" w14:textId="77777777" w:rsidR="00424C85" w:rsidRPr="001E753A" w:rsidRDefault="00424C85" w:rsidP="00BA5519">
      <w:pPr>
        <w:pStyle w:val="Overskrift2"/>
      </w:pPr>
      <w:r w:rsidRPr="001E753A">
        <w:t>Rating scale analysis</w:t>
      </w:r>
    </w:p>
    <w:p w14:paraId="6B0FE628" w14:textId="6700CBAB" w:rsidR="00424C85" w:rsidRPr="001E753A" w:rsidRDefault="00424C85" w:rsidP="00FE7D23">
      <w:pPr>
        <w:pStyle w:val="Paragraph"/>
        <w:jc w:val="both"/>
      </w:pPr>
      <w:r w:rsidRPr="001E753A">
        <w:t xml:space="preserve">In both instruments, most of Linacre’s criteria were satisfied: </w:t>
      </w:r>
      <w:r w:rsidR="00684A34">
        <w:t>(</w:t>
      </w:r>
      <w:r w:rsidRPr="001E753A">
        <w:t>1) each rating scale category contained more than 10 observations (</w:t>
      </w:r>
      <w:r w:rsidR="00776180">
        <w:t xml:space="preserve">at least </w:t>
      </w:r>
      <w:r w:rsidRPr="001E753A">
        <w:t xml:space="preserve">151 observations in the first category in the </w:t>
      </w:r>
      <w:r w:rsidR="00F476C4">
        <w:t>practice-instrument</w:t>
      </w:r>
      <w:r w:rsidRPr="001E753A">
        <w:t xml:space="preserve">); </w:t>
      </w:r>
      <w:r w:rsidR="00684A34">
        <w:t>(</w:t>
      </w:r>
      <w:r w:rsidRPr="001E753A">
        <w:t xml:space="preserve">2) the shape of each rating scale distribution was smooth and unimodal; </w:t>
      </w:r>
      <w:r w:rsidR="00684A34">
        <w:t>(</w:t>
      </w:r>
      <w:r w:rsidRPr="001E753A">
        <w:t xml:space="preserve">3) the average respondent measure associated with each category increased with the values of the categories; </w:t>
      </w:r>
      <w:r w:rsidR="00684A34">
        <w:t>(</w:t>
      </w:r>
      <w:r w:rsidRPr="001E753A">
        <w:t xml:space="preserve">4) the </w:t>
      </w:r>
      <w:r w:rsidR="005E6AD3">
        <w:t>‘</w:t>
      </w:r>
      <w:r w:rsidRPr="001E753A">
        <w:t>unweighted</w:t>
      </w:r>
      <w:r w:rsidR="005E6AD3">
        <w:t>’</w:t>
      </w:r>
      <w:r w:rsidRPr="001E753A">
        <w:t xml:space="preserve"> mean-squared fit statistics were all less than 2.0 (1.21 at the most); </w:t>
      </w:r>
      <w:r w:rsidR="0010587F">
        <w:t>(</w:t>
      </w:r>
      <w:r w:rsidRPr="001E753A">
        <w:t xml:space="preserve">5) step calibrations advanced; </w:t>
      </w:r>
      <w:r w:rsidR="0010587F">
        <w:t>(</w:t>
      </w:r>
      <w:r w:rsidRPr="001E753A">
        <w:t xml:space="preserve">6) step difficulties advanced with more than 1.4 logits; and </w:t>
      </w:r>
      <w:r w:rsidR="0010587F">
        <w:t>(</w:t>
      </w:r>
      <w:r w:rsidRPr="001E753A">
        <w:t xml:space="preserve">7) step difficulties advanced by less than 5 logits. </w:t>
      </w:r>
    </w:p>
    <w:p w14:paraId="5BFD6D56" w14:textId="12F4A74B" w:rsidR="00424C85" w:rsidRPr="001E753A" w:rsidRDefault="00424C85" w:rsidP="00FE7D23">
      <w:pPr>
        <w:pStyle w:val="Newparagraph"/>
        <w:jc w:val="both"/>
      </w:pPr>
      <w:r w:rsidRPr="001E753A">
        <w:lastRenderedPageBreak/>
        <w:t xml:space="preserve">One violation, however, was found in both instruments: the category to measure coherence criteria. In the </w:t>
      </w:r>
      <w:r w:rsidR="00F476C4">
        <w:t>practice-instrument</w:t>
      </w:r>
      <w:r w:rsidRPr="001E753A">
        <w:t xml:space="preserve">, 32% of the responses in the first category belonged to persons who were </w:t>
      </w:r>
      <w:r w:rsidR="005E6AD3">
        <w:t>‘</w:t>
      </w:r>
      <w:r w:rsidRPr="001E753A">
        <w:t>expected</w:t>
      </w:r>
      <w:r w:rsidR="005E6AD3">
        <w:t>’</w:t>
      </w:r>
      <w:r w:rsidRPr="001E753A">
        <w:t xml:space="preserve"> (i.e. 68% of the persons that responded in the first category were expected to respond elsewhere). Linacre (2002</w:t>
      </w:r>
      <w:r>
        <w:t>a)</w:t>
      </w:r>
      <w:r w:rsidRPr="001E753A">
        <w:t xml:space="preserve"> suggested at </w:t>
      </w:r>
      <w:r>
        <w:t>least 40%. However, the low C</w:t>
      </w:r>
      <w:r>
        <w:sym w:font="Symbol" w:char="F0AE"/>
      </w:r>
      <w:r w:rsidRPr="001E753A">
        <w:t>M could be explained by</w:t>
      </w:r>
      <w:r>
        <w:t xml:space="preserve"> the observed count distribution</w:t>
      </w:r>
      <w:r w:rsidRPr="001E753A">
        <w:t xml:space="preserve">. In effect, if we </w:t>
      </w:r>
      <w:r w:rsidR="00C6784D">
        <w:t xml:space="preserve">had </w:t>
      </w:r>
      <w:r w:rsidRPr="001E753A">
        <w:t>group</w:t>
      </w:r>
      <w:r w:rsidR="00C6784D">
        <w:t>ed</w:t>
      </w:r>
      <w:r w:rsidRPr="001E753A">
        <w:t xml:space="preserve"> together all the persons </w:t>
      </w:r>
      <w:r w:rsidR="00C6784D">
        <w:t>whom</w:t>
      </w:r>
      <w:r w:rsidRPr="001E753A">
        <w:t xml:space="preserve"> we </w:t>
      </w:r>
      <w:r w:rsidR="00C6784D">
        <w:t xml:space="preserve">had </w:t>
      </w:r>
      <w:r w:rsidRPr="001E753A">
        <w:t>expect</w:t>
      </w:r>
      <w:r w:rsidR="00C6784D">
        <w:t>ed</w:t>
      </w:r>
      <w:r w:rsidRPr="001E753A">
        <w:t xml:space="preserve"> to respond to a category </w:t>
      </w:r>
      <w:r w:rsidRPr="001E753A">
        <w:rPr>
          <w:i/>
        </w:rPr>
        <w:t>n</w:t>
      </w:r>
      <w:r w:rsidRPr="001E753A">
        <w:t xml:space="preserve">, we </w:t>
      </w:r>
      <w:r w:rsidR="00C6784D">
        <w:t xml:space="preserve">should have </w:t>
      </w:r>
      <w:r w:rsidRPr="001E753A">
        <w:t>also expect</w:t>
      </w:r>
      <w:r w:rsidR="00C6784D">
        <w:t>ed</w:t>
      </w:r>
      <w:r w:rsidRPr="001E753A">
        <w:t xml:space="preserve"> that </w:t>
      </w:r>
      <w:r>
        <w:t>a fraction</w:t>
      </w:r>
      <w:r w:rsidRPr="001E753A">
        <w:t xml:space="preserve"> of these persons w</w:t>
      </w:r>
      <w:r w:rsidR="00C6784D">
        <w:t>ould</w:t>
      </w:r>
      <w:r w:rsidRPr="001E753A">
        <w:t xml:space="preserve"> make unexpected respo</w:t>
      </w:r>
      <w:r>
        <w:t>nses, and then lowering the C</w:t>
      </w:r>
      <w:r>
        <w:sym w:font="Symbol" w:char="F0AE"/>
      </w:r>
      <w:r w:rsidRPr="001E753A">
        <w:t xml:space="preserve">M in the adjacent categories. Since the observed counts in the second category </w:t>
      </w:r>
      <w:r w:rsidR="003351F8">
        <w:t>were</w:t>
      </w:r>
      <w:r w:rsidRPr="001E753A">
        <w:t xml:space="preserve"> more than three times the counts in the first category, it </w:t>
      </w:r>
      <w:proofErr w:type="gramStart"/>
      <w:r w:rsidR="00C6784D">
        <w:t xml:space="preserve">seemed </w:t>
      </w:r>
      <w:r w:rsidRPr="001E753A">
        <w:t xml:space="preserve"> reasonable</w:t>
      </w:r>
      <w:proofErr w:type="gramEnd"/>
      <w:r w:rsidRPr="001E753A">
        <w:t xml:space="preserve"> </w:t>
      </w:r>
      <w:r w:rsidR="000C5A9A">
        <w:t xml:space="preserve">to assume </w:t>
      </w:r>
      <w:r w:rsidRPr="001E753A">
        <w:t>that a fraction of unexpected responses from category two to category one ha</w:t>
      </w:r>
      <w:r w:rsidR="000C5A9A">
        <w:t>s had</w:t>
      </w:r>
      <w:r w:rsidRPr="001E753A">
        <w:t xml:space="preserve"> more</w:t>
      </w:r>
      <w:r>
        <w:t xml:space="preserve"> effect on the category one C</w:t>
      </w:r>
      <w:r>
        <w:sym w:font="Symbol" w:char="F0AE"/>
      </w:r>
      <w:r w:rsidRPr="001E753A">
        <w:t>M than the same fraction of unexpected responses from category one to category two would have. This conclusion was also supported by the simul</w:t>
      </w:r>
      <w:r>
        <w:t>ation studies where the mean C</w:t>
      </w:r>
      <w:r>
        <w:sym w:font="Symbol" w:char="F0AE"/>
      </w:r>
      <w:r w:rsidRPr="001E753A">
        <w:t>M</w:t>
      </w:r>
      <w:r w:rsidR="00D16FB5">
        <w:t xml:space="preserve"> in the first category was 37.2</w:t>
      </w:r>
      <w:r w:rsidRPr="001E753A">
        <w:t xml:space="preserve">% (SD = 4.8). </w:t>
      </w:r>
    </w:p>
    <w:p w14:paraId="24587029" w14:textId="1B303622" w:rsidR="00424C85" w:rsidRPr="001E753A" w:rsidRDefault="00424C85" w:rsidP="00FE7D23">
      <w:pPr>
        <w:pStyle w:val="Newparagraph"/>
        <w:jc w:val="both"/>
      </w:pPr>
      <w:r w:rsidRPr="001E753A">
        <w:t xml:space="preserve">A similar result was found in the </w:t>
      </w:r>
      <w:r w:rsidR="00F476C4">
        <w:t>beliefs-instrument</w:t>
      </w:r>
      <w:r>
        <w:t>, where the C</w:t>
      </w:r>
      <w:r>
        <w:sym w:font="Symbol" w:char="F0AE"/>
      </w:r>
      <w:r w:rsidRPr="001E753A">
        <w:t>M in the fourth category was 33%. Again, the low value could be explained by the count distribution, as there were three times as many responses to category three as to category four, and the beli</w:t>
      </w:r>
      <w:r>
        <w:t>efs-simulations showed low C</w:t>
      </w:r>
      <w:r>
        <w:sym w:font="Symbol" w:char="F0AE"/>
      </w:r>
      <w:r w:rsidRPr="001E753A">
        <w:t>M in the same category (mean</w:t>
      </w:r>
      <w:r w:rsidR="00D16FB5">
        <w:t xml:space="preserve"> = 38.3</w:t>
      </w:r>
      <w:r w:rsidRPr="001E753A">
        <w:t xml:space="preserve">%, SD = 3.4). </w:t>
      </w:r>
    </w:p>
    <w:p w14:paraId="6FD3884B" w14:textId="2F6077B3" w:rsidR="00424C85" w:rsidRPr="001E753A" w:rsidRDefault="00424C85" w:rsidP="00FE7D23">
      <w:pPr>
        <w:pStyle w:val="Newparagraph"/>
        <w:jc w:val="both"/>
      </w:pPr>
      <w:r w:rsidRPr="001E753A">
        <w:rPr>
          <w:noProof/>
        </w:rPr>
        <w:t>As Wolfe an</w:t>
      </w:r>
      <w:r>
        <w:rPr>
          <w:noProof/>
        </w:rPr>
        <w:t xml:space="preserve">d Smith Jr. (2006, </w:t>
      </w:r>
      <w:r w:rsidRPr="001E753A">
        <w:rPr>
          <w:noProof/>
        </w:rPr>
        <w:t>210)</w:t>
      </w:r>
      <w:r>
        <w:rPr>
          <w:noProof/>
        </w:rPr>
        <w:t xml:space="preserve"> suggested</w:t>
      </w:r>
      <w:r w:rsidRPr="001E753A">
        <w:rPr>
          <w:noProof/>
        </w:rPr>
        <w:t>,</w:t>
      </w:r>
      <w:r w:rsidRPr="001E753A">
        <w:t xml:space="preserve"> several post</w:t>
      </w:r>
      <w:r w:rsidR="006B6489">
        <w:t>-</w:t>
      </w:r>
      <w:r w:rsidRPr="001E753A">
        <w:t xml:space="preserve">hoc categorisations were tested, and a summary is provided in Table 2. In addition to the original categorisation (1234), the results from collapsing the first two categories (1123), collapsing the second and third category (1223), and collapsing the last two categories (1233) were compared. In effect, the lack of a category to measure coherence in the original categorisation could be resolved </w:t>
      </w:r>
      <w:r w:rsidR="006B6489">
        <w:t>by</w:t>
      </w:r>
      <w:r w:rsidRPr="001E753A">
        <w:t xml:space="preserve"> collapsing the first and the second category in the practice-instrument, and collapsing the third and fourth category in the </w:t>
      </w:r>
      <w:r w:rsidR="00F476C4">
        <w:t>beliefs-instrument</w:t>
      </w:r>
      <w:r w:rsidRPr="001E753A">
        <w:t xml:space="preserve">. In both cases, the quality of the instruments (e.g. person reliability) remained largely identical. Moreover, the correlations between </w:t>
      </w:r>
      <w:r w:rsidRPr="001E753A">
        <w:lastRenderedPageBreak/>
        <w:t>measures on the original categorisations and the collapsed categorisations were</w:t>
      </w:r>
      <w:r w:rsidR="006B6489">
        <w:t xml:space="preserve"> </w:t>
      </w:r>
      <w:r w:rsidR="00F476C4">
        <w:rPr>
          <w:i/>
        </w:rPr>
        <w:t xml:space="preserve">r </w:t>
      </w:r>
      <w:r w:rsidR="00F476C4">
        <w:t xml:space="preserve">= </w:t>
      </w:r>
      <w:r w:rsidRPr="001E753A">
        <w:t>.98 (</w:t>
      </w:r>
      <w:r w:rsidR="00F476C4">
        <w:t>practice-instrument</w:t>
      </w:r>
      <w:r w:rsidRPr="001E753A">
        <w:t xml:space="preserve">) and </w:t>
      </w:r>
      <w:r w:rsidR="00F476C4">
        <w:rPr>
          <w:i/>
        </w:rPr>
        <w:t xml:space="preserve">r </w:t>
      </w:r>
      <w:r w:rsidR="00F476C4">
        <w:t xml:space="preserve">= </w:t>
      </w:r>
      <w:r w:rsidRPr="001E753A">
        <w:t>.96 (</w:t>
      </w:r>
      <w:r w:rsidR="00F476C4">
        <w:t>beliefs-instrument</w:t>
      </w:r>
      <w:r w:rsidRPr="001E753A">
        <w:t>)</w:t>
      </w:r>
      <w:r w:rsidR="006B6489">
        <w:t xml:space="preserve"> respectively</w:t>
      </w:r>
      <w:r w:rsidRPr="001E753A">
        <w:t xml:space="preserve">, providing </w:t>
      </w:r>
      <w:r w:rsidR="00F475E3">
        <w:t>few arguments</w:t>
      </w:r>
      <w:r w:rsidRPr="001E753A">
        <w:t xml:space="preserve"> </w:t>
      </w:r>
      <w:r w:rsidR="00BC4EB2">
        <w:t>for</w:t>
      </w:r>
      <w:r w:rsidRPr="001E753A">
        <w:t xml:space="preserve"> collaps</w:t>
      </w:r>
      <w:r w:rsidR="00BC4EB2">
        <w:t>ing</w:t>
      </w:r>
      <w:r w:rsidRPr="001E753A">
        <w:t xml:space="preserve"> response categories. </w:t>
      </w:r>
    </w:p>
    <w:p w14:paraId="21209651" w14:textId="28EDCC06" w:rsidR="00424C85" w:rsidRPr="001E753A" w:rsidRDefault="00424C85" w:rsidP="00FE7D23">
      <w:pPr>
        <w:pStyle w:val="Newparagraph"/>
        <w:jc w:val="both"/>
      </w:pPr>
      <w:r w:rsidRPr="001E753A">
        <w:t xml:space="preserve">To summarise, the rating scales in both instruments were functioning productively. Although a lack of category to measure coherence could </w:t>
      </w:r>
      <w:r w:rsidR="00804652">
        <w:t xml:space="preserve">have </w:t>
      </w:r>
      <w:r w:rsidRPr="001E753A">
        <w:t>be</w:t>
      </w:r>
      <w:r w:rsidR="00804652">
        <w:t>en</w:t>
      </w:r>
      <w:r w:rsidRPr="001E753A">
        <w:t xml:space="preserve"> resolved if categories were collapsed, this would not </w:t>
      </w:r>
      <w:r w:rsidR="00804652">
        <w:t xml:space="preserve">have </w:t>
      </w:r>
      <w:r w:rsidRPr="001E753A">
        <w:t>improve</w:t>
      </w:r>
      <w:r w:rsidR="00804652">
        <w:t>d</w:t>
      </w:r>
      <w:r w:rsidRPr="001E753A">
        <w:t xml:space="preserve"> the quality of the instruments. Nor would it have </w:t>
      </w:r>
      <w:r w:rsidR="00804652">
        <w:t xml:space="preserve">had </w:t>
      </w:r>
      <w:r w:rsidRPr="001E753A">
        <w:t>any practical consequences o</w:t>
      </w:r>
      <w:r w:rsidR="00804652">
        <w:t>n</w:t>
      </w:r>
      <w:r w:rsidRPr="001E753A">
        <w:t xml:space="preserve"> persons’ measures. Thus, it was de</w:t>
      </w:r>
      <w:r>
        <w:t>cided to leave the lack of C</w:t>
      </w:r>
      <w:r>
        <w:sym w:font="Symbol" w:char="F0AE"/>
      </w:r>
      <w:r w:rsidRPr="001E753A">
        <w:t xml:space="preserve">M coherence as a suggested area for improvement. </w:t>
      </w:r>
      <w:r w:rsidR="00E919C3">
        <w:t xml:space="preserve">In particular, we suggest that </w:t>
      </w:r>
      <w:r w:rsidRPr="001E753A">
        <w:t>future studies should consider using a sample with greater variance</w:t>
      </w:r>
      <w:r w:rsidR="00573FCC">
        <w:t>, as our</w:t>
      </w:r>
      <w:r w:rsidRPr="001E753A">
        <w:t xml:space="preserve"> study indicates </w:t>
      </w:r>
      <w:r>
        <w:t xml:space="preserve">that the sample should include </w:t>
      </w:r>
      <w:r w:rsidRPr="001E753A">
        <w:t xml:space="preserve">more persons with high values on the beliefs-instrument, and more persons with low values on the practice-instrument.   </w:t>
      </w:r>
    </w:p>
    <w:p w14:paraId="7A3358A5" w14:textId="77777777" w:rsidR="00424C85" w:rsidRDefault="00424C85" w:rsidP="00BA5519">
      <w:pPr>
        <w:pStyle w:val="Newparagraph"/>
      </w:pPr>
    </w:p>
    <w:p w14:paraId="1EDCAD20" w14:textId="77777777" w:rsidR="00424C85" w:rsidRDefault="00424C85" w:rsidP="00BA5519">
      <w:pPr>
        <w:pStyle w:val="Newparagraph"/>
        <w:jc w:val="center"/>
      </w:pPr>
      <w:r>
        <w:t>[Table 2a about here]</w:t>
      </w:r>
    </w:p>
    <w:p w14:paraId="12EA6FC8" w14:textId="77777777" w:rsidR="00424C85" w:rsidRDefault="00424C85" w:rsidP="00BA5519">
      <w:pPr>
        <w:pStyle w:val="Newparagraph"/>
        <w:jc w:val="center"/>
      </w:pPr>
      <w:r>
        <w:t>[Table 2b about here]</w:t>
      </w:r>
    </w:p>
    <w:p w14:paraId="46CF0640" w14:textId="77777777" w:rsidR="00424C85" w:rsidRDefault="00424C85" w:rsidP="00BA5519">
      <w:pPr>
        <w:pStyle w:val="Newparagraph"/>
      </w:pPr>
    </w:p>
    <w:p w14:paraId="0F2FA0BE" w14:textId="77777777" w:rsidR="00424C85" w:rsidRPr="001E753A" w:rsidRDefault="00424C85" w:rsidP="00BA5519">
      <w:pPr>
        <w:pStyle w:val="Overskrift2"/>
      </w:pPr>
      <w:r w:rsidRPr="001E753A">
        <w:t>Equating the instruments</w:t>
      </w:r>
    </w:p>
    <w:p w14:paraId="3136442F" w14:textId="083DA55E" w:rsidR="00424C85" w:rsidRPr="001E753A" w:rsidRDefault="00424C85" w:rsidP="00B85FE8">
      <w:pPr>
        <w:pStyle w:val="Paragraph"/>
        <w:jc w:val="both"/>
      </w:pPr>
      <w:r>
        <w:t>In the equati</w:t>
      </w:r>
      <w:r w:rsidRPr="00BE1082">
        <w:t>ng process, a pooled analysis was conducted, treating responses to each pair of pseudo-common item as two different responses to the same item. Subsequently, DIF analysis was used to assess if ‘beliefs-measures’ to item</w:t>
      </w:r>
      <w:r w:rsidR="00F47284" w:rsidRPr="00BE1082">
        <w:t>s</w:t>
      </w:r>
      <w:r w:rsidRPr="00BE1082">
        <w:t xml:space="preserve"> were significantly different from ‘practice-measures</w:t>
      </w:r>
      <w:r w:rsidR="00F47284" w:rsidRPr="00BE1082">
        <w:t>’ to</w:t>
      </w:r>
      <w:r w:rsidRPr="00BE1082">
        <w:t xml:space="preserve"> pseudo-common item</w:t>
      </w:r>
      <w:r w:rsidR="00F47284" w:rsidRPr="00BE1082">
        <w:t>s</w:t>
      </w:r>
      <w:r w:rsidR="00B01E68" w:rsidRPr="00BE1082">
        <w:t xml:space="preserve">. Measures were </w:t>
      </w:r>
      <w:r w:rsidR="00654A71" w:rsidRPr="00BE1082">
        <w:t>favoured</w:t>
      </w:r>
      <w:r w:rsidRPr="00BE1082">
        <w:t xml:space="preserve"> instead of raw scores in this analysis</w:t>
      </w:r>
      <w:r w:rsidR="00F974E4" w:rsidRPr="00BE1082">
        <w:t>,</w:t>
      </w:r>
      <w:r w:rsidRPr="00BE1082">
        <w:t xml:space="preserve"> since analysis of differences between raw scores would only be </w:t>
      </w:r>
      <w:r w:rsidR="000D4287" w:rsidRPr="00BE1082">
        <w:t>of use</w:t>
      </w:r>
      <w:r w:rsidRPr="00BE1082">
        <w:t xml:space="preserve"> if we assumed that persons’ practice distribution was the same as persons’ beliefs distribution. Specifically, since the difference betwee</w:t>
      </w:r>
      <w:r w:rsidR="00F47284" w:rsidRPr="00BE1082">
        <w:t>n persons’ practice (mean = 2.85, SD = 1.36</w:t>
      </w:r>
      <w:r w:rsidRPr="00BE1082">
        <w:t>) and b</w:t>
      </w:r>
      <w:r w:rsidR="00F47284" w:rsidRPr="00BE1082">
        <w:t>eliefs (mean = 1.37, SD = 1.24)</w:t>
      </w:r>
      <w:r w:rsidRPr="00BE1082">
        <w:t xml:space="preserve"> rejected this assumption</w:t>
      </w:r>
      <w:r w:rsidR="00F47284" w:rsidRPr="00BE1082">
        <w:t xml:space="preserve"> (see Figure 4)</w:t>
      </w:r>
      <w:r w:rsidRPr="00BE1082">
        <w:t xml:space="preserve">, the expected raw score on each </w:t>
      </w:r>
      <w:r w:rsidRPr="00BE1082">
        <w:lastRenderedPageBreak/>
        <w:t xml:space="preserve">beliefs-item </w:t>
      </w:r>
      <w:r w:rsidR="00F974E4" w:rsidRPr="00BE1082">
        <w:t>wa</w:t>
      </w:r>
      <w:r w:rsidRPr="00BE1082">
        <w:t>s lower than the expected raw score for the pseudo-common practice-item</w:t>
      </w:r>
      <w:r w:rsidR="00F47284" w:rsidRPr="00BE1082">
        <w:t xml:space="preserve"> when data fit</w:t>
      </w:r>
      <w:r w:rsidR="00F974E4" w:rsidRPr="00BE1082">
        <w:t>ted</w:t>
      </w:r>
      <w:r w:rsidR="00F47284" w:rsidRPr="00BE1082">
        <w:t xml:space="preserve"> the model</w:t>
      </w:r>
      <w:r w:rsidRPr="00BE1082">
        <w:t xml:space="preserve">. Finally, person measures from the pooled analysis were correlated with measures from the separate practice </w:t>
      </w:r>
      <w:r w:rsidRPr="001E753A">
        <w:t xml:space="preserve">and beliefs analyses to reveal if the DIFs </w:t>
      </w:r>
      <w:r w:rsidR="00F974E4">
        <w:t xml:space="preserve">have </w:t>
      </w:r>
      <w:r w:rsidRPr="001E753A">
        <w:t xml:space="preserve">had any practical consequences. </w:t>
      </w:r>
    </w:p>
    <w:p w14:paraId="09E28A88" w14:textId="29BECCF6" w:rsidR="00424C85" w:rsidRPr="001E753A" w:rsidRDefault="00424C85" w:rsidP="00B85FE8">
      <w:pPr>
        <w:pStyle w:val="Newparagraph"/>
        <w:jc w:val="both"/>
      </w:pPr>
      <w:r w:rsidRPr="001E753A">
        <w:t xml:space="preserve">In </w:t>
      </w:r>
      <w:r w:rsidRPr="00BE1082">
        <w:t>general, the fit statistics of the items in the pooled analysis showed</w:t>
      </w:r>
      <w:r w:rsidR="00AA01DA" w:rsidRPr="00BE1082">
        <w:t xml:space="preserve"> acceptable fit </w:t>
      </w:r>
      <w:r w:rsidR="00EA36E8" w:rsidRPr="00BE1082">
        <w:t>with</w:t>
      </w:r>
      <w:r w:rsidR="00AA01DA" w:rsidRPr="00BE1082">
        <w:t xml:space="preserve"> most items. Pooled i</w:t>
      </w:r>
      <w:r w:rsidRPr="00BE1082">
        <w:t>tem</w:t>
      </w:r>
      <w:r w:rsidRPr="001E753A">
        <w:t xml:space="preserve"> 15</w:t>
      </w:r>
      <w:r>
        <w:t xml:space="preserve"> </w:t>
      </w:r>
      <w:r w:rsidRPr="001E753A">
        <w:t xml:space="preserve">seemed to be the most </w:t>
      </w:r>
      <w:r w:rsidR="005E6AD3">
        <w:t>‘</w:t>
      </w:r>
      <w:r w:rsidRPr="001E753A">
        <w:t>under-fitting</w:t>
      </w:r>
      <w:r w:rsidR="005E6AD3">
        <w:t>’</w:t>
      </w:r>
      <w:r w:rsidRPr="001E753A">
        <w:t xml:space="preserve">, </w:t>
      </w:r>
      <w:r w:rsidR="00EA36E8">
        <w:t>and</w:t>
      </w:r>
      <w:r w:rsidRPr="001E753A">
        <w:t xml:space="preserve"> the practical consequences of removing it were negligible. Moreover, the only item with DIF between ‘beliefs-responses’ and ‘practice-responses’ was item 6 (</w:t>
      </w:r>
      <w:r>
        <w:t xml:space="preserve">.86 logits easier as a ‘beliefs </w:t>
      </w:r>
      <w:r w:rsidRPr="001E753A">
        <w:t>item’ than a ‘practice</w:t>
      </w:r>
      <w:r>
        <w:t xml:space="preserve"> </w:t>
      </w:r>
      <w:r w:rsidRPr="001E753A">
        <w:t xml:space="preserve">item’). However, anchoring this item to 1.34 (beliefs-calibrated) or 2.20 (practice-calibrated) did not have any practical consequences on person measures. As such, it was decided to keep the item. Bearing in mind that item 6 also had some misfit in the beliefs-instrument, this item might, however, be an area for improvement in future developments.  </w:t>
      </w:r>
    </w:p>
    <w:p w14:paraId="52E93382" w14:textId="5C293223" w:rsidR="00424C85" w:rsidRDefault="00424C85" w:rsidP="00B85FE8">
      <w:pPr>
        <w:pStyle w:val="Newparagraph"/>
        <w:jc w:val="both"/>
      </w:pPr>
      <w:r w:rsidRPr="001E753A">
        <w:t>Finally, the correlation between pe</w:t>
      </w:r>
      <w:r w:rsidR="000D4287">
        <w:t>rsons’ measures was close to 1</w:t>
      </w:r>
      <w:r w:rsidRPr="001E753A">
        <w:t xml:space="preserve"> when the pooled calibration was used versus the separate analyses. Figure 5 shows </w:t>
      </w:r>
      <w:r w:rsidRPr="00BE1082">
        <w:t>the correlation (</w:t>
      </w:r>
      <w:r w:rsidRPr="00BE1082">
        <w:rPr>
          <w:i/>
        </w:rPr>
        <w:t>r</w:t>
      </w:r>
      <w:r w:rsidRPr="00BE1082">
        <w:t xml:space="preserve"> = 1.00)</w:t>
      </w:r>
      <w:r w:rsidRPr="00B83F65">
        <w:rPr>
          <w:color w:val="FF0000"/>
        </w:rPr>
        <w:t xml:space="preserve"> </w:t>
      </w:r>
      <w:r w:rsidRPr="001E753A">
        <w:t xml:space="preserve">between the pooled- and the beliefs-calibrated instruments. </w:t>
      </w:r>
      <w:r w:rsidR="000A784F">
        <w:t>Hence</w:t>
      </w:r>
      <w:r w:rsidRPr="001E753A">
        <w:t xml:space="preserve">, it </w:t>
      </w:r>
      <w:r w:rsidR="000A784F">
        <w:t>would have had</w:t>
      </w:r>
      <w:r w:rsidRPr="001E753A">
        <w:t xml:space="preserve"> minor effects on persons’ measures if, say item 9, </w:t>
      </w:r>
      <w:r w:rsidR="000A784F">
        <w:t>had been</w:t>
      </w:r>
      <w:r w:rsidRPr="001E753A">
        <w:t xml:space="preserve"> set to 1.68 (beliefs-calibrated)</w:t>
      </w:r>
      <w:r w:rsidR="000A784F">
        <w:t>,</w:t>
      </w:r>
      <w:r w:rsidRPr="001E753A">
        <w:t xml:space="preserve"> or 1.84 (pooled-calibrated). The same conclusion was </w:t>
      </w:r>
      <w:r w:rsidR="000D4287">
        <w:t>drawn</w:t>
      </w:r>
      <w:r w:rsidRPr="001E753A">
        <w:t xml:space="preserve"> when practice-calibrated items were correlated with pooled-calibrated items. Thus, if beliefs and practices </w:t>
      </w:r>
      <w:r w:rsidR="00DD2287">
        <w:t>are</w:t>
      </w:r>
      <w:r w:rsidRPr="001E753A">
        <w:t xml:space="preserve"> to be compared, we propose the use of pooled calibrated measures, since equal response patterns on both instruments </w:t>
      </w:r>
      <w:r w:rsidR="001C3CF3">
        <w:t xml:space="preserve">would </w:t>
      </w:r>
      <w:r w:rsidRPr="001E753A">
        <w:t xml:space="preserve">lead to equal measures. However, we recognise that arguments can be made to avoid pooled calibrated measures (e.g. strictly speaking, a beliefs statement is not the same as a practice statement). In any case, proving little or minor DIF between the practice version and beliefs version should leave little practical consequences of either choice. To illustrate, the mean absolute difference between persons’ beliefs measures using pooled-calibrated measures or beliefs-calibrated measures was .07. As a consequence, </w:t>
      </w:r>
      <w:r w:rsidR="001C3CF3">
        <w:t xml:space="preserve">we propose </w:t>
      </w:r>
      <w:r w:rsidR="001C3CF3">
        <w:lastRenderedPageBreak/>
        <w:t xml:space="preserve">that </w:t>
      </w:r>
      <w:r w:rsidRPr="001E753A">
        <w:t xml:space="preserve">when persons show similar response patterns on both the practice and </w:t>
      </w:r>
      <w:r w:rsidR="00F476C4">
        <w:t>beliefs-instrument</w:t>
      </w:r>
      <w:r w:rsidRPr="001E753A">
        <w:t>s, they will get either equal (in the pooled case) or really close (in the separate case) beliefs and practice measures.</w:t>
      </w:r>
    </w:p>
    <w:p w14:paraId="16B2E13E" w14:textId="77777777" w:rsidR="00424C85" w:rsidRDefault="00424C85" w:rsidP="00BA5519">
      <w:pPr>
        <w:pStyle w:val="Newparagraph"/>
      </w:pPr>
    </w:p>
    <w:p w14:paraId="6777C4E3" w14:textId="77777777" w:rsidR="00424C85" w:rsidRDefault="00424C85" w:rsidP="00BA5519">
      <w:pPr>
        <w:pStyle w:val="Newparagraph"/>
        <w:jc w:val="center"/>
      </w:pPr>
      <w:r>
        <w:t>[Table 3 about here]</w:t>
      </w:r>
    </w:p>
    <w:p w14:paraId="78C92F99" w14:textId="77777777" w:rsidR="00424C85" w:rsidRDefault="00424C85" w:rsidP="00BA5519">
      <w:pPr>
        <w:pStyle w:val="Newparagraph"/>
        <w:jc w:val="center"/>
      </w:pPr>
      <w:r>
        <w:t>[Figure 5 about here]</w:t>
      </w:r>
    </w:p>
    <w:p w14:paraId="5933F971" w14:textId="77777777" w:rsidR="00424C85" w:rsidRDefault="00424C85" w:rsidP="00BA5519">
      <w:pPr>
        <w:pStyle w:val="Newparagraph"/>
        <w:jc w:val="center"/>
      </w:pPr>
    </w:p>
    <w:p w14:paraId="39F53D71" w14:textId="6E533B9F" w:rsidR="00424C85" w:rsidRDefault="00424C85" w:rsidP="00A9468A">
      <w:pPr>
        <w:pStyle w:val="Newparagraph"/>
        <w:jc w:val="both"/>
        <w:rPr>
          <w:noProof/>
        </w:rPr>
      </w:pPr>
      <w:r w:rsidRPr="001E753A">
        <w:t xml:space="preserve">The </w:t>
      </w:r>
      <w:r w:rsidRPr="001E753A">
        <w:rPr>
          <w:i/>
        </w:rPr>
        <w:t>interpretability</w:t>
      </w:r>
      <w:r w:rsidRPr="001E753A">
        <w:t xml:space="preserve"> aspect of validity is the degree to which qualitative meaning can be assigned to quantitative measures </w:t>
      </w:r>
      <w:r>
        <w:rPr>
          <w:noProof/>
        </w:rPr>
        <w:t xml:space="preserve">(Wolfe and Smith Jr. 2006, </w:t>
      </w:r>
      <w:r w:rsidRPr="001E753A">
        <w:rPr>
          <w:noProof/>
        </w:rPr>
        <w:t>227)</w:t>
      </w:r>
      <w:r w:rsidRPr="001E753A">
        <w:t xml:space="preserve">. </w:t>
      </w:r>
      <w:r w:rsidR="009A298B">
        <w:t>E</w:t>
      </w:r>
      <w:r w:rsidRPr="001E753A">
        <w:t>xcerpts from interviewed cases are presented in Figure 6. Transcripts of the interviews were coded, based on the items in the instrument. The purpose of presenting these excerpts is merely to provide the reader with some statements that one can expect from interviewing persons with different measures along the variable. Moreover, nine teacher educators from the same institution were asked to respond to the beliefs-test. Other than providing construct validity (as teacher educators</w:t>
      </w:r>
      <w:r>
        <w:t xml:space="preserve">, </w:t>
      </w:r>
      <w:r w:rsidR="009A298B">
        <w:t xml:space="preserve">so we </w:t>
      </w:r>
      <w:r>
        <w:t>expected,</w:t>
      </w:r>
      <w:r w:rsidRPr="001E753A">
        <w:t xml:space="preserve"> were expressing significantly </w:t>
      </w:r>
      <w:r>
        <w:t>less teacher</w:t>
      </w:r>
      <w:r w:rsidRPr="001E753A">
        <w:t xml:space="preserve">-centred beliefs than the students), the instrument was rescaled, so that the mean of the teacher educators’ measures was set to zero. The rescaling was used for qualitative interpretation: values close to zero could be </w:t>
      </w:r>
      <w:r w:rsidR="009A298B">
        <w:t xml:space="preserve">regarded </w:t>
      </w:r>
      <w:r w:rsidRPr="001E753A">
        <w:t xml:space="preserve">as in agreement with the values of the educational institution. </w:t>
      </w:r>
    </w:p>
    <w:p w14:paraId="1042E647" w14:textId="77777777" w:rsidR="00424C85" w:rsidRDefault="00424C85" w:rsidP="00BA5519">
      <w:pPr>
        <w:pStyle w:val="Newparagraph"/>
      </w:pPr>
    </w:p>
    <w:p w14:paraId="7188FD8B" w14:textId="77777777" w:rsidR="00424C85" w:rsidRDefault="00424C85" w:rsidP="00BA5519">
      <w:pPr>
        <w:pStyle w:val="Newparagraph"/>
        <w:jc w:val="center"/>
      </w:pPr>
      <w:r>
        <w:t>[Figure 6 about here]</w:t>
      </w:r>
    </w:p>
    <w:p w14:paraId="2F73AFD7" w14:textId="77777777" w:rsidR="00424C85" w:rsidRPr="001E753A" w:rsidRDefault="00424C85" w:rsidP="00BA5519">
      <w:pPr>
        <w:pStyle w:val="Overskrift1"/>
      </w:pPr>
      <w:r w:rsidRPr="001E753A">
        <w:t>CONCLUSION</w:t>
      </w:r>
    </w:p>
    <w:p w14:paraId="042D85C7" w14:textId="4767D997" w:rsidR="00424C85" w:rsidRPr="001E753A" w:rsidRDefault="00424C85" w:rsidP="00A9468A">
      <w:pPr>
        <w:pStyle w:val="Paragraph"/>
        <w:jc w:val="both"/>
      </w:pPr>
      <w:r w:rsidRPr="001E753A">
        <w:t xml:space="preserve">The two instruments presented in this article </w:t>
      </w:r>
      <w:r w:rsidR="00725143">
        <w:t>we</w:t>
      </w:r>
      <w:r w:rsidRPr="001E753A">
        <w:t xml:space="preserve">re </w:t>
      </w:r>
      <w:r w:rsidR="00725143">
        <w:t xml:space="preserve">useful and </w:t>
      </w:r>
      <w:r w:rsidRPr="001E753A">
        <w:t>productive for measuri</w:t>
      </w:r>
      <w:r w:rsidR="003351F8">
        <w:t>ng the level of teacher-</w:t>
      </w:r>
      <w:r w:rsidR="00D014AF">
        <w:t>centred</w:t>
      </w:r>
      <w:r w:rsidR="00CA7049">
        <w:t>ness</w:t>
      </w:r>
      <w:r w:rsidRPr="001E753A">
        <w:t xml:space="preserve"> </w:t>
      </w:r>
      <w:r w:rsidR="00A9468A">
        <w:t xml:space="preserve">in </w:t>
      </w:r>
      <w:r w:rsidRPr="001E753A">
        <w:t xml:space="preserve">student teachers’ practices and beliefs </w:t>
      </w:r>
      <w:r w:rsidR="00725143">
        <w:t>with</w:t>
      </w:r>
      <w:r w:rsidRPr="001E753A">
        <w:t xml:space="preserve"> </w:t>
      </w:r>
      <w:r w:rsidR="00725143">
        <w:t xml:space="preserve">respect </w:t>
      </w:r>
      <w:r w:rsidRPr="001E753A">
        <w:t>to teaching mathematics</w:t>
      </w:r>
      <w:r>
        <w:t>.</w:t>
      </w:r>
      <w:r w:rsidRPr="001E753A">
        <w:t xml:space="preserve"> Moreover, in </w:t>
      </w:r>
      <w:r w:rsidR="00D42E9A">
        <w:t>the</w:t>
      </w:r>
      <w:r w:rsidRPr="001E753A">
        <w:t xml:space="preserve"> Norwegian context most items stayed invariant when they were translated from ‘practice’ to ‘beliefs’, which ma</w:t>
      </w:r>
      <w:r w:rsidR="00CE3E57">
        <w:t>de</w:t>
      </w:r>
      <w:r w:rsidRPr="001E753A">
        <w:t xml:space="preserve"> it possible to assess the relationship </w:t>
      </w:r>
      <w:r w:rsidRPr="001E753A">
        <w:lastRenderedPageBreak/>
        <w:t xml:space="preserve">between beliefs and practices directly (e.g. higher measures on the </w:t>
      </w:r>
      <w:r w:rsidR="00F476C4">
        <w:t>practice-instrument</w:t>
      </w:r>
      <w:r w:rsidRPr="001E753A">
        <w:t xml:space="preserve"> than on the </w:t>
      </w:r>
      <w:r w:rsidR="00F476C4">
        <w:t>beliefs-instrument</w:t>
      </w:r>
      <w:r w:rsidRPr="001E753A">
        <w:t xml:space="preserve"> lead to the conclusion that ‘p</w:t>
      </w:r>
      <w:r w:rsidR="003351F8">
        <w:t xml:space="preserve">ractice </w:t>
      </w:r>
      <w:r w:rsidR="00CE3E57">
        <w:t>wa</w:t>
      </w:r>
      <w:r w:rsidR="003351F8">
        <w:t>s more teacher-</w:t>
      </w:r>
      <w:r w:rsidR="003351F8" w:rsidRPr="00BE1082">
        <w:t>centred</w:t>
      </w:r>
      <w:r w:rsidRPr="00BE1082">
        <w:t xml:space="preserve"> than beliefs’). In other contexts, however, the items might not be invariant. For instance, implicit or explicit rules are likely to affect the measure of items. Thus</w:t>
      </w:r>
      <w:r w:rsidRPr="001E753A">
        <w:t xml:space="preserve">, we propose that DIF analysis should be conducted in each new context before the instruments are used together. </w:t>
      </w:r>
    </w:p>
    <w:p w14:paraId="6171DF62" w14:textId="3BDC0F92" w:rsidR="00424C85" w:rsidRPr="00BE1082" w:rsidRDefault="00424C85" w:rsidP="00A9468A">
      <w:pPr>
        <w:pStyle w:val="Newparagraph"/>
        <w:jc w:val="both"/>
      </w:pPr>
      <w:r w:rsidRPr="001E753A">
        <w:t xml:space="preserve">Further improvements to the instrument should </w:t>
      </w:r>
      <w:r w:rsidR="00636F05">
        <w:t xml:space="preserve">be </w:t>
      </w:r>
      <w:r w:rsidRPr="001E753A">
        <w:t>consider</w:t>
      </w:r>
      <w:r w:rsidR="00636F05">
        <w:t>ed, in particular the following</w:t>
      </w:r>
      <w:r w:rsidRPr="001E753A">
        <w:t xml:space="preserve">: </w:t>
      </w:r>
      <w:r w:rsidR="00636F05">
        <w:t>(</w:t>
      </w:r>
      <w:r w:rsidRPr="001E753A">
        <w:t xml:space="preserve">i) a greater variance in the person distribution; </w:t>
      </w:r>
      <w:r w:rsidR="00636F05">
        <w:t>(</w:t>
      </w:r>
      <w:r w:rsidRPr="001E753A">
        <w:t>ii) item 12, as it</w:t>
      </w:r>
      <w:r w:rsidR="00636F05">
        <w:t xml:space="preserve"> (</w:t>
      </w:r>
      <w:r w:rsidRPr="001E753A">
        <w:t>in addition to DIF</w:t>
      </w:r>
      <w:r w:rsidR="00636F05">
        <w:t>)</w:t>
      </w:r>
      <w:r w:rsidRPr="001E753A">
        <w:t xml:space="preserve"> showed under-fit both in fit statistics and the ICC; and </w:t>
      </w:r>
      <w:r w:rsidR="00636F05">
        <w:t>(</w:t>
      </w:r>
      <w:r w:rsidRPr="001E753A">
        <w:t xml:space="preserve">iii) more items, particularly at the extreme teacher-centred end of the </w:t>
      </w:r>
      <w:r w:rsidRPr="00BE1082">
        <w:t xml:space="preserve">variable. Moreover, since some response dependency </w:t>
      </w:r>
      <w:r w:rsidR="00636F05" w:rsidRPr="00BE1082">
        <w:t>h</w:t>
      </w:r>
      <w:r w:rsidRPr="00BE1082">
        <w:t>as</w:t>
      </w:r>
      <w:r w:rsidR="00636F05" w:rsidRPr="00BE1082">
        <w:t xml:space="preserve"> been</w:t>
      </w:r>
      <w:r w:rsidRPr="00BE1082">
        <w:t xml:space="preserve"> detected between instruments, research that uses both instruments should consider examining person statistics for indicators of response dependency, </w:t>
      </w:r>
      <w:r w:rsidR="00636F05" w:rsidRPr="00BE1082">
        <w:t xml:space="preserve">in addition to </w:t>
      </w:r>
      <w:r w:rsidRPr="00BE1082">
        <w:t>consider</w:t>
      </w:r>
      <w:r w:rsidR="00636F05" w:rsidRPr="00BE1082">
        <w:t>ations</w:t>
      </w:r>
      <w:r w:rsidRPr="00BE1082">
        <w:t xml:space="preserve"> whether it is reasonable to remove cases that are</w:t>
      </w:r>
      <w:r w:rsidR="00AA01DA" w:rsidRPr="00BE1082">
        <w:t xml:space="preserve"> highly</w:t>
      </w:r>
      <w:r w:rsidRPr="00BE1082">
        <w:t xml:space="preserve"> biased </w:t>
      </w:r>
      <w:r w:rsidR="000D4287" w:rsidRPr="00BE1082">
        <w:t>in regard to</w:t>
      </w:r>
      <w:r w:rsidRPr="00BE1082">
        <w:t xml:space="preserve"> response dependency from the data set.  </w:t>
      </w:r>
    </w:p>
    <w:p w14:paraId="6893A65D" w14:textId="5FED79ED" w:rsidR="00424C85" w:rsidRPr="00BE1082" w:rsidRDefault="00424C85" w:rsidP="00A9468A">
      <w:pPr>
        <w:pStyle w:val="Newparagraph"/>
        <w:jc w:val="both"/>
      </w:pPr>
      <w:r w:rsidRPr="00BE1082">
        <w:t xml:space="preserve">Many instruments exist that categorise or measure teachers’ practices and beliefs, some of </w:t>
      </w:r>
      <w:r w:rsidR="000D4287" w:rsidRPr="00BE1082">
        <w:t>which</w:t>
      </w:r>
      <w:r w:rsidRPr="00BE1082">
        <w:t xml:space="preserve"> have been discussed in this paper. However, the main argument in this paper has been that measurable differences between practice and beliefs (i.e. to say that one is more/less than the other) can only be tested if both are measured on the same scale. Our conclusion is that, although practice and beliefs are different construct</w:t>
      </w:r>
      <w:r w:rsidR="003351F8" w:rsidRPr="00BE1082">
        <w:t>s</w:t>
      </w:r>
      <w:r w:rsidRPr="00BE1082">
        <w:t xml:space="preserve"> (like length/width or length/weight), they can be measured on</w:t>
      </w:r>
      <w:r w:rsidR="000D4287" w:rsidRPr="00BE1082">
        <w:t xml:space="preserve"> the same scale (like length/wi</w:t>
      </w:r>
      <w:r w:rsidRPr="00BE1082">
        <w:t>d</w:t>
      </w:r>
      <w:r w:rsidR="003351F8" w:rsidRPr="00BE1082">
        <w:t>t</w:t>
      </w:r>
      <w:r w:rsidRPr="00BE1082">
        <w:t xml:space="preserve">h, but unlike length/weight); and the unit that has been </w:t>
      </w:r>
      <w:r w:rsidR="003351F8" w:rsidRPr="00BE1082">
        <w:t>proposed is teacher-</w:t>
      </w:r>
      <w:r w:rsidR="00D014AF">
        <w:t>centred</w:t>
      </w:r>
      <w:r w:rsidR="00CA7049" w:rsidRPr="00BE1082">
        <w:t>ness</w:t>
      </w:r>
      <w:r w:rsidRPr="00BE1082">
        <w:t>.</w:t>
      </w:r>
    </w:p>
    <w:p w14:paraId="03622FFB" w14:textId="177E6EA7" w:rsidR="00424C85" w:rsidRDefault="00424C85" w:rsidP="00A9468A">
      <w:pPr>
        <w:pStyle w:val="Newparagraph"/>
        <w:jc w:val="both"/>
      </w:pPr>
      <w:r w:rsidRPr="001E753A">
        <w:t xml:space="preserve">Obviously, the instruments that are presented in this paper can be used separately. For instance, the practice-instrument can be used </w:t>
      </w:r>
      <w:r>
        <w:t xml:space="preserve">alone </w:t>
      </w:r>
      <w:r w:rsidRPr="001E753A">
        <w:t xml:space="preserve">to assess how certain </w:t>
      </w:r>
      <w:r w:rsidR="00A9468A">
        <w:t>educational</w:t>
      </w:r>
      <w:r w:rsidRPr="001E753A">
        <w:t xml:space="preserve">-programmes affect the teaching of mathematics, or as a screening tool for selecting </w:t>
      </w:r>
      <w:r w:rsidR="004D76F4">
        <w:t xml:space="preserve">particular </w:t>
      </w:r>
      <w:r w:rsidRPr="001E753A">
        <w:t xml:space="preserve">teachers </w:t>
      </w:r>
      <w:r w:rsidR="004D76F4">
        <w:t xml:space="preserve">from </w:t>
      </w:r>
      <w:r w:rsidRPr="001E753A">
        <w:t xml:space="preserve">a large sample (e.g. teachers with </w:t>
      </w:r>
      <w:r w:rsidR="005E6AD3">
        <w:t>‘</w:t>
      </w:r>
      <w:r w:rsidRPr="001E753A">
        <w:t>extreme measures</w:t>
      </w:r>
      <w:r w:rsidR="005E6AD3">
        <w:t>’</w:t>
      </w:r>
      <w:r w:rsidRPr="001E753A">
        <w:t xml:space="preserve"> </w:t>
      </w:r>
      <w:r w:rsidR="00366FA8">
        <w:t>in</w:t>
      </w:r>
      <w:r w:rsidRPr="001E753A">
        <w:t xml:space="preserve"> comparative studies</w:t>
      </w:r>
      <w:r w:rsidR="00366FA8">
        <w:t>;</w:t>
      </w:r>
      <w:r w:rsidRPr="001E753A">
        <w:t xml:space="preserve"> or teachers who seem to </w:t>
      </w:r>
      <w:r w:rsidR="004D76F4">
        <w:t xml:space="preserve">significantly </w:t>
      </w:r>
      <w:r w:rsidRPr="001E753A">
        <w:t xml:space="preserve">change </w:t>
      </w:r>
      <w:r w:rsidR="00366FA8">
        <w:t>over</w:t>
      </w:r>
      <w:r w:rsidRPr="001E753A">
        <w:t xml:space="preserve"> a</w:t>
      </w:r>
      <w:r w:rsidR="00366FA8">
        <w:t xml:space="preserve"> particular</w:t>
      </w:r>
      <w:r w:rsidRPr="001E753A">
        <w:t xml:space="preserve"> </w:t>
      </w:r>
      <w:r w:rsidR="00366FA8">
        <w:t xml:space="preserve">time </w:t>
      </w:r>
      <w:r w:rsidRPr="001E753A">
        <w:t xml:space="preserve">period). However, since </w:t>
      </w:r>
      <w:r w:rsidRPr="001E753A">
        <w:lastRenderedPageBreak/>
        <w:t xml:space="preserve">both instruments </w:t>
      </w:r>
      <w:r w:rsidR="00E15EAC">
        <w:t>we</w:t>
      </w:r>
      <w:r w:rsidRPr="001E753A">
        <w:t>re based on the same construct of teacher-</w:t>
      </w:r>
      <w:r w:rsidR="00D014AF">
        <w:t>centred</w:t>
      </w:r>
      <w:r w:rsidR="00CA7049">
        <w:t>ness</w:t>
      </w:r>
      <w:r w:rsidRPr="001E753A">
        <w:t xml:space="preserve">, we argue that the instruments </w:t>
      </w:r>
      <w:r w:rsidR="00E15EAC">
        <w:t xml:space="preserve">are also suited for </w:t>
      </w:r>
      <w:r w:rsidRPr="001E753A">
        <w:t>studies that include both practice and beliefs</w:t>
      </w:r>
      <w:r>
        <w:t>.</w:t>
      </w:r>
      <w:r w:rsidRPr="001E753A">
        <w:t xml:space="preserve"> </w:t>
      </w:r>
    </w:p>
    <w:p w14:paraId="36358F90" w14:textId="703E12E4" w:rsidR="00D16FB5" w:rsidRPr="00BE1082" w:rsidRDefault="00424C85" w:rsidP="00D16FB5">
      <w:pPr>
        <w:pStyle w:val="Newparagraph"/>
        <w:jc w:val="both"/>
      </w:pPr>
      <w:r w:rsidRPr="00BE1082">
        <w:t xml:space="preserve">Although we have argued that the instruments </w:t>
      </w:r>
      <w:r w:rsidR="00A9468A" w:rsidRPr="00BE1082">
        <w:t>a</w:t>
      </w:r>
      <w:r w:rsidRPr="00BE1082">
        <w:t>re tools for sample selection (e.g. for research on student teachers’ transition from higher education to the world of work), the instruments c</w:t>
      </w:r>
      <w:r w:rsidR="002E03D8" w:rsidRPr="00BE1082">
        <w:t>ould</w:t>
      </w:r>
      <w:r w:rsidRPr="00BE1082">
        <w:t xml:space="preserve"> also be used for other purposes. </w:t>
      </w:r>
      <w:r w:rsidR="002E03D8" w:rsidRPr="00BE1082">
        <w:t xml:space="preserve">In particular </w:t>
      </w:r>
      <w:r w:rsidRPr="00BE1082">
        <w:t xml:space="preserve">the relationship between beliefs and practice has long been </w:t>
      </w:r>
      <w:r w:rsidR="002E03D8" w:rsidRPr="00BE1082">
        <w:t xml:space="preserve">the </w:t>
      </w:r>
      <w:r w:rsidR="000D4287" w:rsidRPr="00BE1082">
        <w:t>subject of considerable debate</w:t>
      </w:r>
      <w:r w:rsidRPr="00BE1082">
        <w:t xml:space="preserve"> (e.g. Thompson 1992). </w:t>
      </w:r>
      <w:r w:rsidR="002E03D8" w:rsidRPr="00BE1082">
        <w:t xml:space="preserve">Hence, we claim that </w:t>
      </w:r>
      <w:r w:rsidRPr="00BE1082">
        <w:t>instruments that measure practice a</w:t>
      </w:r>
      <w:r w:rsidR="00BE1082">
        <w:t xml:space="preserve">nd belief on the same scale </w:t>
      </w:r>
      <w:r w:rsidRPr="00BE1082">
        <w:t>contribute to this discussion.</w:t>
      </w:r>
    </w:p>
    <w:p w14:paraId="290EA7F7" w14:textId="3FD151CB" w:rsidR="00424C85" w:rsidRDefault="00424C85" w:rsidP="00D16FB5">
      <w:pPr>
        <w:pStyle w:val="Newparagraph"/>
        <w:jc w:val="both"/>
      </w:pPr>
      <w:r w:rsidRPr="001E753A">
        <w:t xml:space="preserve">Ideally, the instruments should be recalibrated on each new context. We recognise, however, the practical shortcomings of this. In particular, if the research </w:t>
      </w:r>
      <w:r w:rsidR="00071A65">
        <w:t>wa</w:t>
      </w:r>
      <w:r w:rsidRPr="001E753A">
        <w:t>s mainly qualitative, researchers m</w:t>
      </w:r>
      <w:r w:rsidR="00071A65">
        <w:t>ight</w:t>
      </w:r>
      <w:r w:rsidRPr="001E753A">
        <w:t xml:space="preserve"> hesitate to go through the process of recalibrating the instruments. Nonetheless, research could benefit from measuring beliefs and/or practices. For instance, if researchers want</w:t>
      </w:r>
      <w:r w:rsidR="00071A65">
        <w:t>ed</w:t>
      </w:r>
      <w:r w:rsidRPr="001E753A">
        <w:t xml:space="preserve"> to know how some ordinary teachers change</w:t>
      </w:r>
      <w:r w:rsidR="00071A65">
        <w:t>d</w:t>
      </w:r>
      <w:r w:rsidRPr="001E753A">
        <w:t xml:space="preserve"> to become less teacher-centred, the instruments presented in this paper c</w:t>
      </w:r>
      <w:r w:rsidR="00212CAC">
        <w:t>ould</w:t>
      </w:r>
      <w:r w:rsidRPr="001E753A">
        <w:t xml:space="preserve"> be used as screening tools to search for those teachers that seem</w:t>
      </w:r>
      <w:r w:rsidR="00212CAC">
        <w:t>ed</w:t>
      </w:r>
      <w:r w:rsidRPr="001E753A">
        <w:t xml:space="preserve"> to change the most from a larger sample. Thus, we present a scoring key (from the pooled analysis) that can be used on both instruments in Appendix C.</w:t>
      </w:r>
    </w:p>
    <w:p w14:paraId="5C3BA15A" w14:textId="6C335FCB" w:rsidR="00D16FB5" w:rsidRPr="00D16FB5" w:rsidRDefault="00D16FB5" w:rsidP="00D16FB5">
      <w:pPr>
        <w:pStyle w:val="Overskrift2"/>
      </w:pPr>
      <w:r>
        <w:t>Limitations of the study</w:t>
      </w:r>
    </w:p>
    <w:p w14:paraId="324E83A0" w14:textId="77777777" w:rsidR="00424C85" w:rsidRDefault="00424C85" w:rsidP="00A9468A">
      <w:pPr>
        <w:pStyle w:val="Newparagraph"/>
        <w:jc w:val="both"/>
      </w:pPr>
      <w:r w:rsidRPr="001E753A">
        <w:t>Although we assert that our and similar instruments can be helpful tools, we acknowledge their limitations. In our case, we have reduced the practice and beliefs of teaching mathematics to one dimension. The reduction was performed due to the statistical benefits, but we emphasise that teaching is clearly multidimensional. Thus, persons with similar measures might, and are likely to have, different practices/beliefs, even when they are measured with reliable instruments. It can only be stated that they probably have some characteristics in common.</w:t>
      </w:r>
      <w:r>
        <w:t xml:space="preserve"> </w:t>
      </w:r>
    </w:p>
    <w:p w14:paraId="091C6340" w14:textId="77D0C5D7" w:rsidR="00424C85" w:rsidRPr="001E753A" w:rsidRDefault="00424C85" w:rsidP="00A9468A">
      <w:pPr>
        <w:pStyle w:val="Newparagraph"/>
        <w:jc w:val="both"/>
      </w:pPr>
      <w:r>
        <w:lastRenderedPageBreak/>
        <w:t xml:space="preserve">Moreover, </w:t>
      </w:r>
      <w:r>
        <w:rPr>
          <w:noProof/>
          <w:lang w:val="en-US" w:eastAsia="nb-NO"/>
        </w:rPr>
        <w:t>ontological</w:t>
      </w:r>
      <w:r w:rsidRPr="001E753A">
        <w:rPr>
          <w:noProof/>
          <w:lang w:val="en-US" w:eastAsia="nb-NO"/>
        </w:rPr>
        <w:t xml:space="preserve"> issues, such as </w:t>
      </w:r>
      <w:r>
        <w:rPr>
          <w:noProof/>
          <w:lang w:val="en-US" w:eastAsia="nb-NO"/>
        </w:rPr>
        <w:t>the nature of beliefs</w:t>
      </w:r>
      <w:r w:rsidRPr="001E753A">
        <w:rPr>
          <w:noProof/>
          <w:lang w:val="en-US" w:eastAsia="nb-NO"/>
        </w:rPr>
        <w:t xml:space="preserve">, </w:t>
      </w:r>
      <w:r>
        <w:rPr>
          <w:noProof/>
          <w:lang w:val="en-US" w:eastAsia="nb-NO"/>
        </w:rPr>
        <w:t>have</w:t>
      </w:r>
      <w:r w:rsidRPr="001E753A">
        <w:rPr>
          <w:noProof/>
          <w:lang w:val="en-US" w:eastAsia="nb-NO"/>
        </w:rPr>
        <w:t xml:space="preserve"> not be</w:t>
      </w:r>
      <w:r w:rsidR="003351F8">
        <w:rPr>
          <w:noProof/>
          <w:lang w:val="en-US" w:eastAsia="nb-NO"/>
        </w:rPr>
        <w:t>en</w:t>
      </w:r>
      <w:r w:rsidRPr="001E753A">
        <w:rPr>
          <w:noProof/>
          <w:lang w:val="en-US" w:eastAsia="nb-NO"/>
        </w:rPr>
        <w:t xml:space="preserve"> discussed in this paper. The ‘beliefs’ that </w:t>
      </w:r>
      <w:r w:rsidR="00A404E5">
        <w:rPr>
          <w:noProof/>
          <w:lang w:val="en-US" w:eastAsia="nb-NO"/>
        </w:rPr>
        <w:t>we</w:t>
      </w:r>
      <w:r w:rsidRPr="001E753A">
        <w:rPr>
          <w:noProof/>
          <w:lang w:val="en-US" w:eastAsia="nb-NO"/>
        </w:rPr>
        <w:t xml:space="preserve">re measured </w:t>
      </w:r>
      <w:r w:rsidR="00A404E5">
        <w:rPr>
          <w:noProof/>
          <w:lang w:val="en-US" w:eastAsia="nb-NO"/>
        </w:rPr>
        <w:t>in this study we</w:t>
      </w:r>
      <w:r w:rsidRPr="001E753A">
        <w:rPr>
          <w:noProof/>
          <w:lang w:val="en-US" w:eastAsia="nb-NO"/>
        </w:rPr>
        <w:t xml:space="preserve">re self-reported beliefs, just as ‘practices’ </w:t>
      </w:r>
      <w:r w:rsidR="00A404E5">
        <w:rPr>
          <w:noProof/>
          <w:lang w:val="en-US" w:eastAsia="nb-NO"/>
        </w:rPr>
        <w:t>we</w:t>
      </w:r>
      <w:r w:rsidRPr="001E753A">
        <w:rPr>
          <w:noProof/>
          <w:lang w:val="en-US" w:eastAsia="nb-NO"/>
        </w:rPr>
        <w:t>re self-reported practices.</w:t>
      </w:r>
      <w:r>
        <w:rPr>
          <w:noProof/>
          <w:lang w:val="en-US" w:eastAsia="nb-NO"/>
        </w:rPr>
        <w:t xml:space="preserve"> </w:t>
      </w:r>
    </w:p>
    <w:p w14:paraId="211844BA" w14:textId="77777777" w:rsidR="00424C85" w:rsidRPr="001E753A" w:rsidRDefault="00424C85" w:rsidP="00BA5519">
      <w:pPr>
        <w:pStyle w:val="Overskrift1"/>
      </w:pPr>
      <w:r w:rsidRPr="001E753A">
        <w:t>REFERENCES</w:t>
      </w:r>
    </w:p>
    <w:p w14:paraId="3B114912" w14:textId="2385C099" w:rsidR="00424C85" w:rsidRPr="00CB7A33" w:rsidRDefault="00424C85" w:rsidP="00BA5519">
      <w:pPr>
        <w:pStyle w:val="References"/>
        <w:rPr>
          <w:noProof/>
        </w:rPr>
      </w:pPr>
      <w:r>
        <w:rPr>
          <w:noProof/>
        </w:rPr>
        <w:t>Andrich, D. 1978</w:t>
      </w:r>
      <w:r w:rsidRPr="00CB7A33">
        <w:rPr>
          <w:noProof/>
        </w:rPr>
        <w:t xml:space="preserve">. </w:t>
      </w:r>
      <w:r>
        <w:rPr>
          <w:noProof/>
        </w:rPr>
        <w:t>“A Rating Formulation for Ordered Response C</w:t>
      </w:r>
      <w:r w:rsidRPr="00CB7A33">
        <w:rPr>
          <w:noProof/>
        </w:rPr>
        <w:t>ategories.</w:t>
      </w:r>
      <w:r>
        <w:rPr>
          <w:noProof/>
        </w:rPr>
        <w:t>”</w:t>
      </w:r>
      <w:r w:rsidRPr="00CB7A33">
        <w:rPr>
          <w:noProof/>
        </w:rPr>
        <w:t xml:space="preserve"> </w:t>
      </w:r>
      <w:r>
        <w:rPr>
          <w:i/>
          <w:noProof/>
        </w:rPr>
        <w:t>Psychometrika</w:t>
      </w:r>
      <w:r w:rsidRPr="00CB7A33">
        <w:rPr>
          <w:i/>
          <w:noProof/>
        </w:rPr>
        <w:t xml:space="preserve"> </w:t>
      </w:r>
      <w:r w:rsidRPr="003C3498">
        <w:rPr>
          <w:noProof/>
        </w:rPr>
        <w:t>43</w:t>
      </w:r>
      <w:r>
        <w:rPr>
          <w:i/>
          <w:noProof/>
        </w:rPr>
        <w:t xml:space="preserve"> </w:t>
      </w:r>
      <w:r>
        <w:rPr>
          <w:noProof/>
        </w:rPr>
        <w:t>(4):</w:t>
      </w:r>
      <w:r w:rsidRPr="00CB7A33">
        <w:rPr>
          <w:noProof/>
        </w:rPr>
        <w:t xml:space="preserve"> 561</w:t>
      </w:r>
      <w:r w:rsidR="003C3498">
        <w:rPr>
          <w:noProof/>
        </w:rPr>
        <w:t>–</w:t>
      </w:r>
      <w:r>
        <w:rPr>
          <w:noProof/>
        </w:rPr>
        <w:t>573</w:t>
      </w:r>
      <w:r w:rsidRPr="00CB7A33">
        <w:rPr>
          <w:noProof/>
        </w:rPr>
        <w:t xml:space="preserve">. </w:t>
      </w:r>
    </w:p>
    <w:p w14:paraId="212D058B" w14:textId="4FE336DD" w:rsidR="00424C85" w:rsidRPr="00CB7A33" w:rsidRDefault="00424C85" w:rsidP="00BA5519">
      <w:pPr>
        <w:pStyle w:val="References"/>
        <w:rPr>
          <w:noProof/>
        </w:rPr>
      </w:pPr>
      <w:r>
        <w:rPr>
          <w:noProof/>
        </w:rPr>
        <w:t>Andrich, D. 1989</w:t>
      </w:r>
      <w:r w:rsidRPr="00CB7A33">
        <w:rPr>
          <w:noProof/>
        </w:rPr>
        <w:t xml:space="preserve">. </w:t>
      </w:r>
      <w:r>
        <w:rPr>
          <w:noProof/>
        </w:rPr>
        <w:t>“</w:t>
      </w:r>
      <w:r w:rsidRPr="00FC1DF0">
        <w:rPr>
          <w:noProof/>
        </w:rPr>
        <w:t>Distinction</w:t>
      </w:r>
      <w:r>
        <w:rPr>
          <w:noProof/>
        </w:rPr>
        <w:t>s Between Assumptions and R</w:t>
      </w:r>
      <w:r w:rsidRPr="00FC1DF0">
        <w:rPr>
          <w:noProof/>
        </w:rPr>
        <w:t>equirement</w:t>
      </w:r>
      <w:r>
        <w:rPr>
          <w:noProof/>
        </w:rPr>
        <w:t>s in Measurement in the Social S</w:t>
      </w:r>
      <w:r w:rsidRPr="00FC1DF0">
        <w:rPr>
          <w:noProof/>
        </w:rPr>
        <w:t>ciences.</w:t>
      </w:r>
      <w:r>
        <w:rPr>
          <w:noProof/>
        </w:rPr>
        <w:t>”</w:t>
      </w:r>
      <w:r w:rsidRPr="00FC1DF0">
        <w:rPr>
          <w:noProof/>
        </w:rPr>
        <w:t xml:space="preserve"> In </w:t>
      </w:r>
      <w:r w:rsidRPr="003C34AF">
        <w:rPr>
          <w:i/>
          <w:noProof/>
        </w:rPr>
        <w:t>Proceedings of the XXIVth International</w:t>
      </w:r>
      <w:r>
        <w:rPr>
          <w:i/>
          <w:noProof/>
        </w:rPr>
        <w:t xml:space="preserve"> Congress of Psychology 4</w:t>
      </w:r>
      <w:r w:rsidRPr="003C34AF">
        <w:rPr>
          <w:i/>
          <w:noProof/>
        </w:rPr>
        <w:t>. Mathematical and Theoretical Systems</w:t>
      </w:r>
      <w:r>
        <w:rPr>
          <w:noProof/>
        </w:rPr>
        <w:t>,</w:t>
      </w:r>
      <w:r w:rsidRPr="00FC1DF0">
        <w:rPr>
          <w:noProof/>
        </w:rPr>
        <w:t xml:space="preserve"> </w:t>
      </w:r>
      <w:r>
        <w:rPr>
          <w:noProof/>
        </w:rPr>
        <w:t xml:space="preserve">edited by </w:t>
      </w:r>
      <w:r w:rsidRPr="00FC1DF0">
        <w:rPr>
          <w:noProof/>
        </w:rPr>
        <w:t>J.A. Keats, R. Taft, R.A.</w:t>
      </w:r>
      <w:r w:rsidR="003C3498">
        <w:rPr>
          <w:noProof/>
        </w:rPr>
        <w:t xml:space="preserve"> Heath</w:t>
      </w:r>
      <w:r w:rsidR="00B36FB8">
        <w:rPr>
          <w:noProof/>
        </w:rPr>
        <w:t>,</w:t>
      </w:r>
      <w:r w:rsidR="003C3498">
        <w:rPr>
          <w:noProof/>
        </w:rPr>
        <w:t xml:space="preserve"> and S.H. Lovibond, 7–</w:t>
      </w:r>
      <w:r>
        <w:rPr>
          <w:noProof/>
        </w:rPr>
        <w:t xml:space="preserve">16. </w:t>
      </w:r>
      <w:r w:rsidRPr="00FC1DF0">
        <w:rPr>
          <w:noProof/>
        </w:rPr>
        <w:t>B.V. North Holland: Elsevier Science Publications.</w:t>
      </w:r>
    </w:p>
    <w:p w14:paraId="573A5C58" w14:textId="3C3FA44C" w:rsidR="00424C85" w:rsidRPr="00CB7A33" w:rsidRDefault="00424C85" w:rsidP="00BA5519">
      <w:pPr>
        <w:pStyle w:val="References"/>
        <w:rPr>
          <w:noProof/>
        </w:rPr>
      </w:pPr>
      <w:r>
        <w:rPr>
          <w:noProof/>
        </w:rPr>
        <w:t>Andrich, D. 2010</w:t>
      </w:r>
      <w:r w:rsidRPr="00CB7A33">
        <w:rPr>
          <w:noProof/>
        </w:rPr>
        <w:t xml:space="preserve">. </w:t>
      </w:r>
      <w:r>
        <w:rPr>
          <w:noProof/>
        </w:rPr>
        <w:t>“Understanding the Response Structure and Process in the P</w:t>
      </w:r>
      <w:r w:rsidRPr="00CB7A33">
        <w:rPr>
          <w:noProof/>
        </w:rPr>
        <w:t>olytomous Rasch model.</w:t>
      </w:r>
      <w:r>
        <w:rPr>
          <w:noProof/>
        </w:rPr>
        <w:t>”</w:t>
      </w:r>
      <w:r w:rsidRPr="00CB7A33">
        <w:rPr>
          <w:noProof/>
        </w:rPr>
        <w:t xml:space="preserve"> In </w:t>
      </w:r>
      <w:r>
        <w:rPr>
          <w:i/>
          <w:noProof/>
        </w:rPr>
        <w:t>Handbook of Polytomous Item Response Theory M</w:t>
      </w:r>
      <w:r w:rsidRPr="00CB7A33">
        <w:rPr>
          <w:i/>
          <w:noProof/>
        </w:rPr>
        <w:t>odels</w:t>
      </w:r>
      <w:r>
        <w:rPr>
          <w:i/>
          <w:noProof/>
        </w:rPr>
        <w:t xml:space="preserve">, </w:t>
      </w:r>
      <w:r>
        <w:rPr>
          <w:noProof/>
        </w:rPr>
        <w:t xml:space="preserve">edited by </w:t>
      </w:r>
      <w:r w:rsidRPr="00CB7A33">
        <w:rPr>
          <w:noProof/>
        </w:rPr>
        <w:t xml:space="preserve">M. L. Nering </w:t>
      </w:r>
      <w:r w:rsidR="003C3498">
        <w:rPr>
          <w:noProof/>
        </w:rPr>
        <w:t>and R. Ostini, 123–</w:t>
      </w:r>
      <w:r>
        <w:rPr>
          <w:noProof/>
        </w:rPr>
        <w:t>152</w:t>
      </w:r>
      <w:r w:rsidRPr="00CB7A33">
        <w:rPr>
          <w:noProof/>
        </w:rPr>
        <w:t>.</w:t>
      </w:r>
      <w:r>
        <w:rPr>
          <w:noProof/>
        </w:rPr>
        <w:t xml:space="preserve"> New York, NY: Routledge.</w:t>
      </w:r>
    </w:p>
    <w:p w14:paraId="74F5744E" w14:textId="77777777" w:rsidR="00424C85" w:rsidRPr="00CB7A33" w:rsidRDefault="00424C85" w:rsidP="00BA5519">
      <w:pPr>
        <w:pStyle w:val="References"/>
        <w:rPr>
          <w:noProof/>
        </w:rPr>
      </w:pPr>
      <w:r>
        <w:rPr>
          <w:noProof/>
        </w:rPr>
        <w:t>Askew, M., V. Rhodes, M. Brown, D. Johnson</w:t>
      </w:r>
      <w:r w:rsidRPr="00CB7A33">
        <w:rPr>
          <w:noProof/>
        </w:rPr>
        <w:t xml:space="preserve">, </w:t>
      </w:r>
      <w:r>
        <w:rPr>
          <w:noProof/>
        </w:rPr>
        <w:t>and D. Wiliam. 1997</w:t>
      </w:r>
      <w:r w:rsidRPr="00CB7A33">
        <w:rPr>
          <w:noProof/>
        </w:rPr>
        <w:t xml:space="preserve">. </w:t>
      </w:r>
      <w:r w:rsidRPr="00CB7A33">
        <w:rPr>
          <w:i/>
          <w:noProof/>
        </w:rPr>
        <w:t>Effective Teachers of Numeracy: Final Report</w:t>
      </w:r>
      <w:r w:rsidRPr="00CB7A33">
        <w:rPr>
          <w:noProof/>
        </w:rPr>
        <w:t>. London: King’s College.</w:t>
      </w:r>
    </w:p>
    <w:p w14:paraId="077BDA76" w14:textId="77777777" w:rsidR="00424C85" w:rsidRPr="00CB7A33" w:rsidRDefault="00424C85" w:rsidP="00BA5519">
      <w:pPr>
        <w:pStyle w:val="References"/>
        <w:rPr>
          <w:noProof/>
        </w:rPr>
      </w:pPr>
      <w:r w:rsidRPr="00CB7A33">
        <w:rPr>
          <w:noProof/>
        </w:rPr>
        <w:t xml:space="preserve">Bland, J. M., </w:t>
      </w:r>
      <w:r>
        <w:rPr>
          <w:noProof/>
        </w:rPr>
        <w:t>and D. G. Altman. 1995</w:t>
      </w:r>
      <w:r w:rsidRPr="00CB7A33">
        <w:rPr>
          <w:noProof/>
        </w:rPr>
        <w:t xml:space="preserve">. </w:t>
      </w:r>
      <w:r>
        <w:rPr>
          <w:noProof/>
        </w:rPr>
        <w:t>“Multiple Significance Tests: The Bonferroni M</w:t>
      </w:r>
      <w:r w:rsidRPr="00CB7A33">
        <w:rPr>
          <w:noProof/>
        </w:rPr>
        <w:t>ethod.</w:t>
      </w:r>
      <w:r>
        <w:rPr>
          <w:noProof/>
        </w:rPr>
        <w:t>”</w:t>
      </w:r>
      <w:r w:rsidRPr="00CB7A33">
        <w:rPr>
          <w:noProof/>
        </w:rPr>
        <w:t xml:space="preserve"> </w:t>
      </w:r>
      <w:r>
        <w:rPr>
          <w:i/>
          <w:noProof/>
        </w:rPr>
        <w:t>Bmj</w:t>
      </w:r>
      <w:r w:rsidRPr="00CB7A33">
        <w:rPr>
          <w:i/>
          <w:noProof/>
        </w:rPr>
        <w:t xml:space="preserve"> </w:t>
      </w:r>
      <w:r w:rsidRPr="003C3498">
        <w:rPr>
          <w:noProof/>
        </w:rPr>
        <w:t>310</w:t>
      </w:r>
      <w:r>
        <w:rPr>
          <w:noProof/>
        </w:rPr>
        <w:t>:</w:t>
      </w:r>
      <w:r w:rsidRPr="00CB7A33">
        <w:rPr>
          <w:noProof/>
        </w:rPr>
        <w:t xml:space="preserve"> 170. </w:t>
      </w:r>
    </w:p>
    <w:p w14:paraId="357899BD" w14:textId="77777777" w:rsidR="00424C85" w:rsidRDefault="00424C85" w:rsidP="00BA5519">
      <w:pPr>
        <w:pStyle w:val="References"/>
        <w:rPr>
          <w:noProof/>
        </w:rPr>
      </w:pPr>
      <w:r>
        <w:rPr>
          <w:noProof/>
        </w:rPr>
        <w:t>Bohlig, M., W. Fisher</w:t>
      </w:r>
      <w:r w:rsidRPr="00CB7A33">
        <w:rPr>
          <w:noProof/>
        </w:rPr>
        <w:t xml:space="preserve">, </w:t>
      </w:r>
      <w:r>
        <w:rPr>
          <w:noProof/>
        </w:rPr>
        <w:t xml:space="preserve">G. </w:t>
      </w:r>
      <w:r w:rsidRPr="00CB7A33">
        <w:rPr>
          <w:noProof/>
        </w:rPr>
        <w:t>M</w:t>
      </w:r>
      <w:r>
        <w:rPr>
          <w:noProof/>
        </w:rPr>
        <w:t>asters</w:t>
      </w:r>
      <w:r w:rsidRPr="00CB7A33">
        <w:rPr>
          <w:noProof/>
        </w:rPr>
        <w:t xml:space="preserve">, </w:t>
      </w:r>
      <w:r>
        <w:rPr>
          <w:noProof/>
        </w:rPr>
        <w:t>and T. Bond. 1998</w:t>
      </w:r>
      <w:r w:rsidRPr="00CB7A33">
        <w:rPr>
          <w:noProof/>
        </w:rPr>
        <w:t xml:space="preserve">. </w:t>
      </w:r>
      <w:r>
        <w:rPr>
          <w:noProof/>
        </w:rPr>
        <w:t>“Content Validity and Misfitting I</w:t>
      </w:r>
      <w:r w:rsidRPr="00CB7A33">
        <w:rPr>
          <w:noProof/>
        </w:rPr>
        <w:t>tems.</w:t>
      </w:r>
      <w:r>
        <w:rPr>
          <w:noProof/>
        </w:rPr>
        <w:t>”</w:t>
      </w:r>
      <w:r w:rsidRPr="00CB7A33">
        <w:rPr>
          <w:noProof/>
        </w:rPr>
        <w:t xml:space="preserve"> </w:t>
      </w:r>
      <w:r>
        <w:rPr>
          <w:i/>
          <w:noProof/>
        </w:rPr>
        <w:t>Rasch Measurement Transactions</w:t>
      </w:r>
      <w:r w:rsidRPr="00CB7A33">
        <w:rPr>
          <w:i/>
          <w:noProof/>
        </w:rPr>
        <w:t xml:space="preserve"> </w:t>
      </w:r>
      <w:r w:rsidRPr="003C3498">
        <w:rPr>
          <w:noProof/>
        </w:rPr>
        <w:t>12</w:t>
      </w:r>
      <w:r>
        <w:rPr>
          <w:i/>
          <w:noProof/>
        </w:rPr>
        <w:t xml:space="preserve"> </w:t>
      </w:r>
      <w:r>
        <w:rPr>
          <w:noProof/>
        </w:rPr>
        <w:t>(1):</w:t>
      </w:r>
      <w:r w:rsidRPr="00CB7A33">
        <w:rPr>
          <w:noProof/>
        </w:rPr>
        <w:t xml:space="preserve"> 607. </w:t>
      </w:r>
    </w:p>
    <w:p w14:paraId="6EAEBC54" w14:textId="77777777" w:rsidR="00424C85" w:rsidRPr="00B7606E" w:rsidRDefault="00424C85" w:rsidP="00BA5519">
      <w:pPr>
        <w:pStyle w:val="References"/>
        <w:rPr>
          <w:noProof/>
        </w:rPr>
      </w:pPr>
      <w:r w:rsidRPr="00B7606E">
        <w:rPr>
          <w:noProof/>
        </w:rPr>
        <w:t xml:space="preserve">Bond, T.G. 1994. “Too Many Factors in Factor Analysis?.” </w:t>
      </w:r>
      <w:r w:rsidRPr="00B7606E">
        <w:rPr>
          <w:i/>
          <w:noProof/>
        </w:rPr>
        <w:t xml:space="preserve">Rasch Measurement Transactions </w:t>
      </w:r>
      <w:r w:rsidRPr="003C3498">
        <w:rPr>
          <w:noProof/>
        </w:rPr>
        <w:t>8</w:t>
      </w:r>
      <w:r w:rsidRPr="00B7606E">
        <w:rPr>
          <w:i/>
          <w:noProof/>
        </w:rPr>
        <w:t xml:space="preserve"> </w:t>
      </w:r>
      <w:r w:rsidRPr="00B7606E">
        <w:rPr>
          <w:noProof/>
        </w:rPr>
        <w:t xml:space="preserve">(1): 347. </w:t>
      </w:r>
    </w:p>
    <w:p w14:paraId="407BC618" w14:textId="77777777" w:rsidR="00424C85" w:rsidRPr="00CB7A33" w:rsidRDefault="00424C85" w:rsidP="00BA5519">
      <w:pPr>
        <w:pStyle w:val="References"/>
        <w:rPr>
          <w:noProof/>
        </w:rPr>
      </w:pPr>
      <w:r w:rsidRPr="00CB7A33">
        <w:rPr>
          <w:noProof/>
        </w:rPr>
        <w:t xml:space="preserve">Bond, T. G., </w:t>
      </w:r>
      <w:r>
        <w:rPr>
          <w:noProof/>
        </w:rPr>
        <w:t>and</w:t>
      </w:r>
      <w:r w:rsidRPr="00CB7A33">
        <w:rPr>
          <w:noProof/>
        </w:rPr>
        <w:t xml:space="preserve"> </w:t>
      </w:r>
      <w:r>
        <w:rPr>
          <w:noProof/>
        </w:rPr>
        <w:t xml:space="preserve">C. M. </w:t>
      </w:r>
      <w:r w:rsidRPr="00CB7A33">
        <w:rPr>
          <w:noProof/>
        </w:rPr>
        <w:t>Fox</w:t>
      </w:r>
      <w:r>
        <w:rPr>
          <w:noProof/>
        </w:rPr>
        <w:t>. 2003</w:t>
      </w:r>
      <w:r w:rsidRPr="00CB7A33">
        <w:rPr>
          <w:noProof/>
        </w:rPr>
        <w:t xml:space="preserve">. </w:t>
      </w:r>
      <w:r w:rsidRPr="007349C7">
        <w:rPr>
          <w:i/>
          <w:noProof/>
        </w:rPr>
        <w:t>Applying the Rasch Model: Fundamental Measurement in the Human Sciences</w:t>
      </w:r>
      <w:r>
        <w:rPr>
          <w:i/>
          <w:noProof/>
        </w:rPr>
        <w:t xml:space="preserve">. </w:t>
      </w:r>
      <w:r>
        <w:rPr>
          <w:noProof/>
        </w:rPr>
        <w:t>2nd ed. Oxford</w:t>
      </w:r>
      <w:r w:rsidRPr="00CB7A33">
        <w:rPr>
          <w:noProof/>
        </w:rPr>
        <w:t>: Routledge.</w:t>
      </w:r>
    </w:p>
    <w:p w14:paraId="676B6FFE" w14:textId="326A95ED" w:rsidR="00424C85" w:rsidRDefault="00424C85" w:rsidP="007419E6">
      <w:pPr>
        <w:pStyle w:val="References"/>
        <w:rPr>
          <w:noProof/>
        </w:rPr>
      </w:pPr>
      <w:r w:rsidRPr="00CB7A33">
        <w:rPr>
          <w:noProof/>
        </w:rPr>
        <w:t xml:space="preserve">Carpenter, T. P., </w:t>
      </w:r>
      <w:r>
        <w:rPr>
          <w:noProof/>
        </w:rPr>
        <w:t>and R. Lehrer. 1999</w:t>
      </w:r>
      <w:r w:rsidRPr="00CB7A33">
        <w:rPr>
          <w:noProof/>
        </w:rPr>
        <w:t xml:space="preserve">. </w:t>
      </w:r>
      <w:r>
        <w:rPr>
          <w:noProof/>
        </w:rPr>
        <w:t>“Teaching and Learning Mathematics With U</w:t>
      </w:r>
      <w:r w:rsidRPr="00CB7A33">
        <w:rPr>
          <w:noProof/>
        </w:rPr>
        <w:t>nderstanding.</w:t>
      </w:r>
      <w:r>
        <w:rPr>
          <w:noProof/>
        </w:rPr>
        <w:t>”</w:t>
      </w:r>
      <w:r w:rsidRPr="00CB7A33">
        <w:rPr>
          <w:noProof/>
        </w:rPr>
        <w:t xml:space="preserve"> In </w:t>
      </w:r>
      <w:r>
        <w:rPr>
          <w:i/>
          <w:noProof/>
        </w:rPr>
        <w:t>Mathematics Classrooms That Promote U</w:t>
      </w:r>
      <w:r w:rsidRPr="00CB7A33">
        <w:rPr>
          <w:i/>
          <w:noProof/>
        </w:rPr>
        <w:t>nderstanding</w:t>
      </w:r>
      <w:r>
        <w:rPr>
          <w:i/>
          <w:noProof/>
        </w:rPr>
        <w:t xml:space="preserve">, </w:t>
      </w:r>
      <w:r>
        <w:rPr>
          <w:noProof/>
        </w:rPr>
        <w:t xml:space="preserve">edited by </w:t>
      </w:r>
      <w:r w:rsidRPr="00CB7A33">
        <w:rPr>
          <w:noProof/>
        </w:rPr>
        <w:t xml:space="preserve">E. Fennema </w:t>
      </w:r>
      <w:r>
        <w:rPr>
          <w:noProof/>
        </w:rPr>
        <w:t>and T. A. Romberg,</w:t>
      </w:r>
      <w:r w:rsidRPr="00CB7A33">
        <w:rPr>
          <w:noProof/>
        </w:rPr>
        <w:t xml:space="preserve"> </w:t>
      </w:r>
      <w:r w:rsidR="003C3498">
        <w:rPr>
          <w:noProof/>
        </w:rPr>
        <w:t>19–</w:t>
      </w:r>
      <w:r>
        <w:rPr>
          <w:noProof/>
        </w:rPr>
        <w:t>32</w:t>
      </w:r>
      <w:r w:rsidRPr="00CB7A33">
        <w:rPr>
          <w:noProof/>
        </w:rPr>
        <w:t>. Mahwah, New Jersey: Lawrence Erlbaum Associates.</w:t>
      </w:r>
    </w:p>
    <w:p w14:paraId="35A96A3A" w14:textId="668504DB" w:rsidR="007419E6" w:rsidRPr="00A53EAB" w:rsidRDefault="007419E6" w:rsidP="007419E6">
      <w:pPr>
        <w:pStyle w:val="EndNoteBibliography"/>
        <w:spacing w:line="360" w:lineRule="auto"/>
        <w:ind w:left="720" w:hanging="720"/>
        <w:rPr>
          <w:noProof/>
          <w:lang w:val="en-US"/>
        </w:rPr>
      </w:pPr>
      <w:r w:rsidRPr="00A53EAB">
        <w:rPr>
          <w:noProof/>
          <w:lang w:val="en-US"/>
        </w:rPr>
        <w:t xml:space="preserve">Collier, C. P. 1972. ”Prospective Elementary Teachers' Intensity and Ambivalence of Beliefs About Mathematics and Mathematics Instruction.” </w:t>
      </w:r>
      <w:r w:rsidRPr="00A53EAB">
        <w:rPr>
          <w:i/>
          <w:noProof/>
          <w:lang w:val="en-US"/>
        </w:rPr>
        <w:t>Journal for Research in Mathematics Education</w:t>
      </w:r>
      <w:r w:rsidRPr="00A53EAB">
        <w:rPr>
          <w:noProof/>
          <w:lang w:val="en-US"/>
        </w:rPr>
        <w:t xml:space="preserve"> </w:t>
      </w:r>
      <w:r w:rsidR="007365D9" w:rsidRPr="00A53EAB">
        <w:rPr>
          <w:noProof/>
          <w:lang w:val="en-US"/>
        </w:rPr>
        <w:t xml:space="preserve">3 (3): </w:t>
      </w:r>
      <w:r w:rsidRPr="00A53EAB">
        <w:rPr>
          <w:noProof/>
          <w:lang w:val="en-US"/>
        </w:rPr>
        <w:t xml:space="preserve">155–163. </w:t>
      </w:r>
    </w:p>
    <w:p w14:paraId="1FB444FB" w14:textId="03290942" w:rsidR="00424C85" w:rsidRPr="00CB7A33" w:rsidRDefault="00424C85" w:rsidP="007419E6">
      <w:pPr>
        <w:pStyle w:val="References"/>
        <w:rPr>
          <w:noProof/>
        </w:rPr>
      </w:pPr>
      <w:r w:rsidRPr="00CB7A33">
        <w:rPr>
          <w:noProof/>
        </w:rPr>
        <w:lastRenderedPageBreak/>
        <w:t>De Corte</w:t>
      </w:r>
      <w:r>
        <w:rPr>
          <w:noProof/>
        </w:rPr>
        <w:t>, E., P. Op 't Eynde</w:t>
      </w:r>
      <w:r w:rsidRPr="00CB7A33">
        <w:rPr>
          <w:noProof/>
        </w:rPr>
        <w:t xml:space="preserve">, </w:t>
      </w:r>
      <w:r>
        <w:rPr>
          <w:noProof/>
        </w:rPr>
        <w:t>and L. Verschaffel. 2002</w:t>
      </w:r>
      <w:r w:rsidRPr="00CB7A33">
        <w:rPr>
          <w:noProof/>
        </w:rPr>
        <w:t>. "</w:t>
      </w:r>
      <w:r>
        <w:rPr>
          <w:noProof/>
        </w:rPr>
        <w:t>’</w:t>
      </w:r>
      <w:r w:rsidRPr="00CB7A33">
        <w:rPr>
          <w:noProof/>
        </w:rPr>
        <w:t>Knowing What to Believe</w:t>
      </w:r>
      <w:r>
        <w:rPr>
          <w:noProof/>
        </w:rPr>
        <w:t>’: The Relevance of Students' Mathematical Beliefs for Mathematics E</w:t>
      </w:r>
      <w:r w:rsidRPr="00CB7A33">
        <w:rPr>
          <w:noProof/>
        </w:rPr>
        <w:t>ducation.</w:t>
      </w:r>
      <w:r>
        <w:rPr>
          <w:noProof/>
        </w:rPr>
        <w:t>” In</w:t>
      </w:r>
      <w:r w:rsidRPr="00CB7A33">
        <w:rPr>
          <w:noProof/>
        </w:rPr>
        <w:t xml:space="preserve"> </w:t>
      </w:r>
      <w:r>
        <w:rPr>
          <w:i/>
          <w:noProof/>
        </w:rPr>
        <w:t>Personal Epistemology: The Psychology of Beliefs About K</w:t>
      </w:r>
      <w:r w:rsidRPr="00CB7A33">
        <w:rPr>
          <w:i/>
          <w:noProof/>
        </w:rPr>
        <w:t>nowle</w:t>
      </w:r>
      <w:r>
        <w:rPr>
          <w:i/>
          <w:noProof/>
        </w:rPr>
        <w:t>dge and K</w:t>
      </w:r>
      <w:r w:rsidRPr="00CB7A33">
        <w:rPr>
          <w:i/>
          <w:noProof/>
        </w:rPr>
        <w:t>nowing</w:t>
      </w:r>
      <w:r>
        <w:rPr>
          <w:i/>
          <w:noProof/>
        </w:rPr>
        <w:t xml:space="preserve">, </w:t>
      </w:r>
      <w:r>
        <w:rPr>
          <w:noProof/>
        </w:rPr>
        <w:t xml:space="preserve">edited by </w:t>
      </w:r>
      <w:r w:rsidRPr="00CB7A33">
        <w:rPr>
          <w:noProof/>
        </w:rPr>
        <w:t xml:space="preserve">B. K. Hofer </w:t>
      </w:r>
      <w:r>
        <w:rPr>
          <w:noProof/>
        </w:rPr>
        <w:t>and</w:t>
      </w:r>
      <w:r w:rsidRPr="00CB7A33">
        <w:rPr>
          <w:noProof/>
        </w:rPr>
        <w:t xml:space="preserve"> P. R. Pintrich</w:t>
      </w:r>
      <w:r w:rsidR="003C3498">
        <w:rPr>
          <w:noProof/>
        </w:rPr>
        <w:t>, 297–</w:t>
      </w:r>
      <w:r>
        <w:rPr>
          <w:noProof/>
        </w:rPr>
        <w:t>320. Mahwah, NJ</w:t>
      </w:r>
      <w:r w:rsidRPr="00CB7A33">
        <w:rPr>
          <w:noProof/>
        </w:rPr>
        <w:t>: L. Erlbaum Associates: Routledge</w:t>
      </w:r>
      <w:r>
        <w:rPr>
          <w:noProof/>
        </w:rPr>
        <w:t>.</w:t>
      </w:r>
    </w:p>
    <w:p w14:paraId="61C725A0" w14:textId="7C837F2D" w:rsidR="00424C85" w:rsidRDefault="00424C85" w:rsidP="00BA5519">
      <w:pPr>
        <w:pStyle w:val="References"/>
        <w:rPr>
          <w:noProof/>
        </w:rPr>
      </w:pPr>
      <w:r>
        <w:rPr>
          <w:noProof/>
        </w:rPr>
        <w:t>Ernest, P. 1991. “The Impact of Beliefs On the Teaching of M</w:t>
      </w:r>
      <w:r w:rsidRPr="00CB7A33">
        <w:rPr>
          <w:noProof/>
        </w:rPr>
        <w:t>athematics.</w:t>
      </w:r>
      <w:r>
        <w:rPr>
          <w:noProof/>
        </w:rPr>
        <w:t>” In</w:t>
      </w:r>
      <w:r w:rsidRPr="00CB7A33">
        <w:rPr>
          <w:noProof/>
        </w:rPr>
        <w:t xml:space="preserve"> </w:t>
      </w:r>
      <w:r>
        <w:rPr>
          <w:i/>
          <w:noProof/>
        </w:rPr>
        <w:t>Mathematics Teaching: The State of the A</w:t>
      </w:r>
      <w:r w:rsidRPr="00CB7A33">
        <w:rPr>
          <w:i/>
          <w:noProof/>
        </w:rPr>
        <w:t>rt</w:t>
      </w:r>
      <w:r>
        <w:rPr>
          <w:i/>
          <w:noProof/>
        </w:rPr>
        <w:t xml:space="preserve">, </w:t>
      </w:r>
      <w:r>
        <w:rPr>
          <w:noProof/>
        </w:rPr>
        <w:t xml:space="preserve">edited by </w:t>
      </w:r>
      <w:r w:rsidRPr="00CB7A33">
        <w:rPr>
          <w:noProof/>
        </w:rPr>
        <w:t>P. Ernest</w:t>
      </w:r>
      <w:r w:rsidR="003C3498">
        <w:rPr>
          <w:noProof/>
        </w:rPr>
        <w:t>, 249–</w:t>
      </w:r>
      <w:r>
        <w:rPr>
          <w:noProof/>
        </w:rPr>
        <w:t>254</w:t>
      </w:r>
      <w:r w:rsidRPr="00CB7A33">
        <w:rPr>
          <w:noProof/>
        </w:rPr>
        <w:t>. London: Falmer.</w:t>
      </w:r>
    </w:p>
    <w:p w14:paraId="2FFB602A" w14:textId="7D349E6B" w:rsidR="00424C85" w:rsidRDefault="00424C85" w:rsidP="00BA5519">
      <w:pPr>
        <w:pStyle w:val="References"/>
        <w:rPr>
          <w:noProof/>
        </w:rPr>
      </w:pPr>
      <w:r>
        <w:rPr>
          <w:noProof/>
        </w:rPr>
        <w:t>Feiman-Nemser, S. 2001</w:t>
      </w:r>
      <w:r w:rsidRPr="00915A2D">
        <w:rPr>
          <w:noProof/>
        </w:rPr>
        <w:t xml:space="preserve">. </w:t>
      </w:r>
      <w:r>
        <w:rPr>
          <w:noProof/>
        </w:rPr>
        <w:t>“From Preparation to Practice: Designing a C</w:t>
      </w:r>
      <w:r w:rsidRPr="00915A2D">
        <w:rPr>
          <w:noProof/>
        </w:rPr>
        <w:t xml:space="preserve">ontinuum to </w:t>
      </w:r>
      <w:r>
        <w:rPr>
          <w:noProof/>
        </w:rPr>
        <w:t>Strengthen and Sustain Teaching.”</w:t>
      </w:r>
      <w:r w:rsidRPr="00915A2D">
        <w:rPr>
          <w:noProof/>
        </w:rPr>
        <w:t xml:space="preserve"> </w:t>
      </w:r>
      <w:r w:rsidRPr="00915A2D">
        <w:rPr>
          <w:i/>
          <w:noProof/>
        </w:rPr>
        <w:t>The Teachers College Record</w:t>
      </w:r>
      <w:r w:rsidRPr="00915A2D">
        <w:rPr>
          <w:noProof/>
        </w:rPr>
        <w:t xml:space="preserve"> 103</w:t>
      </w:r>
      <w:r w:rsidR="003C3498">
        <w:rPr>
          <w:noProof/>
        </w:rPr>
        <w:t xml:space="preserve"> (6): 1013–</w:t>
      </w:r>
      <w:r>
        <w:rPr>
          <w:noProof/>
        </w:rPr>
        <w:t>1055.</w:t>
      </w:r>
    </w:p>
    <w:p w14:paraId="59A4FA75" w14:textId="3BE4C42B" w:rsidR="00424C85" w:rsidRDefault="00424C85" w:rsidP="00BA5519">
      <w:pPr>
        <w:pStyle w:val="References"/>
        <w:rPr>
          <w:noProof/>
        </w:rPr>
      </w:pPr>
      <w:r>
        <w:rPr>
          <w:noProof/>
        </w:rPr>
        <w:t>Flores, M. A., and C. Day. 2006</w:t>
      </w:r>
      <w:r w:rsidRPr="000418CE">
        <w:rPr>
          <w:noProof/>
        </w:rPr>
        <w:t xml:space="preserve">. </w:t>
      </w:r>
      <w:r>
        <w:rPr>
          <w:noProof/>
        </w:rPr>
        <w:t>“Contexts Which Shape and Reshape New Teachers’ Identities: A Multi-perspective S</w:t>
      </w:r>
      <w:r w:rsidRPr="000418CE">
        <w:rPr>
          <w:noProof/>
        </w:rPr>
        <w:t>tudy.</w:t>
      </w:r>
      <w:r>
        <w:rPr>
          <w:noProof/>
        </w:rPr>
        <w:t>”</w:t>
      </w:r>
      <w:r w:rsidRPr="000418CE">
        <w:rPr>
          <w:noProof/>
        </w:rPr>
        <w:t xml:space="preserve"> </w:t>
      </w:r>
      <w:r w:rsidRPr="000418CE">
        <w:rPr>
          <w:i/>
          <w:noProof/>
        </w:rPr>
        <w:t>Teaching and Teacher Education</w:t>
      </w:r>
      <w:r w:rsidRPr="000418CE">
        <w:rPr>
          <w:noProof/>
        </w:rPr>
        <w:t xml:space="preserve"> 22</w:t>
      </w:r>
      <w:r w:rsidR="00AD4A1E">
        <w:rPr>
          <w:noProof/>
        </w:rPr>
        <w:t xml:space="preserve"> (2), 219–</w:t>
      </w:r>
      <w:r>
        <w:rPr>
          <w:noProof/>
        </w:rPr>
        <w:t xml:space="preserve">232. </w:t>
      </w:r>
    </w:p>
    <w:p w14:paraId="2929341F" w14:textId="48BE8685" w:rsidR="00424C85" w:rsidRDefault="00424C85" w:rsidP="007365D9">
      <w:pPr>
        <w:pStyle w:val="References"/>
        <w:rPr>
          <w:noProof/>
        </w:rPr>
      </w:pPr>
      <w:r w:rsidRPr="000418CE">
        <w:rPr>
          <w:noProof/>
        </w:rPr>
        <w:t>Hagg</w:t>
      </w:r>
      <w:r>
        <w:rPr>
          <w:noProof/>
        </w:rPr>
        <w:t>arty, L., K. Postlethwaite, K. Diment, and J. Ellins. 2011</w:t>
      </w:r>
      <w:r w:rsidRPr="000418CE">
        <w:rPr>
          <w:noProof/>
        </w:rPr>
        <w:t xml:space="preserve">. </w:t>
      </w:r>
      <w:r>
        <w:rPr>
          <w:noProof/>
        </w:rPr>
        <w:t>“Improving the Learning of Newly Qualified Teachers in the Induction Y</w:t>
      </w:r>
      <w:r w:rsidRPr="000418CE">
        <w:rPr>
          <w:noProof/>
        </w:rPr>
        <w:t>ear.</w:t>
      </w:r>
      <w:r>
        <w:rPr>
          <w:noProof/>
        </w:rPr>
        <w:t>”</w:t>
      </w:r>
      <w:r w:rsidRPr="000418CE">
        <w:rPr>
          <w:noProof/>
        </w:rPr>
        <w:t xml:space="preserve"> </w:t>
      </w:r>
      <w:r w:rsidRPr="000418CE">
        <w:rPr>
          <w:i/>
          <w:noProof/>
        </w:rPr>
        <w:t>British Educational Research Journal</w:t>
      </w:r>
      <w:r w:rsidRPr="000418CE">
        <w:rPr>
          <w:noProof/>
        </w:rPr>
        <w:t xml:space="preserve"> 37</w:t>
      </w:r>
      <w:r w:rsidR="00AD4A1E">
        <w:rPr>
          <w:noProof/>
        </w:rPr>
        <w:t xml:space="preserve"> (6): 935–</w:t>
      </w:r>
      <w:r>
        <w:rPr>
          <w:noProof/>
        </w:rPr>
        <w:t xml:space="preserve">954. </w:t>
      </w:r>
    </w:p>
    <w:p w14:paraId="5032AD06" w14:textId="5750907A" w:rsidR="007365D9" w:rsidRPr="00A53EAB" w:rsidRDefault="007365D9" w:rsidP="007365D9">
      <w:pPr>
        <w:pStyle w:val="EndNoteBibliography"/>
        <w:spacing w:line="360" w:lineRule="auto"/>
        <w:ind w:left="720" w:hanging="720"/>
        <w:rPr>
          <w:noProof/>
          <w:lang w:val="en-US"/>
        </w:rPr>
      </w:pPr>
      <w:r w:rsidRPr="00A53EAB">
        <w:rPr>
          <w:noProof/>
          <w:lang w:val="en-US"/>
        </w:rPr>
        <w:t xml:space="preserve">Liljedahl, P. (2009). ”Teachers' Insights Into the Relationship Between Beliefs and Practice.” In </w:t>
      </w:r>
      <w:r w:rsidRPr="00A53EAB">
        <w:rPr>
          <w:i/>
          <w:noProof/>
          <w:lang w:val="en-US"/>
        </w:rPr>
        <w:t xml:space="preserve">Beliefs and Attitudes in Mathematics </w:t>
      </w:r>
      <w:r w:rsidRPr="00A53EAB">
        <w:rPr>
          <w:noProof/>
          <w:lang w:val="en-US"/>
        </w:rPr>
        <w:t>Education, edited by J</w:t>
      </w:r>
      <w:r w:rsidR="00AD4A1E" w:rsidRPr="00A53EAB">
        <w:rPr>
          <w:noProof/>
          <w:lang w:val="en-US"/>
        </w:rPr>
        <w:t>. Maas and W. Schlöglmann, 33</w:t>
      </w:r>
      <w:r w:rsidR="00AD4A1E" w:rsidRPr="00A53EAB">
        <w:rPr>
          <w:noProof/>
        </w:rPr>
        <w:t>–</w:t>
      </w:r>
      <w:r w:rsidRPr="00A53EAB">
        <w:rPr>
          <w:noProof/>
          <w:lang w:val="en-US"/>
        </w:rPr>
        <w:t>43. Rotterdam: Sense Publishers.</w:t>
      </w:r>
    </w:p>
    <w:p w14:paraId="2CC14608" w14:textId="77777777" w:rsidR="00424C85" w:rsidRPr="00CB7A33" w:rsidRDefault="00424C85" w:rsidP="007365D9">
      <w:pPr>
        <w:pStyle w:val="References"/>
        <w:rPr>
          <w:noProof/>
        </w:rPr>
      </w:pPr>
      <w:r>
        <w:rPr>
          <w:noProof/>
        </w:rPr>
        <w:t>Linacre, J. M. 2000</w:t>
      </w:r>
      <w:r w:rsidRPr="00CB7A33">
        <w:rPr>
          <w:noProof/>
        </w:rPr>
        <w:t xml:space="preserve">. </w:t>
      </w:r>
      <w:r>
        <w:rPr>
          <w:noProof/>
        </w:rPr>
        <w:t>“Comparing ‘Partial Credit Models’ (PCM) and ‘Rating Scale Models’</w:t>
      </w:r>
      <w:r w:rsidRPr="00CB7A33">
        <w:rPr>
          <w:noProof/>
        </w:rPr>
        <w:t xml:space="preserve"> (RSM).</w:t>
      </w:r>
      <w:r>
        <w:rPr>
          <w:noProof/>
        </w:rPr>
        <w:t>”</w:t>
      </w:r>
      <w:r w:rsidRPr="00CB7A33">
        <w:rPr>
          <w:noProof/>
        </w:rPr>
        <w:t xml:space="preserve"> </w:t>
      </w:r>
      <w:r>
        <w:rPr>
          <w:i/>
          <w:noProof/>
        </w:rPr>
        <w:t>Rasch Measurement Transactions</w:t>
      </w:r>
      <w:r w:rsidRPr="00CB7A33">
        <w:rPr>
          <w:i/>
          <w:noProof/>
        </w:rPr>
        <w:t xml:space="preserve"> </w:t>
      </w:r>
      <w:r w:rsidRPr="003C3498">
        <w:rPr>
          <w:noProof/>
        </w:rPr>
        <w:t xml:space="preserve">14 </w:t>
      </w:r>
      <w:r>
        <w:rPr>
          <w:noProof/>
        </w:rPr>
        <w:t>(3):</w:t>
      </w:r>
      <w:r w:rsidRPr="00CB7A33">
        <w:rPr>
          <w:noProof/>
        </w:rPr>
        <w:t xml:space="preserve"> 768. </w:t>
      </w:r>
    </w:p>
    <w:p w14:paraId="0DA8604D" w14:textId="0FCE2F54" w:rsidR="00424C85" w:rsidRPr="00CB7A33" w:rsidRDefault="00424C85" w:rsidP="00BA5519">
      <w:pPr>
        <w:pStyle w:val="References"/>
        <w:rPr>
          <w:noProof/>
        </w:rPr>
      </w:pPr>
      <w:r>
        <w:rPr>
          <w:noProof/>
        </w:rPr>
        <w:t xml:space="preserve">Linacre, J. M. </w:t>
      </w:r>
      <w:r w:rsidRPr="00CB7A33">
        <w:rPr>
          <w:noProof/>
        </w:rPr>
        <w:t>2002</w:t>
      </w:r>
      <w:r>
        <w:rPr>
          <w:noProof/>
        </w:rPr>
        <w:t>a</w:t>
      </w:r>
      <w:r w:rsidRPr="00CB7A33">
        <w:rPr>
          <w:noProof/>
        </w:rPr>
        <w:t xml:space="preserve">. </w:t>
      </w:r>
      <w:r w:rsidR="00AD4A1E">
        <w:rPr>
          <w:noProof/>
        </w:rPr>
        <w:t>“</w:t>
      </w:r>
      <w:r w:rsidRPr="00CB7A33">
        <w:rPr>
          <w:noProof/>
        </w:rPr>
        <w:t>Optimizing</w:t>
      </w:r>
      <w:r>
        <w:rPr>
          <w:noProof/>
        </w:rPr>
        <w:t xml:space="preserve"> Rating Scale Category E</w:t>
      </w:r>
      <w:r w:rsidRPr="00CB7A33">
        <w:rPr>
          <w:noProof/>
        </w:rPr>
        <w:t>ffectiveness.</w:t>
      </w:r>
      <w:r w:rsidR="00AD4A1E">
        <w:rPr>
          <w:noProof/>
        </w:rPr>
        <w:t>”</w:t>
      </w:r>
      <w:r w:rsidRPr="00CB7A33">
        <w:rPr>
          <w:noProof/>
        </w:rPr>
        <w:t xml:space="preserve"> </w:t>
      </w:r>
      <w:r>
        <w:rPr>
          <w:i/>
          <w:noProof/>
        </w:rPr>
        <w:t>Journal of Applied Measurement</w:t>
      </w:r>
      <w:r w:rsidRPr="00CB7A33">
        <w:rPr>
          <w:i/>
          <w:noProof/>
        </w:rPr>
        <w:t xml:space="preserve"> </w:t>
      </w:r>
      <w:r w:rsidRPr="003C3498">
        <w:rPr>
          <w:noProof/>
        </w:rPr>
        <w:t>3</w:t>
      </w:r>
      <w:r>
        <w:rPr>
          <w:i/>
          <w:noProof/>
        </w:rPr>
        <w:t xml:space="preserve"> </w:t>
      </w:r>
      <w:r w:rsidR="00AD4A1E">
        <w:rPr>
          <w:noProof/>
        </w:rPr>
        <w:t>(1): 85–</w:t>
      </w:r>
      <w:r>
        <w:rPr>
          <w:noProof/>
        </w:rPr>
        <w:t>106.</w:t>
      </w:r>
      <w:r w:rsidRPr="00CB7A33">
        <w:rPr>
          <w:noProof/>
        </w:rPr>
        <w:t xml:space="preserve"> </w:t>
      </w:r>
    </w:p>
    <w:p w14:paraId="0F8310B7" w14:textId="1F895B77" w:rsidR="00424C85" w:rsidRPr="00B7606E" w:rsidRDefault="00424C85" w:rsidP="00BA5519">
      <w:pPr>
        <w:pStyle w:val="References"/>
        <w:rPr>
          <w:noProof/>
        </w:rPr>
      </w:pPr>
      <w:r>
        <w:rPr>
          <w:noProof/>
        </w:rPr>
        <w:t xml:space="preserve">Linacre, J. M. </w:t>
      </w:r>
      <w:r w:rsidRPr="00CB7A33">
        <w:rPr>
          <w:noProof/>
        </w:rPr>
        <w:t>2002</w:t>
      </w:r>
      <w:r>
        <w:rPr>
          <w:noProof/>
        </w:rPr>
        <w:t xml:space="preserve">b. </w:t>
      </w:r>
      <w:r w:rsidR="00AD4A1E">
        <w:rPr>
          <w:noProof/>
        </w:rPr>
        <w:t>“</w:t>
      </w:r>
      <w:r>
        <w:rPr>
          <w:noProof/>
        </w:rPr>
        <w:t>What Do Infit and Outfit, Mean-square and Standardized M</w:t>
      </w:r>
      <w:r w:rsidRPr="00CB7A33">
        <w:rPr>
          <w:noProof/>
        </w:rPr>
        <w:t>ean.</w:t>
      </w:r>
      <w:r w:rsidR="00AD4A1E">
        <w:rPr>
          <w:noProof/>
        </w:rPr>
        <w:t>”</w:t>
      </w:r>
      <w:r w:rsidRPr="00CB7A33">
        <w:rPr>
          <w:noProof/>
        </w:rPr>
        <w:t xml:space="preserve"> </w:t>
      </w:r>
      <w:r>
        <w:rPr>
          <w:i/>
          <w:noProof/>
        </w:rPr>
        <w:t xml:space="preserve">Rasch </w:t>
      </w:r>
      <w:r w:rsidRPr="00B7606E">
        <w:rPr>
          <w:i/>
          <w:noProof/>
        </w:rPr>
        <w:t xml:space="preserve">Measurement Transactions </w:t>
      </w:r>
      <w:r w:rsidRPr="003C3498">
        <w:rPr>
          <w:noProof/>
        </w:rPr>
        <w:t>16</w:t>
      </w:r>
      <w:r w:rsidRPr="00B7606E">
        <w:rPr>
          <w:i/>
          <w:noProof/>
        </w:rPr>
        <w:t xml:space="preserve"> </w:t>
      </w:r>
      <w:r w:rsidRPr="00B7606E">
        <w:rPr>
          <w:noProof/>
        </w:rPr>
        <w:t xml:space="preserve">(2): 878. </w:t>
      </w:r>
    </w:p>
    <w:p w14:paraId="6C4DC112" w14:textId="0CBFCD87" w:rsidR="00426061" w:rsidRPr="00B7606E" w:rsidRDefault="00426061" w:rsidP="00426061">
      <w:pPr>
        <w:pStyle w:val="References"/>
        <w:rPr>
          <w:noProof/>
        </w:rPr>
      </w:pPr>
      <w:r w:rsidRPr="00B7606E">
        <w:rPr>
          <w:noProof/>
        </w:rPr>
        <w:t xml:space="preserve">Linacre, J. M. 2010. </w:t>
      </w:r>
      <w:r w:rsidR="00AD4A1E">
        <w:rPr>
          <w:noProof/>
        </w:rPr>
        <w:t>“</w:t>
      </w:r>
      <w:r w:rsidRPr="00B7606E">
        <w:rPr>
          <w:noProof/>
        </w:rPr>
        <w:t>When to Stop Removing Items and Persons in Rasch Analysis.</w:t>
      </w:r>
      <w:r w:rsidR="00AD4A1E">
        <w:rPr>
          <w:noProof/>
        </w:rPr>
        <w:t>”</w:t>
      </w:r>
      <w:r w:rsidRPr="00B7606E">
        <w:rPr>
          <w:noProof/>
        </w:rPr>
        <w:t xml:space="preserve"> </w:t>
      </w:r>
      <w:r w:rsidRPr="00B7606E">
        <w:rPr>
          <w:i/>
          <w:noProof/>
        </w:rPr>
        <w:t xml:space="preserve">Rasch Measurement Transactions </w:t>
      </w:r>
      <w:r w:rsidRPr="003C3498">
        <w:rPr>
          <w:noProof/>
        </w:rPr>
        <w:t>23</w:t>
      </w:r>
      <w:r w:rsidRPr="00B7606E">
        <w:rPr>
          <w:i/>
          <w:noProof/>
        </w:rPr>
        <w:t xml:space="preserve"> </w:t>
      </w:r>
      <w:r w:rsidRPr="00B7606E">
        <w:rPr>
          <w:noProof/>
        </w:rPr>
        <w:t xml:space="preserve">(4): 1242. </w:t>
      </w:r>
    </w:p>
    <w:p w14:paraId="3224EC70" w14:textId="77777777" w:rsidR="00424C85" w:rsidRDefault="00424C85" w:rsidP="00BA5519">
      <w:pPr>
        <w:pStyle w:val="References"/>
        <w:rPr>
          <w:noProof/>
        </w:rPr>
      </w:pPr>
      <w:r w:rsidRPr="00B7606E">
        <w:rPr>
          <w:noProof/>
        </w:rPr>
        <w:t xml:space="preserve">Linacre, J. M. 2014. </w:t>
      </w:r>
      <w:r w:rsidRPr="00B7606E">
        <w:rPr>
          <w:i/>
          <w:noProof/>
        </w:rPr>
        <w:t>WINSTEPS: Rasch Measurement</w:t>
      </w:r>
      <w:r>
        <w:rPr>
          <w:i/>
          <w:noProof/>
        </w:rPr>
        <w:t xml:space="preserve"> C</w:t>
      </w:r>
      <w:r w:rsidRPr="007C28EF">
        <w:rPr>
          <w:i/>
          <w:noProof/>
        </w:rPr>
        <w:t>omput</w:t>
      </w:r>
      <w:r>
        <w:rPr>
          <w:i/>
          <w:noProof/>
        </w:rPr>
        <w:t>er P</w:t>
      </w:r>
      <w:r w:rsidRPr="007C28EF">
        <w:rPr>
          <w:i/>
          <w:noProof/>
        </w:rPr>
        <w:t>rogram</w:t>
      </w:r>
      <w:r>
        <w:rPr>
          <w:i/>
          <w:noProof/>
        </w:rPr>
        <w:t xml:space="preserve"> (Version 3.8.1)</w:t>
      </w:r>
      <w:r>
        <w:rPr>
          <w:noProof/>
        </w:rPr>
        <w:t xml:space="preserve">. </w:t>
      </w:r>
      <w:r w:rsidRPr="00CB7A33">
        <w:rPr>
          <w:noProof/>
        </w:rPr>
        <w:t>Chicago, IL: Winsteps.com.</w:t>
      </w:r>
    </w:p>
    <w:p w14:paraId="4D8F41C1" w14:textId="77777777" w:rsidR="00424C85" w:rsidRDefault="00424C85" w:rsidP="00BA5519">
      <w:pPr>
        <w:pStyle w:val="References"/>
        <w:rPr>
          <w:noProof/>
        </w:rPr>
      </w:pPr>
      <w:r>
        <w:rPr>
          <w:noProof/>
        </w:rPr>
        <w:t xml:space="preserve">Linacre, J. M. 2015. </w:t>
      </w:r>
      <w:r>
        <w:rPr>
          <w:i/>
          <w:noProof/>
        </w:rPr>
        <w:t>A User’s guide to WINSTEPS/MINISTEP: Rasch-model Computer Programs</w:t>
      </w:r>
      <w:r>
        <w:rPr>
          <w:noProof/>
        </w:rPr>
        <w:t xml:space="preserve">. </w:t>
      </w:r>
      <w:r w:rsidRPr="00CB7A33">
        <w:rPr>
          <w:noProof/>
        </w:rPr>
        <w:t xml:space="preserve">Chicago, IL: Winsteps.com. </w:t>
      </w:r>
    </w:p>
    <w:p w14:paraId="0BDA6461" w14:textId="0F7E067C" w:rsidR="00424C85" w:rsidRPr="00CB7A33" w:rsidRDefault="00424C85" w:rsidP="00BA5519">
      <w:pPr>
        <w:pStyle w:val="References"/>
        <w:rPr>
          <w:noProof/>
        </w:rPr>
      </w:pPr>
      <w:r>
        <w:rPr>
          <w:noProof/>
        </w:rPr>
        <w:t xml:space="preserve">Liston, D., J. Whitcomb, and H. Borko. 2006. “Too Little or Too Much Teacher Preparation and the First Years of Teaching.” </w:t>
      </w:r>
      <w:r w:rsidRPr="00915A2D">
        <w:rPr>
          <w:i/>
          <w:noProof/>
        </w:rPr>
        <w:t>Journal of Teacher Education</w:t>
      </w:r>
      <w:r w:rsidR="00AD4A1E">
        <w:rPr>
          <w:noProof/>
        </w:rPr>
        <w:t xml:space="preserve"> 57 (4): 351–</w:t>
      </w:r>
      <w:r>
        <w:rPr>
          <w:noProof/>
        </w:rPr>
        <w:t>358.</w:t>
      </w:r>
    </w:p>
    <w:p w14:paraId="544999DB" w14:textId="120B9CF5" w:rsidR="00424C85" w:rsidRPr="00CB7A33" w:rsidRDefault="00424C85" w:rsidP="00BA5519">
      <w:pPr>
        <w:pStyle w:val="References"/>
        <w:rPr>
          <w:noProof/>
        </w:rPr>
      </w:pPr>
      <w:r>
        <w:rPr>
          <w:noProof/>
        </w:rPr>
        <w:lastRenderedPageBreak/>
        <w:t>Masters, G. N. 1982</w:t>
      </w:r>
      <w:r w:rsidRPr="00CB7A33">
        <w:rPr>
          <w:noProof/>
        </w:rPr>
        <w:t xml:space="preserve">. </w:t>
      </w:r>
      <w:r>
        <w:rPr>
          <w:noProof/>
        </w:rPr>
        <w:t>“A Rasch Model For Partial Credit S</w:t>
      </w:r>
      <w:r w:rsidRPr="00CB7A33">
        <w:rPr>
          <w:noProof/>
        </w:rPr>
        <w:t>coring.</w:t>
      </w:r>
      <w:r>
        <w:rPr>
          <w:noProof/>
        </w:rPr>
        <w:t>”</w:t>
      </w:r>
      <w:r w:rsidRPr="00CB7A33">
        <w:rPr>
          <w:noProof/>
        </w:rPr>
        <w:t xml:space="preserve"> </w:t>
      </w:r>
      <w:r>
        <w:rPr>
          <w:i/>
          <w:noProof/>
        </w:rPr>
        <w:t>Psychometrika</w:t>
      </w:r>
      <w:r w:rsidRPr="00CB7A33">
        <w:rPr>
          <w:i/>
          <w:noProof/>
        </w:rPr>
        <w:t xml:space="preserve"> </w:t>
      </w:r>
      <w:r w:rsidRPr="003C3498">
        <w:rPr>
          <w:noProof/>
        </w:rPr>
        <w:t>47</w:t>
      </w:r>
      <w:r>
        <w:rPr>
          <w:i/>
          <w:noProof/>
        </w:rPr>
        <w:t xml:space="preserve"> </w:t>
      </w:r>
      <w:r w:rsidR="00AD4A1E">
        <w:rPr>
          <w:noProof/>
        </w:rPr>
        <w:t>(2): 149–</w:t>
      </w:r>
      <w:r>
        <w:rPr>
          <w:noProof/>
        </w:rPr>
        <w:t>174.</w:t>
      </w:r>
      <w:r w:rsidRPr="00CB7A33">
        <w:rPr>
          <w:noProof/>
        </w:rPr>
        <w:t xml:space="preserve"> </w:t>
      </w:r>
    </w:p>
    <w:p w14:paraId="26A03E60" w14:textId="706502BC" w:rsidR="00424C85" w:rsidRPr="00CB7A33" w:rsidRDefault="00424C85" w:rsidP="00BA5519">
      <w:pPr>
        <w:pStyle w:val="References"/>
        <w:rPr>
          <w:noProof/>
        </w:rPr>
      </w:pPr>
      <w:r w:rsidRPr="00CB7A33">
        <w:rPr>
          <w:noProof/>
        </w:rPr>
        <w:t xml:space="preserve">Masters, G. N., </w:t>
      </w:r>
      <w:r>
        <w:rPr>
          <w:noProof/>
        </w:rPr>
        <w:t>and B. D. Wright. 1997</w:t>
      </w:r>
      <w:r w:rsidRPr="00CB7A33">
        <w:rPr>
          <w:noProof/>
        </w:rPr>
        <w:t xml:space="preserve">. </w:t>
      </w:r>
      <w:r>
        <w:rPr>
          <w:noProof/>
        </w:rPr>
        <w:t>“The Partial Credit M</w:t>
      </w:r>
      <w:r w:rsidRPr="00CB7A33">
        <w:rPr>
          <w:noProof/>
        </w:rPr>
        <w:t>odel.</w:t>
      </w:r>
      <w:r>
        <w:rPr>
          <w:noProof/>
        </w:rPr>
        <w:t>”</w:t>
      </w:r>
      <w:r w:rsidRPr="00CB7A33">
        <w:rPr>
          <w:noProof/>
        </w:rPr>
        <w:t xml:space="preserve"> In </w:t>
      </w:r>
      <w:r>
        <w:rPr>
          <w:i/>
          <w:noProof/>
        </w:rPr>
        <w:t>Handbook of Modern Item Response T</w:t>
      </w:r>
      <w:r w:rsidRPr="00CB7A33">
        <w:rPr>
          <w:i/>
          <w:noProof/>
        </w:rPr>
        <w:t>heory</w:t>
      </w:r>
      <w:r>
        <w:rPr>
          <w:i/>
          <w:noProof/>
        </w:rPr>
        <w:t xml:space="preserve">, </w:t>
      </w:r>
      <w:r>
        <w:rPr>
          <w:noProof/>
        </w:rPr>
        <w:t xml:space="preserve">edited by </w:t>
      </w:r>
      <w:r w:rsidRPr="00CB7A33">
        <w:rPr>
          <w:noProof/>
        </w:rPr>
        <w:t xml:space="preserve">W. J. v. d. Linden </w:t>
      </w:r>
      <w:r>
        <w:rPr>
          <w:noProof/>
        </w:rPr>
        <w:t>and</w:t>
      </w:r>
      <w:r w:rsidRPr="00CB7A33">
        <w:rPr>
          <w:noProof/>
        </w:rPr>
        <w:t xml:space="preserve"> R. K. Hambleton</w:t>
      </w:r>
      <w:r w:rsidR="00AD4A1E">
        <w:rPr>
          <w:noProof/>
        </w:rPr>
        <w:t>, 101–</w:t>
      </w:r>
      <w:r>
        <w:rPr>
          <w:noProof/>
        </w:rPr>
        <w:t>121</w:t>
      </w:r>
      <w:r w:rsidRPr="00CB7A33">
        <w:rPr>
          <w:noProof/>
        </w:rPr>
        <w:t>. New York: Springer.</w:t>
      </w:r>
    </w:p>
    <w:p w14:paraId="61DF3FE9" w14:textId="3CB53DCA" w:rsidR="00424C85" w:rsidRPr="00CB7A33" w:rsidRDefault="00424C85" w:rsidP="00426061">
      <w:pPr>
        <w:pStyle w:val="References"/>
        <w:rPr>
          <w:noProof/>
        </w:rPr>
      </w:pPr>
      <w:r>
        <w:rPr>
          <w:noProof/>
        </w:rPr>
        <w:t>Messick, S. 1995</w:t>
      </w:r>
      <w:r w:rsidRPr="00CB7A33">
        <w:rPr>
          <w:noProof/>
        </w:rPr>
        <w:t xml:space="preserve">. </w:t>
      </w:r>
      <w:r>
        <w:rPr>
          <w:noProof/>
        </w:rPr>
        <w:t>“Validity of Psychological Assessment: Validation of Inferences From Persons' Responses and Performances as Scientific I</w:t>
      </w:r>
      <w:r w:rsidRPr="00CB7A33">
        <w:rPr>
          <w:noProof/>
        </w:rPr>
        <w:t xml:space="preserve">nquiry </w:t>
      </w:r>
      <w:r>
        <w:rPr>
          <w:noProof/>
        </w:rPr>
        <w:t>Into Score M</w:t>
      </w:r>
      <w:r w:rsidRPr="00CB7A33">
        <w:rPr>
          <w:noProof/>
        </w:rPr>
        <w:t>eaning.</w:t>
      </w:r>
      <w:r>
        <w:rPr>
          <w:noProof/>
        </w:rPr>
        <w:t>”</w:t>
      </w:r>
      <w:r w:rsidRPr="00CB7A33">
        <w:rPr>
          <w:noProof/>
        </w:rPr>
        <w:t xml:space="preserve"> </w:t>
      </w:r>
      <w:r>
        <w:rPr>
          <w:i/>
          <w:noProof/>
        </w:rPr>
        <w:t>American psychologist</w:t>
      </w:r>
      <w:r w:rsidRPr="00CB7A33">
        <w:rPr>
          <w:i/>
          <w:noProof/>
        </w:rPr>
        <w:t xml:space="preserve"> </w:t>
      </w:r>
      <w:r w:rsidRPr="003C3498">
        <w:rPr>
          <w:noProof/>
        </w:rPr>
        <w:t>50</w:t>
      </w:r>
      <w:r>
        <w:rPr>
          <w:i/>
          <w:noProof/>
        </w:rPr>
        <w:t xml:space="preserve"> </w:t>
      </w:r>
      <w:r>
        <w:rPr>
          <w:noProof/>
        </w:rPr>
        <w:t>(9):</w:t>
      </w:r>
      <w:r w:rsidRPr="00CB7A33">
        <w:rPr>
          <w:noProof/>
        </w:rPr>
        <w:t xml:space="preserve"> 741. </w:t>
      </w:r>
    </w:p>
    <w:p w14:paraId="4CA3B844" w14:textId="0E2EF266" w:rsidR="00424C85" w:rsidRDefault="00424C85" w:rsidP="00BA5519">
      <w:pPr>
        <w:pStyle w:val="References"/>
        <w:rPr>
          <w:noProof/>
        </w:rPr>
      </w:pPr>
      <w:r>
        <w:rPr>
          <w:noProof/>
        </w:rPr>
        <w:t>Pampaka, M., J. Williams, G. Hutcheson, G. Wake, L. Black, P. Davis</w:t>
      </w:r>
      <w:r w:rsidRPr="00CB7A33">
        <w:rPr>
          <w:noProof/>
        </w:rPr>
        <w:t xml:space="preserve">, </w:t>
      </w:r>
      <w:r>
        <w:rPr>
          <w:noProof/>
        </w:rPr>
        <w:t>and P. Hernandez Martinez. 2012</w:t>
      </w:r>
      <w:r w:rsidRPr="00CB7A33">
        <w:rPr>
          <w:noProof/>
        </w:rPr>
        <w:t xml:space="preserve">. </w:t>
      </w:r>
      <w:r>
        <w:rPr>
          <w:noProof/>
        </w:rPr>
        <w:t>“The Association Between Mathematics Pedagogy and Learners’ Dispositions for University S</w:t>
      </w:r>
      <w:r w:rsidRPr="00CB7A33">
        <w:rPr>
          <w:noProof/>
        </w:rPr>
        <w:t>tudy.</w:t>
      </w:r>
      <w:r>
        <w:rPr>
          <w:noProof/>
        </w:rPr>
        <w:t>”</w:t>
      </w:r>
      <w:r w:rsidRPr="00CB7A33">
        <w:rPr>
          <w:noProof/>
        </w:rPr>
        <w:t xml:space="preserve"> </w:t>
      </w:r>
      <w:r w:rsidRPr="00CB7A33">
        <w:rPr>
          <w:i/>
          <w:noProof/>
        </w:rPr>
        <w:t>British Educatio</w:t>
      </w:r>
      <w:r>
        <w:rPr>
          <w:i/>
          <w:noProof/>
        </w:rPr>
        <w:t>nal Research Journal</w:t>
      </w:r>
      <w:r w:rsidRPr="00CB7A33">
        <w:rPr>
          <w:i/>
          <w:noProof/>
        </w:rPr>
        <w:t xml:space="preserve"> </w:t>
      </w:r>
      <w:r w:rsidRPr="003C3498">
        <w:rPr>
          <w:noProof/>
        </w:rPr>
        <w:t>38</w:t>
      </w:r>
      <w:r>
        <w:rPr>
          <w:i/>
          <w:noProof/>
        </w:rPr>
        <w:t xml:space="preserve"> </w:t>
      </w:r>
      <w:r w:rsidR="00AD4A1E">
        <w:rPr>
          <w:noProof/>
        </w:rPr>
        <w:t>(3): 473–</w:t>
      </w:r>
      <w:r>
        <w:rPr>
          <w:noProof/>
        </w:rPr>
        <w:t>496.</w:t>
      </w:r>
    </w:p>
    <w:p w14:paraId="3FE0F4C0" w14:textId="77777777" w:rsidR="00424C85" w:rsidRDefault="00424C85" w:rsidP="00BA5519">
      <w:pPr>
        <w:pStyle w:val="References"/>
        <w:rPr>
          <w:noProof/>
        </w:rPr>
      </w:pPr>
      <w:r w:rsidRPr="00A53EAB">
        <w:rPr>
          <w:noProof/>
        </w:rPr>
        <w:t xml:space="preserve">Pepin, B., K. O. Lysø, and S. A. Sikko. 2012. “Student Educational Experiences at Transition From Upper Secondary to Higher Education Mathematics.” </w:t>
      </w:r>
      <w:r w:rsidRPr="00A53EAB">
        <w:rPr>
          <w:noProof/>
          <w:lang w:val="nb-NO"/>
        </w:rPr>
        <w:t xml:space="preserve">In </w:t>
      </w:r>
      <w:r w:rsidRPr="00A53EAB">
        <w:rPr>
          <w:i/>
          <w:noProof/>
          <w:lang w:val="nb-NO"/>
        </w:rPr>
        <w:t>FoU i Praksis 2011: Rapport Fra Konferanse om Praksisrettet FoU i Lærerutdanning</w:t>
      </w:r>
      <w:r w:rsidRPr="00A53EAB">
        <w:rPr>
          <w:noProof/>
          <w:lang w:val="nb-NO"/>
        </w:rPr>
        <w:t xml:space="preserve">, edited by F. Rønning, R. Disen, H. Hoveid, and I. Pareliussen, 275-285. </w:t>
      </w:r>
      <w:r w:rsidRPr="00A53EAB">
        <w:rPr>
          <w:noProof/>
        </w:rPr>
        <w:t>Trondheim: Tapir Akademisk Forlag.</w:t>
      </w:r>
    </w:p>
    <w:p w14:paraId="762F5BF4" w14:textId="4DFAAAEB" w:rsidR="001D3892" w:rsidRPr="00CB7A33" w:rsidRDefault="001D3892" w:rsidP="001D3892">
      <w:pPr>
        <w:pStyle w:val="References"/>
        <w:rPr>
          <w:noProof/>
        </w:rPr>
      </w:pPr>
      <w:r>
        <w:rPr>
          <w:noProof/>
        </w:rPr>
        <w:t>Rasch, G. 1960</w:t>
      </w:r>
      <w:r w:rsidRPr="00CB7A33">
        <w:rPr>
          <w:noProof/>
        </w:rPr>
        <w:t xml:space="preserve">. </w:t>
      </w:r>
      <w:r>
        <w:rPr>
          <w:i/>
          <w:noProof/>
        </w:rPr>
        <w:t>Probabilistic Models for Some Intelligence and Attainment T</w:t>
      </w:r>
      <w:r w:rsidRPr="00CB7A33">
        <w:rPr>
          <w:i/>
          <w:noProof/>
        </w:rPr>
        <w:t>ests</w:t>
      </w:r>
      <w:r>
        <w:rPr>
          <w:noProof/>
        </w:rPr>
        <w:t>. Copenhagen</w:t>
      </w:r>
      <w:r w:rsidRPr="00CB7A33">
        <w:rPr>
          <w:noProof/>
        </w:rPr>
        <w:t>: Danish Institute for Educational Research. (Expanded edition, 1980. Chicago, IL: University of Chicago Press.).</w:t>
      </w:r>
    </w:p>
    <w:p w14:paraId="303BAAEF" w14:textId="313B5B6E" w:rsidR="00432383" w:rsidRDefault="00432383" w:rsidP="007365D9">
      <w:pPr>
        <w:pStyle w:val="EndNoteBibliography"/>
        <w:spacing w:line="360" w:lineRule="auto"/>
        <w:ind w:left="720" w:hanging="720"/>
        <w:rPr>
          <w:noProof/>
          <w:lang w:val="en-US"/>
        </w:rPr>
      </w:pPr>
      <w:r>
        <w:rPr>
          <w:noProof/>
          <w:lang w:val="en-US"/>
        </w:rPr>
        <w:t xml:space="preserve">Rasch, G. </w:t>
      </w:r>
      <w:r w:rsidRPr="00432383">
        <w:rPr>
          <w:noProof/>
          <w:lang w:val="en-US"/>
        </w:rPr>
        <w:t>196</w:t>
      </w:r>
      <w:r>
        <w:rPr>
          <w:noProof/>
          <w:lang w:val="en-US"/>
        </w:rPr>
        <w:t>1</w:t>
      </w:r>
      <w:r w:rsidRPr="00432383">
        <w:rPr>
          <w:noProof/>
          <w:lang w:val="en-US"/>
        </w:rPr>
        <w:t xml:space="preserve">. </w:t>
      </w:r>
      <w:r>
        <w:rPr>
          <w:noProof/>
          <w:lang w:val="en-US"/>
        </w:rPr>
        <w:t>“On General Laws and the Meaning of Measurement in P</w:t>
      </w:r>
      <w:r w:rsidRPr="00432383">
        <w:rPr>
          <w:noProof/>
          <w:lang w:val="en-US"/>
        </w:rPr>
        <w:t>sychology.</w:t>
      </w:r>
      <w:r>
        <w:rPr>
          <w:noProof/>
          <w:lang w:val="en-US"/>
        </w:rPr>
        <w:t xml:space="preserve">” In </w:t>
      </w:r>
      <w:r w:rsidRPr="00880A56">
        <w:rPr>
          <w:i/>
          <w:noProof/>
          <w:lang w:val="en-US"/>
        </w:rPr>
        <w:t>Proceedings of the Fourth Berkley Symposium on Mathemati</w:t>
      </w:r>
      <w:r w:rsidR="00880A56" w:rsidRPr="00880A56">
        <w:rPr>
          <w:i/>
          <w:noProof/>
          <w:lang w:val="en-US"/>
        </w:rPr>
        <w:t>cal Statistics and Probability, Vol. 4</w:t>
      </w:r>
      <w:r w:rsidR="00880A56">
        <w:rPr>
          <w:noProof/>
          <w:lang w:val="en-US"/>
        </w:rPr>
        <w:t>, edited by J. Neyman, 321-334</w:t>
      </w:r>
      <w:r w:rsidRPr="00432383">
        <w:rPr>
          <w:noProof/>
          <w:lang w:val="en-US"/>
        </w:rPr>
        <w:t>. Berkley, CA: University of California Press.</w:t>
      </w:r>
    </w:p>
    <w:p w14:paraId="4982273F" w14:textId="4CCEDB5B" w:rsidR="007365D9" w:rsidRPr="00A53EAB" w:rsidRDefault="007365D9" w:rsidP="007365D9">
      <w:pPr>
        <w:pStyle w:val="EndNoteBibliography"/>
        <w:spacing w:line="360" w:lineRule="auto"/>
        <w:ind w:left="720" w:hanging="720"/>
        <w:rPr>
          <w:noProof/>
          <w:lang w:val="en-US"/>
        </w:rPr>
      </w:pPr>
      <w:r w:rsidRPr="00A53EAB">
        <w:rPr>
          <w:noProof/>
          <w:lang w:val="en-US"/>
        </w:rPr>
        <w:t xml:space="preserve">Raymond, A. M. 1997. ”Inconsistency Between a Beginning Elementary School Teacher's Mathematics Beliefs and Teaching Practice.” </w:t>
      </w:r>
      <w:r w:rsidRPr="00A53EAB">
        <w:rPr>
          <w:i/>
          <w:noProof/>
          <w:lang w:val="en-US"/>
        </w:rPr>
        <w:t>Journal for Research in Mathematics Education</w:t>
      </w:r>
      <w:r w:rsidRPr="00A53EAB">
        <w:rPr>
          <w:noProof/>
          <w:lang w:val="en-US"/>
        </w:rPr>
        <w:t xml:space="preserve"> </w:t>
      </w:r>
      <w:r w:rsidR="007C359D" w:rsidRPr="00A53EAB">
        <w:rPr>
          <w:noProof/>
          <w:lang w:val="en-US"/>
        </w:rPr>
        <w:t xml:space="preserve">28 (5): </w:t>
      </w:r>
      <w:r w:rsidR="00AD4A1E" w:rsidRPr="00A53EAB">
        <w:rPr>
          <w:noProof/>
          <w:lang w:val="en-US"/>
        </w:rPr>
        <w:t>550</w:t>
      </w:r>
      <w:r w:rsidR="00AD4A1E" w:rsidRPr="00A53EAB">
        <w:rPr>
          <w:noProof/>
        </w:rPr>
        <w:t>–</w:t>
      </w:r>
      <w:r w:rsidRPr="00A53EAB">
        <w:rPr>
          <w:noProof/>
          <w:lang w:val="en-US"/>
        </w:rPr>
        <w:t xml:space="preserve">576. </w:t>
      </w:r>
    </w:p>
    <w:p w14:paraId="248F6197" w14:textId="53D7D4C4" w:rsidR="00424C85" w:rsidRDefault="00424C85" w:rsidP="007365D9">
      <w:pPr>
        <w:pStyle w:val="References"/>
        <w:rPr>
          <w:noProof/>
        </w:rPr>
      </w:pPr>
      <w:r>
        <w:rPr>
          <w:noProof/>
        </w:rPr>
        <w:t>Schoenfeld, A. H. 2014</w:t>
      </w:r>
      <w:r w:rsidRPr="00CB7A33">
        <w:rPr>
          <w:noProof/>
        </w:rPr>
        <w:t xml:space="preserve">. </w:t>
      </w:r>
      <w:r>
        <w:rPr>
          <w:noProof/>
        </w:rPr>
        <w:t>“What Makes for Powerful Classrooms, and How Can We Support Teachers in Creating Them? A Story of Research and Practice, Productively I</w:t>
      </w:r>
      <w:r w:rsidRPr="00CB7A33">
        <w:rPr>
          <w:noProof/>
        </w:rPr>
        <w:t>ntertwined.</w:t>
      </w:r>
      <w:r>
        <w:rPr>
          <w:noProof/>
        </w:rPr>
        <w:t>”</w:t>
      </w:r>
      <w:r w:rsidRPr="00CB7A33">
        <w:rPr>
          <w:noProof/>
        </w:rPr>
        <w:t xml:space="preserve"> </w:t>
      </w:r>
      <w:r>
        <w:rPr>
          <w:i/>
          <w:noProof/>
        </w:rPr>
        <w:t>Educational Researcher</w:t>
      </w:r>
      <w:r w:rsidRPr="00CB7A33">
        <w:rPr>
          <w:i/>
          <w:noProof/>
        </w:rPr>
        <w:t xml:space="preserve"> </w:t>
      </w:r>
      <w:r w:rsidRPr="003C3498">
        <w:rPr>
          <w:noProof/>
        </w:rPr>
        <w:t>43:</w:t>
      </w:r>
      <w:r w:rsidR="00AD4A1E">
        <w:rPr>
          <w:noProof/>
        </w:rPr>
        <w:t xml:space="preserve"> 404–</w:t>
      </w:r>
      <w:r>
        <w:rPr>
          <w:noProof/>
        </w:rPr>
        <w:t>412.</w:t>
      </w:r>
    </w:p>
    <w:p w14:paraId="31DB35E5" w14:textId="03278D9C" w:rsidR="00C4509C" w:rsidRPr="00CB7A33" w:rsidRDefault="00C4509C" w:rsidP="007365D9">
      <w:pPr>
        <w:pStyle w:val="References"/>
        <w:rPr>
          <w:noProof/>
        </w:rPr>
      </w:pPr>
      <w:r>
        <w:rPr>
          <w:noProof/>
        </w:rPr>
        <w:t>Schumacker, R. E. 2015</w:t>
      </w:r>
      <w:r w:rsidRPr="00C4509C">
        <w:rPr>
          <w:noProof/>
        </w:rPr>
        <w:t xml:space="preserve">. </w:t>
      </w:r>
      <w:r>
        <w:rPr>
          <w:noProof/>
        </w:rPr>
        <w:t>“Detecting Measurement Disturbance Effects: The Graphical Display of Item C</w:t>
      </w:r>
      <w:r w:rsidRPr="00C4509C">
        <w:rPr>
          <w:noProof/>
        </w:rPr>
        <w:t>haracteristics.</w:t>
      </w:r>
      <w:r>
        <w:rPr>
          <w:noProof/>
        </w:rPr>
        <w:t>”</w:t>
      </w:r>
      <w:r w:rsidRPr="00C4509C">
        <w:rPr>
          <w:noProof/>
        </w:rPr>
        <w:t xml:space="preserve"> </w:t>
      </w:r>
      <w:r w:rsidRPr="00C4509C">
        <w:rPr>
          <w:i/>
          <w:noProof/>
        </w:rPr>
        <w:t>Journal of Applied Measurement</w:t>
      </w:r>
      <w:r w:rsidRPr="00C4509C">
        <w:rPr>
          <w:noProof/>
        </w:rPr>
        <w:t xml:space="preserve"> 16</w:t>
      </w:r>
      <w:r>
        <w:rPr>
          <w:noProof/>
        </w:rPr>
        <w:t xml:space="preserve"> (1): 76</w:t>
      </w:r>
      <w:r w:rsidRPr="00A53EAB">
        <w:rPr>
          <w:noProof/>
        </w:rPr>
        <w:t>–</w:t>
      </w:r>
      <w:r w:rsidRPr="00C4509C">
        <w:rPr>
          <w:noProof/>
        </w:rPr>
        <w:t>81.</w:t>
      </w:r>
    </w:p>
    <w:p w14:paraId="2B9F9DEC" w14:textId="7B89A220" w:rsidR="00424C85" w:rsidRPr="00CB7A33" w:rsidRDefault="00424C85" w:rsidP="00BA5519">
      <w:pPr>
        <w:pStyle w:val="References"/>
        <w:rPr>
          <w:noProof/>
        </w:rPr>
      </w:pPr>
      <w:r>
        <w:rPr>
          <w:noProof/>
        </w:rPr>
        <w:lastRenderedPageBreak/>
        <w:t>Skott, J. 2001</w:t>
      </w:r>
      <w:r w:rsidRPr="00CB7A33">
        <w:rPr>
          <w:noProof/>
        </w:rPr>
        <w:t xml:space="preserve">. </w:t>
      </w:r>
      <w:r>
        <w:rPr>
          <w:noProof/>
        </w:rPr>
        <w:t>“</w:t>
      </w:r>
      <w:r w:rsidRPr="00CB7A33">
        <w:rPr>
          <w:noProof/>
        </w:rPr>
        <w:t>The Emerging Pracitces of a Novice Teacher: The Roles of His School Mathematics Images.</w:t>
      </w:r>
      <w:r>
        <w:rPr>
          <w:noProof/>
        </w:rPr>
        <w:t>”</w:t>
      </w:r>
      <w:r w:rsidRPr="00CB7A33">
        <w:rPr>
          <w:noProof/>
        </w:rPr>
        <w:t xml:space="preserve"> </w:t>
      </w:r>
      <w:r>
        <w:rPr>
          <w:i/>
          <w:noProof/>
        </w:rPr>
        <w:t>Journal of Mathematics Teacher Education</w:t>
      </w:r>
      <w:r w:rsidRPr="00CB7A33">
        <w:rPr>
          <w:i/>
          <w:noProof/>
        </w:rPr>
        <w:t xml:space="preserve"> </w:t>
      </w:r>
      <w:r w:rsidRPr="003C3498">
        <w:rPr>
          <w:noProof/>
        </w:rPr>
        <w:t>4</w:t>
      </w:r>
      <w:r>
        <w:rPr>
          <w:i/>
          <w:noProof/>
        </w:rPr>
        <w:t xml:space="preserve"> </w:t>
      </w:r>
      <w:r w:rsidR="00AD4A1E">
        <w:rPr>
          <w:noProof/>
        </w:rPr>
        <w:t>(1): 3–</w:t>
      </w:r>
      <w:r>
        <w:rPr>
          <w:noProof/>
        </w:rPr>
        <w:t>28.</w:t>
      </w:r>
      <w:r w:rsidRPr="00CB7A33">
        <w:rPr>
          <w:noProof/>
        </w:rPr>
        <w:t xml:space="preserve"> </w:t>
      </w:r>
    </w:p>
    <w:p w14:paraId="257A25D3" w14:textId="55039AD1" w:rsidR="00424C85" w:rsidRPr="00CB7A33" w:rsidRDefault="00424C85" w:rsidP="00BA5519">
      <w:pPr>
        <w:pStyle w:val="References"/>
        <w:rPr>
          <w:noProof/>
        </w:rPr>
      </w:pPr>
      <w:r>
        <w:rPr>
          <w:noProof/>
        </w:rPr>
        <w:t>Smith, R. M., R. E. Schumacker</w:t>
      </w:r>
      <w:r w:rsidRPr="00CB7A33">
        <w:rPr>
          <w:noProof/>
        </w:rPr>
        <w:t xml:space="preserve">, </w:t>
      </w:r>
      <w:r>
        <w:rPr>
          <w:noProof/>
        </w:rPr>
        <w:t>and M. J. Busch. 1998</w:t>
      </w:r>
      <w:r w:rsidRPr="00CB7A33">
        <w:rPr>
          <w:noProof/>
        </w:rPr>
        <w:t xml:space="preserve">. </w:t>
      </w:r>
      <w:r>
        <w:rPr>
          <w:noProof/>
        </w:rPr>
        <w:t>“Using Item Mean Squares to Evaluate Fit to the Rasch M</w:t>
      </w:r>
      <w:r w:rsidRPr="00CB7A33">
        <w:rPr>
          <w:noProof/>
        </w:rPr>
        <w:t>odel.</w:t>
      </w:r>
      <w:r>
        <w:rPr>
          <w:noProof/>
        </w:rPr>
        <w:t>”</w:t>
      </w:r>
      <w:r w:rsidRPr="00CB7A33">
        <w:rPr>
          <w:noProof/>
        </w:rPr>
        <w:t xml:space="preserve"> </w:t>
      </w:r>
      <w:r>
        <w:rPr>
          <w:i/>
          <w:noProof/>
        </w:rPr>
        <w:t>Journal of Outcome Measurement</w:t>
      </w:r>
      <w:r w:rsidRPr="00CB7A33">
        <w:rPr>
          <w:i/>
          <w:noProof/>
        </w:rPr>
        <w:t xml:space="preserve"> </w:t>
      </w:r>
      <w:r w:rsidRPr="003C3498">
        <w:rPr>
          <w:noProof/>
        </w:rPr>
        <w:t>2 (</w:t>
      </w:r>
      <w:r w:rsidR="00AD4A1E">
        <w:rPr>
          <w:noProof/>
        </w:rPr>
        <w:t>1): 66–</w:t>
      </w:r>
      <w:r>
        <w:rPr>
          <w:noProof/>
        </w:rPr>
        <w:t>78.</w:t>
      </w:r>
    </w:p>
    <w:p w14:paraId="5A09E73E" w14:textId="3FDC846C" w:rsidR="00424C85" w:rsidRPr="00CB7A33" w:rsidRDefault="00424C85" w:rsidP="00BA5519">
      <w:pPr>
        <w:pStyle w:val="References"/>
        <w:rPr>
          <w:noProof/>
        </w:rPr>
      </w:pPr>
      <w:r>
        <w:rPr>
          <w:noProof/>
        </w:rPr>
        <w:t>Stephan, M. 2014</w:t>
      </w:r>
      <w:r w:rsidRPr="00CB7A33">
        <w:rPr>
          <w:noProof/>
        </w:rPr>
        <w:t xml:space="preserve">. </w:t>
      </w:r>
      <w:r>
        <w:rPr>
          <w:noProof/>
        </w:rPr>
        <w:t>“</w:t>
      </w:r>
      <w:r w:rsidRPr="00CB7A33">
        <w:rPr>
          <w:noProof/>
        </w:rPr>
        <w:t>Learner-</w:t>
      </w:r>
      <w:r w:rsidR="003351F8">
        <w:rPr>
          <w:noProof/>
        </w:rPr>
        <w:t>Centred</w:t>
      </w:r>
      <w:r w:rsidRPr="00CB7A33">
        <w:rPr>
          <w:noProof/>
        </w:rPr>
        <w:t xml:space="preserve"> Teaching in Mathematics Education.</w:t>
      </w:r>
      <w:r>
        <w:rPr>
          <w:noProof/>
        </w:rPr>
        <w:t>” In</w:t>
      </w:r>
      <w:r w:rsidRPr="00CB7A33">
        <w:rPr>
          <w:noProof/>
        </w:rPr>
        <w:t xml:space="preserve"> </w:t>
      </w:r>
      <w:r w:rsidRPr="00CB7A33">
        <w:rPr>
          <w:i/>
          <w:noProof/>
        </w:rPr>
        <w:t>Encyclopedia of Mathematics Education</w:t>
      </w:r>
      <w:r>
        <w:rPr>
          <w:i/>
          <w:noProof/>
        </w:rPr>
        <w:t xml:space="preserve">, </w:t>
      </w:r>
      <w:r>
        <w:rPr>
          <w:noProof/>
        </w:rPr>
        <w:t xml:space="preserve">edited by </w:t>
      </w:r>
      <w:r w:rsidRPr="00CB7A33">
        <w:rPr>
          <w:noProof/>
        </w:rPr>
        <w:t>S. Lerman</w:t>
      </w:r>
      <w:r>
        <w:rPr>
          <w:noProof/>
        </w:rPr>
        <w:t xml:space="preserve">, </w:t>
      </w:r>
      <w:r w:rsidR="00AD4A1E">
        <w:rPr>
          <w:noProof/>
        </w:rPr>
        <w:t>338–</w:t>
      </w:r>
      <w:r w:rsidRPr="00CB7A33">
        <w:rPr>
          <w:noProof/>
        </w:rPr>
        <w:t>3</w:t>
      </w:r>
      <w:r>
        <w:rPr>
          <w:noProof/>
        </w:rPr>
        <w:t>43</w:t>
      </w:r>
      <w:r w:rsidRPr="00CB7A33">
        <w:rPr>
          <w:noProof/>
        </w:rPr>
        <w:t>. Dordrecht</w:t>
      </w:r>
      <w:r>
        <w:rPr>
          <w:noProof/>
        </w:rPr>
        <w:t>: Springer</w:t>
      </w:r>
      <w:r w:rsidRPr="00CB7A33">
        <w:rPr>
          <w:noProof/>
        </w:rPr>
        <w:t>.</w:t>
      </w:r>
    </w:p>
    <w:p w14:paraId="48F91C53" w14:textId="42B68381" w:rsidR="00424C85" w:rsidRPr="00CB7A33" w:rsidRDefault="00424C85" w:rsidP="00BA5519">
      <w:pPr>
        <w:pStyle w:val="References"/>
        <w:rPr>
          <w:noProof/>
        </w:rPr>
      </w:pPr>
      <w:r>
        <w:rPr>
          <w:noProof/>
        </w:rPr>
        <w:t>Swan, M. 2006</w:t>
      </w:r>
      <w:r w:rsidRPr="00CB7A33">
        <w:rPr>
          <w:noProof/>
        </w:rPr>
        <w:t xml:space="preserve">. </w:t>
      </w:r>
      <w:r>
        <w:rPr>
          <w:noProof/>
        </w:rPr>
        <w:t>“Designing and Using Research Instruments to Describe the Beliefs and Practices of Mathematics T</w:t>
      </w:r>
      <w:r w:rsidRPr="00CB7A33">
        <w:rPr>
          <w:noProof/>
        </w:rPr>
        <w:t>eachers.</w:t>
      </w:r>
      <w:r>
        <w:rPr>
          <w:noProof/>
        </w:rPr>
        <w:t>”</w:t>
      </w:r>
      <w:r w:rsidRPr="00CB7A33">
        <w:rPr>
          <w:noProof/>
        </w:rPr>
        <w:t xml:space="preserve"> </w:t>
      </w:r>
      <w:r>
        <w:rPr>
          <w:i/>
          <w:noProof/>
        </w:rPr>
        <w:t>Research in Education</w:t>
      </w:r>
      <w:r w:rsidRPr="00CB7A33">
        <w:rPr>
          <w:i/>
          <w:noProof/>
        </w:rPr>
        <w:t xml:space="preserve"> 75</w:t>
      </w:r>
      <w:r>
        <w:rPr>
          <w:i/>
          <w:noProof/>
        </w:rPr>
        <w:t xml:space="preserve"> </w:t>
      </w:r>
      <w:r w:rsidR="00AD4A1E">
        <w:rPr>
          <w:noProof/>
        </w:rPr>
        <w:t>(1): 58–</w:t>
      </w:r>
      <w:r>
        <w:rPr>
          <w:noProof/>
        </w:rPr>
        <w:t>70.</w:t>
      </w:r>
      <w:r w:rsidRPr="00CB7A33">
        <w:rPr>
          <w:noProof/>
        </w:rPr>
        <w:t xml:space="preserve"> </w:t>
      </w:r>
    </w:p>
    <w:p w14:paraId="17C07E16" w14:textId="696F2A16" w:rsidR="00424C85" w:rsidRPr="00CB7A33" w:rsidRDefault="00424C85" w:rsidP="00BA5519">
      <w:pPr>
        <w:pStyle w:val="References"/>
        <w:rPr>
          <w:noProof/>
        </w:rPr>
      </w:pPr>
      <w:r>
        <w:rPr>
          <w:noProof/>
        </w:rPr>
        <w:t>Thompson, A. G. 1984</w:t>
      </w:r>
      <w:r w:rsidRPr="00CB7A33">
        <w:rPr>
          <w:noProof/>
        </w:rPr>
        <w:t xml:space="preserve">. </w:t>
      </w:r>
      <w:r>
        <w:rPr>
          <w:noProof/>
        </w:rPr>
        <w:t>“The Relationship of Teachers' C</w:t>
      </w:r>
      <w:r w:rsidRPr="00CB7A33">
        <w:rPr>
          <w:noProof/>
        </w:rPr>
        <w:t>onceptio</w:t>
      </w:r>
      <w:r>
        <w:rPr>
          <w:noProof/>
        </w:rPr>
        <w:t>ns of Mathematics and Mathematics Teaching to Instructional P</w:t>
      </w:r>
      <w:r w:rsidRPr="00CB7A33">
        <w:rPr>
          <w:noProof/>
        </w:rPr>
        <w:t>ractice.</w:t>
      </w:r>
      <w:r>
        <w:rPr>
          <w:noProof/>
        </w:rPr>
        <w:t>”</w:t>
      </w:r>
      <w:r w:rsidRPr="00CB7A33">
        <w:rPr>
          <w:noProof/>
        </w:rPr>
        <w:t xml:space="preserve"> </w:t>
      </w:r>
      <w:r w:rsidRPr="00CB7A33">
        <w:rPr>
          <w:i/>
          <w:noProof/>
        </w:rPr>
        <w:t>Edu</w:t>
      </w:r>
      <w:r>
        <w:rPr>
          <w:i/>
          <w:noProof/>
        </w:rPr>
        <w:t>cational Studies in Mathematics</w:t>
      </w:r>
      <w:r w:rsidRPr="00CB7A33">
        <w:rPr>
          <w:i/>
          <w:noProof/>
        </w:rPr>
        <w:t xml:space="preserve"> </w:t>
      </w:r>
      <w:r w:rsidRPr="003C3498">
        <w:rPr>
          <w:noProof/>
        </w:rPr>
        <w:t>15</w:t>
      </w:r>
      <w:r>
        <w:rPr>
          <w:i/>
          <w:noProof/>
        </w:rPr>
        <w:t xml:space="preserve"> </w:t>
      </w:r>
      <w:r w:rsidR="00AD4A1E">
        <w:rPr>
          <w:noProof/>
        </w:rPr>
        <w:t>(2): 105–</w:t>
      </w:r>
      <w:r>
        <w:rPr>
          <w:noProof/>
        </w:rPr>
        <w:t>127.</w:t>
      </w:r>
      <w:r w:rsidRPr="00CB7A33">
        <w:rPr>
          <w:noProof/>
        </w:rPr>
        <w:t xml:space="preserve"> </w:t>
      </w:r>
    </w:p>
    <w:p w14:paraId="4EB1D4FA" w14:textId="21141DE5" w:rsidR="00424C85" w:rsidRPr="00CB7A33" w:rsidRDefault="00424C85" w:rsidP="00BA5519">
      <w:pPr>
        <w:pStyle w:val="References"/>
        <w:rPr>
          <w:noProof/>
        </w:rPr>
      </w:pPr>
      <w:r>
        <w:rPr>
          <w:noProof/>
        </w:rPr>
        <w:t>Thompson, A. G. 1992</w:t>
      </w:r>
      <w:r w:rsidRPr="00CB7A33">
        <w:rPr>
          <w:noProof/>
        </w:rPr>
        <w:t xml:space="preserve">. </w:t>
      </w:r>
      <w:r>
        <w:rPr>
          <w:noProof/>
        </w:rPr>
        <w:t>“Teachers’ Beliefs and Conceptions: A Synthesis of the R</w:t>
      </w:r>
      <w:r w:rsidRPr="00CB7A33">
        <w:rPr>
          <w:noProof/>
        </w:rPr>
        <w:t>esearch.</w:t>
      </w:r>
      <w:r>
        <w:rPr>
          <w:noProof/>
        </w:rPr>
        <w:t>”</w:t>
      </w:r>
      <w:r w:rsidRPr="00CB7A33">
        <w:rPr>
          <w:noProof/>
        </w:rPr>
        <w:t xml:space="preserve"> In </w:t>
      </w:r>
      <w:r>
        <w:rPr>
          <w:i/>
          <w:noProof/>
        </w:rPr>
        <w:t>Handbook of Research on Mathematics T</w:t>
      </w:r>
      <w:r w:rsidRPr="00CB7A33">
        <w:rPr>
          <w:i/>
          <w:noProof/>
        </w:rPr>
        <w:t>eachi</w:t>
      </w:r>
      <w:r>
        <w:rPr>
          <w:i/>
          <w:noProof/>
        </w:rPr>
        <w:t>ng and L</w:t>
      </w:r>
      <w:r w:rsidRPr="00CB7A33">
        <w:rPr>
          <w:i/>
          <w:noProof/>
        </w:rPr>
        <w:t>earning</w:t>
      </w:r>
      <w:r>
        <w:rPr>
          <w:i/>
          <w:noProof/>
        </w:rPr>
        <w:t xml:space="preserve">, </w:t>
      </w:r>
      <w:r>
        <w:rPr>
          <w:noProof/>
        </w:rPr>
        <w:t xml:space="preserve">edited by </w:t>
      </w:r>
      <w:r w:rsidRPr="00CB7A33">
        <w:rPr>
          <w:noProof/>
        </w:rPr>
        <w:t>D. A. Grouws</w:t>
      </w:r>
      <w:r w:rsidR="00AD4A1E">
        <w:rPr>
          <w:noProof/>
        </w:rPr>
        <w:t>, 127–</w:t>
      </w:r>
      <w:r>
        <w:rPr>
          <w:noProof/>
        </w:rPr>
        <w:t>146</w:t>
      </w:r>
      <w:r w:rsidRPr="00CB7A33">
        <w:rPr>
          <w:noProof/>
        </w:rPr>
        <w:t>. Reston, VA: National Council of Teachers of Mathematics.</w:t>
      </w:r>
    </w:p>
    <w:p w14:paraId="1744637F" w14:textId="77777777" w:rsidR="00424C85" w:rsidRPr="00CB7A33" w:rsidRDefault="00424C85" w:rsidP="00BA5519">
      <w:pPr>
        <w:pStyle w:val="References"/>
        <w:rPr>
          <w:noProof/>
        </w:rPr>
      </w:pPr>
      <w:r>
        <w:rPr>
          <w:noProof/>
        </w:rPr>
        <w:t>Thurstone, L. L. 1959</w:t>
      </w:r>
      <w:r w:rsidRPr="00CB7A33">
        <w:rPr>
          <w:noProof/>
        </w:rPr>
        <w:t xml:space="preserve">. </w:t>
      </w:r>
      <w:r>
        <w:rPr>
          <w:i/>
          <w:noProof/>
        </w:rPr>
        <w:t>The Measurement of V</w:t>
      </w:r>
      <w:r w:rsidRPr="00CB7A33">
        <w:rPr>
          <w:i/>
          <w:noProof/>
        </w:rPr>
        <w:t>alues</w:t>
      </w:r>
      <w:r w:rsidRPr="00CB7A33">
        <w:rPr>
          <w:noProof/>
        </w:rPr>
        <w:t>. Chicago, Illinois: The University of Chicago Press.</w:t>
      </w:r>
    </w:p>
    <w:p w14:paraId="35A9CF76" w14:textId="12914374" w:rsidR="00424C85" w:rsidRDefault="00424C85" w:rsidP="00BA5519">
      <w:pPr>
        <w:pStyle w:val="References"/>
        <w:rPr>
          <w:noProof/>
        </w:rPr>
      </w:pPr>
      <w:r w:rsidRPr="00CB7A33">
        <w:rPr>
          <w:noProof/>
        </w:rPr>
        <w:t xml:space="preserve">Wolfe, E., </w:t>
      </w:r>
      <w:r>
        <w:rPr>
          <w:noProof/>
        </w:rPr>
        <w:t>and E. Smith Jr. 2006</w:t>
      </w:r>
      <w:r w:rsidRPr="00CB7A33">
        <w:rPr>
          <w:noProof/>
        </w:rPr>
        <w:t xml:space="preserve">. </w:t>
      </w:r>
      <w:r>
        <w:rPr>
          <w:noProof/>
        </w:rPr>
        <w:t>“</w:t>
      </w:r>
      <w:r w:rsidRPr="00CB7A33">
        <w:rPr>
          <w:noProof/>
        </w:rPr>
        <w:t>Instrume</w:t>
      </w:r>
      <w:r>
        <w:rPr>
          <w:noProof/>
        </w:rPr>
        <w:t>nt Development Tools and Activities for Measure Validation Using Rasch Models: P</w:t>
      </w:r>
      <w:r w:rsidRPr="00CB7A33">
        <w:rPr>
          <w:noProof/>
        </w:rPr>
        <w:t>art II</w:t>
      </w:r>
      <w:r>
        <w:rPr>
          <w:noProof/>
        </w:rPr>
        <w:t xml:space="preserve"> - Validation A</w:t>
      </w:r>
      <w:r w:rsidRPr="00CB7A33">
        <w:rPr>
          <w:noProof/>
        </w:rPr>
        <w:t>ctivities.</w:t>
      </w:r>
      <w:r>
        <w:rPr>
          <w:noProof/>
        </w:rPr>
        <w:t>”</w:t>
      </w:r>
      <w:r w:rsidRPr="00CB7A33">
        <w:rPr>
          <w:noProof/>
        </w:rPr>
        <w:t xml:space="preserve"> </w:t>
      </w:r>
      <w:r>
        <w:rPr>
          <w:i/>
          <w:noProof/>
        </w:rPr>
        <w:t>Journal of Applied Measurement</w:t>
      </w:r>
      <w:r w:rsidRPr="00CB7A33">
        <w:rPr>
          <w:i/>
          <w:noProof/>
        </w:rPr>
        <w:t xml:space="preserve"> </w:t>
      </w:r>
      <w:r w:rsidRPr="003C3498">
        <w:rPr>
          <w:noProof/>
        </w:rPr>
        <w:t xml:space="preserve">8 </w:t>
      </w:r>
      <w:r w:rsidR="00AD4A1E">
        <w:rPr>
          <w:noProof/>
        </w:rPr>
        <w:t>(2): 204–</w:t>
      </w:r>
      <w:r>
        <w:rPr>
          <w:noProof/>
        </w:rPr>
        <w:t>234.</w:t>
      </w:r>
    </w:p>
    <w:p w14:paraId="4E88B0EA" w14:textId="1474BA51" w:rsidR="00424C85" w:rsidRDefault="00424C85" w:rsidP="00BA5519">
      <w:pPr>
        <w:pStyle w:val="References"/>
        <w:rPr>
          <w:noProof/>
        </w:rPr>
      </w:pPr>
      <w:r>
        <w:rPr>
          <w:noProof/>
        </w:rPr>
        <w:t>Worthy, J. 2005</w:t>
      </w:r>
      <w:r w:rsidRPr="00915A2D">
        <w:rPr>
          <w:noProof/>
        </w:rPr>
        <w:t xml:space="preserve">. </w:t>
      </w:r>
      <w:r>
        <w:rPr>
          <w:noProof/>
        </w:rPr>
        <w:t>“</w:t>
      </w:r>
      <w:r w:rsidRPr="00915A2D">
        <w:rPr>
          <w:noProof/>
        </w:rPr>
        <w:t>‘I</w:t>
      </w:r>
      <w:r>
        <w:rPr>
          <w:noProof/>
        </w:rPr>
        <w:t>t Didn't Have to Be So Hard’: the First Years of Teaching in an Urban S</w:t>
      </w:r>
      <w:r w:rsidRPr="00915A2D">
        <w:rPr>
          <w:noProof/>
        </w:rPr>
        <w:t>chool.</w:t>
      </w:r>
      <w:r>
        <w:rPr>
          <w:noProof/>
        </w:rPr>
        <w:t>”</w:t>
      </w:r>
      <w:r w:rsidRPr="00915A2D">
        <w:rPr>
          <w:noProof/>
        </w:rPr>
        <w:t xml:space="preserve"> </w:t>
      </w:r>
      <w:r w:rsidRPr="000418CE">
        <w:rPr>
          <w:i/>
          <w:noProof/>
        </w:rPr>
        <w:t>International Journal of Qualitative Studies in Education</w:t>
      </w:r>
      <w:r w:rsidRPr="00915A2D">
        <w:rPr>
          <w:noProof/>
        </w:rPr>
        <w:t xml:space="preserve"> 18</w:t>
      </w:r>
      <w:r w:rsidR="00AD4A1E">
        <w:rPr>
          <w:noProof/>
        </w:rPr>
        <w:t xml:space="preserve"> (3): 379–</w:t>
      </w:r>
      <w:r>
        <w:rPr>
          <w:noProof/>
        </w:rPr>
        <w:t>398.</w:t>
      </w:r>
    </w:p>
    <w:p w14:paraId="6CF7F30C" w14:textId="08D27A9A" w:rsidR="00424C85" w:rsidRPr="00B7606E" w:rsidRDefault="00424C85" w:rsidP="00BA5519">
      <w:pPr>
        <w:pStyle w:val="References"/>
        <w:rPr>
          <w:noProof/>
        </w:rPr>
      </w:pPr>
      <w:r w:rsidRPr="00B7606E">
        <w:rPr>
          <w:noProof/>
        </w:rPr>
        <w:t xml:space="preserve">Wright, B. 1997. “Fundamental Measurement for Outcome Evaluation.” </w:t>
      </w:r>
      <w:r w:rsidRPr="00B7606E">
        <w:rPr>
          <w:i/>
          <w:noProof/>
        </w:rPr>
        <w:t xml:space="preserve">Physical Medicine and Rehabilitation: State of the Art Reviews </w:t>
      </w:r>
      <w:r w:rsidRPr="003C3498">
        <w:rPr>
          <w:noProof/>
        </w:rPr>
        <w:t>11 (2):</w:t>
      </w:r>
      <w:r w:rsidR="00AD4A1E">
        <w:rPr>
          <w:noProof/>
        </w:rPr>
        <w:t xml:space="preserve"> 261–</w:t>
      </w:r>
      <w:r w:rsidRPr="00B7606E">
        <w:rPr>
          <w:noProof/>
        </w:rPr>
        <w:t xml:space="preserve">288. </w:t>
      </w:r>
    </w:p>
    <w:p w14:paraId="7F33FEBA" w14:textId="6CC12A36" w:rsidR="00424C85" w:rsidRPr="00CB7A33" w:rsidRDefault="00424C85" w:rsidP="00E62453">
      <w:pPr>
        <w:pStyle w:val="References"/>
        <w:rPr>
          <w:noProof/>
        </w:rPr>
      </w:pPr>
      <w:r w:rsidRPr="00B7606E">
        <w:rPr>
          <w:noProof/>
        </w:rPr>
        <w:t>Wright, B. 2003. “Rack and Stack: Time 1 vs Time</w:t>
      </w:r>
      <w:r w:rsidRPr="00CB7A33">
        <w:rPr>
          <w:noProof/>
        </w:rPr>
        <w:t xml:space="preserve"> 2.</w:t>
      </w:r>
      <w:r>
        <w:rPr>
          <w:noProof/>
        </w:rPr>
        <w:t>”</w:t>
      </w:r>
      <w:r w:rsidRPr="00CB7A33">
        <w:rPr>
          <w:noProof/>
        </w:rPr>
        <w:t xml:space="preserve"> </w:t>
      </w:r>
      <w:r>
        <w:rPr>
          <w:i/>
          <w:noProof/>
        </w:rPr>
        <w:t>Rasch Measurement Transactions</w:t>
      </w:r>
      <w:r w:rsidRPr="00CB7A33">
        <w:rPr>
          <w:i/>
          <w:noProof/>
        </w:rPr>
        <w:t xml:space="preserve"> </w:t>
      </w:r>
      <w:r w:rsidRPr="003C3498">
        <w:rPr>
          <w:noProof/>
        </w:rPr>
        <w:t>17</w:t>
      </w:r>
      <w:r>
        <w:rPr>
          <w:i/>
          <w:noProof/>
        </w:rPr>
        <w:t xml:space="preserve"> </w:t>
      </w:r>
      <w:r w:rsidR="00AD4A1E">
        <w:rPr>
          <w:noProof/>
        </w:rPr>
        <w:t>(1): 905–</w:t>
      </w:r>
      <w:r>
        <w:rPr>
          <w:noProof/>
        </w:rPr>
        <w:t xml:space="preserve">906. </w:t>
      </w:r>
    </w:p>
    <w:p w14:paraId="08C03104" w14:textId="77777777" w:rsidR="00424C85" w:rsidRDefault="00424C85" w:rsidP="00E62453">
      <w:pPr>
        <w:pStyle w:val="References"/>
        <w:rPr>
          <w:noProof/>
        </w:rPr>
      </w:pPr>
      <w:r w:rsidRPr="00CB7A33">
        <w:rPr>
          <w:noProof/>
        </w:rPr>
        <w:t xml:space="preserve">Wright, B. D., </w:t>
      </w:r>
      <w:r>
        <w:rPr>
          <w:noProof/>
        </w:rPr>
        <w:t>and M. H. Stone. 1979</w:t>
      </w:r>
      <w:r w:rsidRPr="00CB7A33">
        <w:rPr>
          <w:noProof/>
        </w:rPr>
        <w:t xml:space="preserve">. </w:t>
      </w:r>
      <w:r>
        <w:rPr>
          <w:i/>
          <w:noProof/>
        </w:rPr>
        <w:t>Best Test D</w:t>
      </w:r>
      <w:r w:rsidRPr="00CB7A33">
        <w:rPr>
          <w:i/>
          <w:noProof/>
        </w:rPr>
        <w:t>esign</w:t>
      </w:r>
      <w:r w:rsidRPr="00CB7A33">
        <w:rPr>
          <w:noProof/>
        </w:rPr>
        <w:t>. Chicago: Mesa Press.</w:t>
      </w:r>
    </w:p>
    <w:p w14:paraId="3A944ECE" w14:textId="1C4D3B45" w:rsidR="00BA5519" w:rsidRPr="0053448B" w:rsidRDefault="00BA5519" w:rsidP="00E62453">
      <w:pPr>
        <w:pStyle w:val="EndNoteBibliography"/>
        <w:spacing w:line="360" w:lineRule="auto"/>
        <w:ind w:left="720" w:hanging="720"/>
        <w:rPr>
          <w:noProof/>
          <w:lang w:val="en-US"/>
        </w:rPr>
      </w:pPr>
      <w:r w:rsidRPr="0053448B">
        <w:rPr>
          <w:noProof/>
          <w:lang w:val="en-US"/>
        </w:rPr>
        <w:t xml:space="preserve">Yackel, E., and P. Cobb. 1996. ”Sociomathematical Norms, Argumentation, and Autonomy in Mathematics.” </w:t>
      </w:r>
      <w:r w:rsidRPr="0053448B">
        <w:rPr>
          <w:i/>
          <w:noProof/>
          <w:lang w:val="en-US"/>
        </w:rPr>
        <w:t>Journal for Research in Mathematics Education</w:t>
      </w:r>
      <w:r w:rsidR="00AD4A1E">
        <w:rPr>
          <w:noProof/>
          <w:lang w:val="en-US"/>
        </w:rPr>
        <w:t xml:space="preserve"> 27 (4): 458</w:t>
      </w:r>
      <w:r w:rsidR="00AD4A1E">
        <w:rPr>
          <w:noProof/>
        </w:rPr>
        <w:t>–</w:t>
      </w:r>
      <w:r w:rsidRPr="0053448B">
        <w:rPr>
          <w:noProof/>
          <w:lang w:val="en-US"/>
        </w:rPr>
        <w:t xml:space="preserve">477. </w:t>
      </w:r>
    </w:p>
    <w:p w14:paraId="66A010C5" w14:textId="77777777" w:rsidR="00424C85" w:rsidRPr="00CB7A33" w:rsidRDefault="00424C85" w:rsidP="00E62453">
      <w:pPr>
        <w:pStyle w:val="References"/>
        <w:rPr>
          <w:noProof/>
        </w:rPr>
      </w:pPr>
      <w:r>
        <w:rPr>
          <w:noProof/>
        </w:rPr>
        <w:t>Yamaguchi, J. 1997. “Positive vs. Negative Wording: PCA of R</w:t>
      </w:r>
      <w:r w:rsidRPr="00CB7A33">
        <w:rPr>
          <w:noProof/>
        </w:rPr>
        <w:t>esiduals.</w:t>
      </w:r>
      <w:r>
        <w:rPr>
          <w:noProof/>
        </w:rPr>
        <w:t>”</w:t>
      </w:r>
      <w:r w:rsidRPr="00CB7A33">
        <w:rPr>
          <w:noProof/>
        </w:rPr>
        <w:t xml:space="preserve"> </w:t>
      </w:r>
      <w:r>
        <w:rPr>
          <w:i/>
          <w:noProof/>
        </w:rPr>
        <w:t>Rasch Measurement Transactions</w:t>
      </w:r>
      <w:r w:rsidRPr="00CB7A33">
        <w:rPr>
          <w:i/>
          <w:noProof/>
        </w:rPr>
        <w:t xml:space="preserve"> </w:t>
      </w:r>
      <w:r w:rsidRPr="003C3498">
        <w:rPr>
          <w:noProof/>
        </w:rPr>
        <w:t>11</w:t>
      </w:r>
      <w:r>
        <w:rPr>
          <w:i/>
          <w:noProof/>
        </w:rPr>
        <w:t xml:space="preserve"> </w:t>
      </w:r>
      <w:r w:rsidRPr="00CB7A33">
        <w:rPr>
          <w:noProof/>
        </w:rPr>
        <w:t>(2)</w:t>
      </w:r>
      <w:r>
        <w:rPr>
          <w:noProof/>
        </w:rPr>
        <w:t>: 567</w:t>
      </w:r>
      <w:r w:rsidRPr="00CB7A33">
        <w:rPr>
          <w:noProof/>
        </w:rPr>
        <w:t xml:space="preserve">. </w:t>
      </w:r>
    </w:p>
    <w:p w14:paraId="25B050E6" w14:textId="3ECB2DE2" w:rsidR="00424C85" w:rsidRDefault="00424C85" w:rsidP="00BA5519">
      <w:pPr>
        <w:pStyle w:val="References"/>
        <w:rPr>
          <w:noProof/>
        </w:rPr>
      </w:pPr>
      <w:r>
        <w:rPr>
          <w:noProof/>
        </w:rPr>
        <w:t>Zhu, W. 2002</w:t>
      </w:r>
      <w:r w:rsidRPr="00CB7A33">
        <w:rPr>
          <w:noProof/>
        </w:rPr>
        <w:t xml:space="preserve">. </w:t>
      </w:r>
      <w:r>
        <w:rPr>
          <w:noProof/>
        </w:rPr>
        <w:t>“A Confirmation Study of Rasch-based Optimal C</w:t>
      </w:r>
      <w:r w:rsidRPr="00CB7A33">
        <w:rPr>
          <w:noProof/>
        </w:rPr>
        <w:t>a</w:t>
      </w:r>
      <w:r>
        <w:rPr>
          <w:noProof/>
        </w:rPr>
        <w:t>tegorization of a Rating S</w:t>
      </w:r>
      <w:r w:rsidRPr="00CB7A33">
        <w:rPr>
          <w:noProof/>
        </w:rPr>
        <w:t>cale.</w:t>
      </w:r>
      <w:r>
        <w:rPr>
          <w:noProof/>
        </w:rPr>
        <w:t>”</w:t>
      </w:r>
      <w:r w:rsidRPr="00CB7A33">
        <w:rPr>
          <w:noProof/>
        </w:rPr>
        <w:t xml:space="preserve"> </w:t>
      </w:r>
      <w:r w:rsidRPr="00CB7A33">
        <w:rPr>
          <w:i/>
          <w:noProof/>
        </w:rPr>
        <w:t>Journal of Applied Measurement</w:t>
      </w:r>
      <w:r>
        <w:rPr>
          <w:i/>
          <w:noProof/>
        </w:rPr>
        <w:t xml:space="preserve"> </w:t>
      </w:r>
      <w:r w:rsidRPr="003C3498">
        <w:rPr>
          <w:noProof/>
        </w:rPr>
        <w:t>3</w:t>
      </w:r>
      <w:r>
        <w:rPr>
          <w:i/>
          <w:noProof/>
        </w:rPr>
        <w:t xml:space="preserve"> </w:t>
      </w:r>
      <w:r w:rsidR="00AD4A1E">
        <w:rPr>
          <w:noProof/>
        </w:rPr>
        <w:t>(1): 1–</w:t>
      </w:r>
      <w:r>
        <w:rPr>
          <w:noProof/>
        </w:rPr>
        <w:t>15.</w:t>
      </w:r>
    </w:p>
    <w:p w14:paraId="5DE41C2F" w14:textId="4324125D" w:rsidR="009A4698" w:rsidRDefault="009A4698" w:rsidP="00937482">
      <w:pPr>
        <w:pStyle w:val="References"/>
        <w:ind w:left="0" w:firstLine="0"/>
        <w:rPr>
          <w:noProof/>
        </w:rPr>
      </w:pPr>
      <w:bookmarkStart w:id="0" w:name="_GoBack"/>
      <w:bookmarkEnd w:id="0"/>
    </w:p>
    <w:sectPr w:rsidR="009A4698" w:rsidSect="00BA5519">
      <w:footerReference w:type="even" r:id="rId8"/>
      <w:footerReference w:type="default" r:id="rId9"/>
      <w:pgSz w:w="11900" w:h="16840"/>
      <w:pgMar w:top="1417" w:right="1417" w:bottom="1417"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9E3CF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ED5A2" w14:textId="77777777" w:rsidR="009106D7" w:rsidRDefault="009106D7">
      <w:pPr>
        <w:spacing w:line="240" w:lineRule="auto"/>
      </w:pPr>
      <w:r>
        <w:separator/>
      </w:r>
    </w:p>
  </w:endnote>
  <w:endnote w:type="continuationSeparator" w:id="0">
    <w:p w14:paraId="3646573D" w14:textId="77777777" w:rsidR="009106D7" w:rsidRDefault="00910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A8D24" w14:textId="77777777" w:rsidR="009106D7" w:rsidRDefault="009106D7" w:rsidP="00BA551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21</w:t>
    </w:r>
    <w:r>
      <w:rPr>
        <w:rStyle w:val="Sidetall"/>
      </w:rPr>
      <w:fldChar w:fldCharType="end"/>
    </w:r>
  </w:p>
  <w:p w14:paraId="62157A50" w14:textId="77777777" w:rsidR="009106D7" w:rsidRDefault="009106D7" w:rsidP="00BA5519">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6FE4" w14:textId="77777777" w:rsidR="009106D7" w:rsidRDefault="009106D7" w:rsidP="00BA551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937482">
      <w:rPr>
        <w:rStyle w:val="Sidetall"/>
        <w:noProof/>
      </w:rPr>
      <w:t>1</w:t>
    </w:r>
    <w:r>
      <w:rPr>
        <w:rStyle w:val="Sidetall"/>
      </w:rPr>
      <w:fldChar w:fldCharType="end"/>
    </w:r>
  </w:p>
  <w:p w14:paraId="4A8331C1" w14:textId="77777777" w:rsidR="009106D7" w:rsidRDefault="009106D7" w:rsidP="00BA5519">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EE1B1" w14:textId="77777777" w:rsidR="009106D7" w:rsidRDefault="009106D7">
      <w:pPr>
        <w:spacing w:line="240" w:lineRule="auto"/>
      </w:pPr>
      <w:r>
        <w:separator/>
      </w:r>
    </w:p>
  </w:footnote>
  <w:footnote w:type="continuationSeparator" w:id="0">
    <w:p w14:paraId="12933BA6" w14:textId="77777777" w:rsidR="009106D7" w:rsidRDefault="009106D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18"/>
  </w:num>
  <w:num w:numId="21">
    <w:abstractNumId w:val="21"/>
  </w:num>
  <w:num w:numId="22">
    <w:abstractNumId w:val="22"/>
  </w:num>
  <w:num w:numId="23">
    <w:abstractNumId w:val="13"/>
  </w:num>
  <w:num w:numId="2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in Arne Sikko">
    <w15:presenceInfo w15:providerId="AD" w15:userId="S-1-5-21-2101786634-2593133372-1145011223-38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424C85"/>
    <w:rsid w:val="0002710E"/>
    <w:rsid w:val="0003231B"/>
    <w:rsid w:val="00043733"/>
    <w:rsid w:val="00071A65"/>
    <w:rsid w:val="000773D5"/>
    <w:rsid w:val="000859C4"/>
    <w:rsid w:val="000860AB"/>
    <w:rsid w:val="000900B3"/>
    <w:rsid w:val="000A784F"/>
    <w:rsid w:val="000B21E0"/>
    <w:rsid w:val="000C5A9A"/>
    <w:rsid w:val="000C65BD"/>
    <w:rsid w:val="000D0C65"/>
    <w:rsid w:val="000D4287"/>
    <w:rsid w:val="0010587F"/>
    <w:rsid w:val="001122C5"/>
    <w:rsid w:val="0011692E"/>
    <w:rsid w:val="001520D8"/>
    <w:rsid w:val="00171728"/>
    <w:rsid w:val="001952AC"/>
    <w:rsid w:val="0019797B"/>
    <w:rsid w:val="001A2350"/>
    <w:rsid w:val="001A6339"/>
    <w:rsid w:val="001A6DD4"/>
    <w:rsid w:val="001B0E65"/>
    <w:rsid w:val="001B2864"/>
    <w:rsid w:val="001B7F17"/>
    <w:rsid w:val="001C3CF3"/>
    <w:rsid w:val="001D1FD6"/>
    <w:rsid w:val="001D3892"/>
    <w:rsid w:val="001E51C7"/>
    <w:rsid w:val="001F033E"/>
    <w:rsid w:val="002103E1"/>
    <w:rsid w:val="00212CAC"/>
    <w:rsid w:val="002443C9"/>
    <w:rsid w:val="00244C34"/>
    <w:rsid w:val="00245431"/>
    <w:rsid w:val="00251525"/>
    <w:rsid w:val="002537AC"/>
    <w:rsid w:val="00292F4B"/>
    <w:rsid w:val="002974F4"/>
    <w:rsid w:val="002D21E5"/>
    <w:rsid w:val="002D6704"/>
    <w:rsid w:val="002D7048"/>
    <w:rsid w:val="002E03D8"/>
    <w:rsid w:val="002F100A"/>
    <w:rsid w:val="00325D79"/>
    <w:rsid w:val="003331F1"/>
    <w:rsid w:val="003351F8"/>
    <w:rsid w:val="00366467"/>
    <w:rsid w:val="00366FA8"/>
    <w:rsid w:val="003A4655"/>
    <w:rsid w:val="003B368E"/>
    <w:rsid w:val="003C2A8C"/>
    <w:rsid w:val="003C3498"/>
    <w:rsid w:val="003C777F"/>
    <w:rsid w:val="003F170F"/>
    <w:rsid w:val="003F765E"/>
    <w:rsid w:val="00404F7C"/>
    <w:rsid w:val="00422085"/>
    <w:rsid w:val="00424C85"/>
    <w:rsid w:val="00425BB1"/>
    <w:rsid w:val="00426061"/>
    <w:rsid w:val="00432383"/>
    <w:rsid w:val="004362A3"/>
    <w:rsid w:val="00444CCC"/>
    <w:rsid w:val="00452BD3"/>
    <w:rsid w:val="00457DAF"/>
    <w:rsid w:val="004672DF"/>
    <w:rsid w:val="00472471"/>
    <w:rsid w:val="004865AD"/>
    <w:rsid w:val="004D554B"/>
    <w:rsid w:val="004D69E2"/>
    <w:rsid w:val="004D76F4"/>
    <w:rsid w:val="004F1E23"/>
    <w:rsid w:val="00503526"/>
    <w:rsid w:val="00504C01"/>
    <w:rsid w:val="00505E7D"/>
    <w:rsid w:val="00511CD2"/>
    <w:rsid w:val="0053448B"/>
    <w:rsid w:val="00557787"/>
    <w:rsid w:val="00563609"/>
    <w:rsid w:val="00563A21"/>
    <w:rsid w:val="00567F79"/>
    <w:rsid w:val="00573FCC"/>
    <w:rsid w:val="0058220C"/>
    <w:rsid w:val="00587965"/>
    <w:rsid w:val="005933E7"/>
    <w:rsid w:val="005A4518"/>
    <w:rsid w:val="005B0D19"/>
    <w:rsid w:val="005B1FCD"/>
    <w:rsid w:val="005B369A"/>
    <w:rsid w:val="005E034B"/>
    <w:rsid w:val="005E6AD3"/>
    <w:rsid w:val="00623069"/>
    <w:rsid w:val="006326A6"/>
    <w:rsid w:val="00636F05"/>
    <w:rsid w:val="00654A71"/>
    <w:rsid w:val="00684A34"/>
    <w:rsid w:val="006860BA"/>
    <w:rsid w:val="006B3E64"/>
    <w:rsid w:val="006B6489"/>
    <w:rsid w:val="006B6575"/>
    <w:rsid w:val="006B6ACC"/>
    <w:rsid w:val="006C52FA"/>
    <w:rsid w:val="006E6B1C"/>
    <w:rsid w:val="006F0026"/>
    <w:rsid w:val="006F2326"/>
    <w:rsid w:val="007073C7"/>
    <w:rsid w:val="00725143"/>
    <w:rsid w:val="007365D9"/>
    <w:rsid w:val="007419E6"/>
    <w:rsid w:val="00750277"/>
    <w:rsid w:val="007647AC"/>
    <w:rsid w:val="0077443C"/>
    <w:rsid w:val="00776180"/>
    <w:rsid w:val="00782439"/>
    <w:rsid w:val="00791764"/>
    <w:rsid w:val="0079366D"/>
    <w:rsid w:val="00794C96"/>
    <w:rsid w:val="00797A0A"/>
    <w:rsid w:val="007B6D4C"/>
    <w:rsid w:val="007C359D"/>
    <w:rsid w:val="007E074E"/>
    <w:rsid w:val="007E1955"/>
    <w:rsid w:val="007F6E1E"/>
    <w:rsid w:val="007F7253"/>
    <w:rsid w:val="008015C8"/>
    <w:rsid w:val="00804652"/>
    <w:rsid w:val="00835C46"/>
    <w:rsid w:val="00842479"/>
    <w:rsid w:val="00853ABA"/>
    <w:rsid w:val="00857CFC"/>
    <w:rsid w:val="00861484"/>
    <w:rsid w:val="00867E40"/>
    <w:rsid w:val="0087230A"/>
    <w:rsid w:val="00880A56"/>
    <w:rsid w:val="00894218"/>
    <w:rsid w:val="008973DA"/>
    <w:rsid w:val="008A4DD4"/>
    <w:rsid w:val="008B5190"/>
    <w:rsid w:val="008C15E4"/>
    <w:rsid w:val="009045D2"/>
    <w:rsid w:val="009106D7"/>
    <w:rsid w:val="0091231D"/>
    <w:rsid w:val="00913C43"/>
    <w:rsid w:val="00922B87"/>
    <w:rsid w:val="00937482"/>
    <w:rsid w:val="0097685E"/>
    <w:rsid w:val="009813DB"/>
    <w:rsid w:val="009838F2"/>
    <w:rsid w:val="00984C54"/>
    <w:rsid w:val="009A0B34"/>
    <w:rsid w:val="009A1116"/>
    <w:rsid w:val="009A298B"/>
    <w:rsid w:val="009A4698"/>
    <w:rsid w:val="009B2F76"/>
    <w:rsid w:val="009C0E30"/>
    <w:rsid w:val="009C7448"/>
    <w:rsid w:val="00A05846"/>
    <w:rsid w:val="00A14816"/>
    <w:rsid w:val="00A20C56"/>
    <w:rsid w:val="00A26442"/>
    <w:rsid w:val="00A26C93"/>
    <w:rsid w:val="00A404E5"/>
    <w:rsid w:val="00A46D2C"/>
    <w:rsid w:val="00A47BA7"/>
    <w:rsid w:val="00A53EAB"/>
    <w:rsid w:val="00A54C10"/>
    <w:rsid w:val="00A803C4"/>
    <w:rsid w:val="00A86614"/>
    <w:rsid w:val="00A9468A"/>
    <w:rsid w:val="00AA01DA"/>
    <w:rsid w:val="00AA4BAA"/>
    <w:rsid w:val="00AB3565"/>
    <w:rsid w:val="00AC1912"/>
    <w:rsid w:val="00AD4A1E"/>
    <w:rsid w:val="00AE41AB"/>
    <w:rsid w:val="00AF285D"/>
    <w:rsid w:val="00AF6046"/>
    <w:rsid w:val="00B01E68"/>
    <w:rsid w:val="00B11006"/>
    <w:rsid w:val="00B35D4B"/>
    <w:rsid w:val="00B36FB8"/>
    <w:rsid w:val="00B471AC"/>
    <w:rsid w:val="00B703C6"/>
    <w:rsid w:val="00B7606E"/>
    <w:rsid w:val="00B82DCE"/>
    <w:rsid w:val="00B85FE8"/>
    <w:rsid w:val="00B87DE5"/>
    <w:rsid w:val="00BA5519"/>
    <w:rsid w:val="00BB0DF0"/>
    <w:rsid w:val="00BB46C3"/>
    <w:rsid w:val="00BB78D0"/>
    <w:rsid w:val="00BC4EB2"/>
    <w:rsid w:val="00BE1082"/>
    <w:rsid w:val="00C0731C"/>
    <w:rsid w:val="00C13633"/>
    <w:rsid w:val="00C4336A"/>
    <w:rsid w:val="00C4509C"/>
    <w:rsid w:val="00C643B0"/>
    <w:rsid w:val="00C6784D"/>
    <w:rsid w:val="00C70C92"/>
    <w:rsid w:val="00C77222"/>
    <w:rsid w:val="00C821B2"/>
    <w:rsid w:val="00C85652"/>
    <w:rsid w:val="00CA7049"/>
    <w:rsid w:val="00CB37D6"/>
    <w:rsid w:val="00CD7617"/>
    <w:rsid w:val="00CE3E57"/>
    <w:rsid w:val="00CE7D2F"/>
    <w:rsid w:val="00D011E4"/>
    <w:rsid w:val="00D014AF"/>
    <w:rsid w:val="00D16FB5"/>
    <w:rsid w:val="00D3060F"/>
    <w:rsid w:val="00D37614"/>
    <w:rsid w:val="00D410CC"/>
    <w:rsid w:val="00D42E9A"/>
    <w:rsid w:val="00D64E38"/>
    <w:rsid w:val="00D8507A"/>
    <w:rsid w:val="00DA3A16"/>
    <w:rsid w:val="00DB61E5"/>
    <w:rsid w:val="00DC544C"/>
    <w:rsid w:val="00DD2287"/>
    <w:rsid w:val="00DE1719"/>
    <w:rsid w:val="00DE33BB"/>
    <w:rsid w:val="00DE6EB9"/>
    <w:rsid w:val="00DF2C1C"/>
    <w:rsid w:val="00DF3B23"/>
    <w:rsid w:val="00E10622"/>
    <w:rsid w:val="00E15EAC"/>
    <w:rsid w:val="00E2779E"/>
    <w:rsid w:val="00E378F9"/>
    <w:rsid w:val="00E37EA2"/>
    <w:rsid w:val="00E62453"/>
    <w:rsid w:val="00E71607"/>
    <w:rsid w:val="00E73FCF"/>
    <w:rsid w:val="00E765CA"/>
    <w:rsid w:val="00E919C3"/>
    <w:rsid w:val="00EA3608"/>
    <w:rsid w:val="00EA36E8"/>
    <w:rsid w:val="00EB59E1"/>
    <w:rsid w:val="00ED1D59"/>
    <w:rsid w:val="00EF6787"/>
    <w:rsid w:val="00F07E66"/>
    <w:rsid w:val="00F101A6"/>
    <w:rsid w:val="00F120E1"/>
    <w:rsid w:val="00F135A4"/>
    <w:rsid w:val="00F137E8"/>
    <w:rsid w:val="00F22B06"/>
    <w:rsid w:val="00F32BE1"/>
    <w:rsid w:val="00F47284"/>
    <w:rsid w:val="00F475E3"/>
    <w:rsid w:val="00F476C4"/>
    <w:rsid w:val="00F974E4"/>
    <w:rsid w:val="00FB2DFC"/>
    <w:rsid w:val="00FD1071"/>
    <w:rsid w:val="00FD5113"/>
    <w:rsid w:val="00FE7D23"/>
    <w:rsid w:val="00FF41CA"/>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A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85"/>
    <w:pPr>
      <w:spacing w:line="480" w:lineRule="auto"/>
    </w:pPr>
    <w:rPr>
      <w:rFonts w:ascii="Times New Roman" w:eastAsia="Times New Roman" w:hAnsi="Times New Roman" w:cs="Times New Roman"/>
      <w:lang w:val="en-GB" w:eastAsia="en-GB"/>
    </w:rPr>
  </w:style>
  <w:style w:type="paragraph" w:styleId="Overskrift1">
    <w:name w:val="heading 1"/>
    <w:basedOn w:val="Normal"/>
    <w:next w:val="Paragraph"/>
    <w:link w:val="Overskrift1Tegn"/>
    <w:qFormat/>
    <w:rsid w:val="00424C85"/>
    <w:pPr>
      <w:keepNext/>
      <w:spacing w:before="360" w:after="60" w:line="360" w:lineRule="auto"/>
      <w:ind w:right="567"/>
      <w:contextualSpacing/>
      <w:outlineLvl w:val="0"/>
    </w:pPr>
    <w:rPr>
      <w:rFonts w:cs="Arial"/>
      <w:b/>
      <w:bCs/>
      <w:kern w:val="32"/>
      <w:szCs w:val="32"/>
    </w:rPr>
  </w:style>
  <w:style w:type="paragraph" w:styleId="Overskrift2">
    <w:name w:val="heading 2"/>
    <w:basedOn w:val="Normal"/>
    <w:next w:val="Paragraph"/>
    <w:link w:val="Overskrift2Tegn"/>
    <w:qFormat/>
    <w:rsid w:val="00424C85"/>
    <w:pPr>
      <w:keepNext/>
      <w:spacing w:before="360" w:after="60" w:line="360" w:lineRule="auto"/>
      <w:ind w:right="567"/>
      <w:contextualSpacing/>
      <w:outlineLvl w:val="1"/>
    </w:pPr>
    <w:rPr>
      <w:rFonts w:cs="Arial"/>
      <w:b/>
      <w:bCs/>
      <w:i/>
      <w:iCs/>
      <w:szCs w:val="28"/>
    </w:rPr>
  </w:style>
  <w:style w:type="paragraph" w:styleId="Overskrift3">
    <w:name w:val="heading 3"/>
    <w:basedOn w:val="Normal"/>
    <w:next w:val="Paragraph"/>
    <w:link w:val="Overskrift3Tegn"/>
    <w:qFormat/>
    <w:rsid w:val="00424C85"/>
    <w:pPr>
      <w:keepNext/>
      <w:spacing w:before="360" w:after="60" w:line="360" w:lineRule="auto"/>
      <w:ind w:right="567"/>
      <w:contextualSpacing/>
      <w:outlineLvl w:val="2"/>
    </w:pPr>
    <w:rPr>
      <w:rFonts w:cs="Arial"/>
      <w:bCs/>
      <w:i/>
      <w:szCs w:val="26"/>
    </w:rPr>
  </w:style>
  <w:style w:type="paragraph" w:styleId="Overskrift4">
    <w:name w:val="heading 4"/>
    <w:basedOn w:val="Paragraph"/>
    <w:next w:val="Newparagraph"/>
    <w:link w:val="Overskrift4Tegn"/>
    <w:qFormat/>
    <w:rsid w:val="00424C85"/>
    <w:pPr>
      <w:spacing w:before="360"/>
      <w:outlineLvl w:val="3"/>
    </w:pPr>
    <w:rPr>
      <w:bCs/>
      <w:szCs w:val="28"/>
    </w:rPr>
  </w:style>
  <w:style w:type="paragraph" w:styleId="Overskrift5">
    <w:name w:val="heading 5"/>
    <w:basedOn w:val="Normal"/>
    <w:next w:val="Normal"/>
    <w:link w:val="Overskrift5Tegn"/>
    <w:uiPriority w:val="9"/>
    <w:unhideWhenUsed/>
    <w:qFormat/>
    <w:rsid w:val="00424C85"/>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424C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24C85"/>
    <w:rPr>
      <w:rFonts w:ascii="Times New Roman" w:eastAsia="Times New Roman" w:hAnsi="Times New Roman" w:cs="Arial"/>
      <w:b/>
      <w:bCs/>
      <w:kern w:val="32"/>
      <w:szCs w:val="32"/>
      <w:lang w:val="en-GB" w:eastAsia="en-GB"/>
    </w:rPr>
  </w:style>
  <w:style w:type="character" w:customStyle="1" w:styleId="Overskrift2Tegn">
    <w:name w:val="Overskrift 2 Tegn"/>
    <w:basedOn w:val="Standardskriftforavsnitt"/>
    <w:link w:val="Overskrift2"/>
    <w:rsid w:val="00424C85"/>
    <w:rPr>
      <w:rFonts w:ascii="Times New Roman" w:eastAsia="Times New Roman" w:hAnsi="Times New Roman" w:cs="Arial"/>
      <w:b/>
      <w:bCs/>
      <w:i/>
      <w:iCs/>
      <w:szCs w:val="28"/>
      <w:lang w:val="en-GB" w:eastAsia="en-GB"/>
    </w:rPr>
  </w:style>
  <w:style w:type="character" w:customStyle="1" w:styleId="Overskrift3Tegn">
    <w:name w:val="Overskrift 3 Tegn"/>
    <w:basedOn w:val="Standardskriftforavsnitt"/>
    <w:link w:val="Overskrift3"/>
    <w:rsid w:val="00424C85"/>
    <w:rPr>
      <w:rFonts w:ascii="Times New Roman" w:eastAsia="Times New Roman" w:hAnsi="Times New Roman" w:cs="Arial"/>
      <w:bCs/>
      <w:i/>
      <w:szCs w:val="26"/>
      <w:lang w:val="en-GB" w:eastAsia="en-GB"/>
    </w:rPr>
  </w:style>
  <w:style w:type="character" w:customStyle="1" w:styleId="Overskrift4Tegn">
    <w:name w:val="Overskrift 4 Tegn"/>
    <w:basedOn w:val="Standardskriftforavsnitt"/>
    <w:link w:val="Overskrift4"/>
    <w:rsid w:val="00424C85"/>
    <w:rPr>
      <w:rFonts w:ascii="Times New Roman" w:eastAsia="Times New Roman" w:hAnsi="Times New Roman" w:cs="Times New Roman"/>
      <w:bCs/>
      <w:szCs w:val="28"/>
      <w:lang w:val="en-GB" w:eastAsia="en-GB"/>
    </w:rPr>
  </w:style>
  <w:style w:type="character" w:customStyle="1" w:styleId="Overskrift5Tegn">
    <w:name w:val="Overskrift 5 Tegn"/>
    <w:basedOn w:val="Standardskriftforavsnitt"/>
    <w:link w:val="Overskrift5"/>
    <w:uiPriority w:val="9"/>
    <w:rsid w:val="00424C85"/>
    <w:rPr>
      <w:rFonts w:asciiTheme="majorHAnsi" w:eastAsiaTheme="majorEastAsia" w:hAnsiTheme="majorHAnsi" w:cstheme="majorBidi"/>
      <w:color w:val="243F60" w:themeColor="accent1" w:themeShade="7F"/>
      <w:lang w:val="en-GB" w:eastAsia="en-GB"/>
    </w:rPr>
  </w:style>
  <w:style w:type="character" w:customStyle="1" w:styleId="Overskrift6Tegn">
    <w:name w:val="Overskrift 6 Tegn"/>
    <w:basedOn w:val="Standardskriftforavsnitt"/>
    <w:link w:val="Overskrift6"/>
    <w:uiPriority w:val="9"/>
    <w:rsid w:val="00424C85"/>
    <w:rPr>
      <w:rFonts w:asciiTheme="majorHAnsi" w:eastAsiaTheme="majorEastAsia" w:hAnsiTheme="majorHAnsi" w:cstheme="majorBidi"/>
      <w:i/>
      <w:iCs/>
      <w:color w:val="243F60" w:themeColor="accent1" w:themeShade="7F"/>
      <w:lang w:val="en-GB" w:eastAsia="en-GB"/>
    </w:rPr>
  </w:style>
  <w:style w:type="paragraph" w:customStyle="1" w:styleId="Articletitle">
    <w:name w:val="Article title"/>
    <w:basedOn w:val="Normal"/>
    <w:next w:val="Normal"/>
    <w:qFormat/>
    <w:rsid w:val="00424C85"/>
    <w:pPr>
      <w:spacing w:after="120" w:line="360" w:lineRule="auto"/>
    </w:pPr>
    <w:rPr>
      <w:b/>
      <w:sz w:val="28"/>
    </w:rPr>
  </w:style>
  <w:style w:type="paragraph" w:customStyle="1" w:styleId="Authornames">
    <w:name w:val="Author names"/>
    <w:basedOn w:val="Normal"/>
    <w:next w:val="Normal"/>
    <w:qFormat/>
    <w:rsid w:val="00424C85"/>
    <w:pPr>
      <w:spacing w:before="240" w:line="360" w:lineRule="auto"/>
    </w:pPr>
    <w:rPr>
      <w:sz w:val="28"/>
    </w:rPr>
  </w:style>
  <w:style w:type="paragraph" w:customStyle="1" w:styleId="Affiliation">
    <w:name w:val="Affiliation"/>
    <w:basedOn w:val="Normal"/>
    <w:qFormat/>
    <w:rsid w:val="00424C85"/>
    <w:pPr>
      <w:spacing w:before="240" w:line="360" w:lineRule="auto"/>
    </w:pPr>
    <w:rPr>
      <w:i/>
    </w:rPr>
  </w:style>
  <w:style w:type="paragraph" w:customStyle="1" w:styleId="Receiveddates">
    <w:name w:val="Received dates"/>
    <w:basedOn w:val="Affiliation"/>
    <w:next w:val="Abstract"/>
    <w:qFormat/>
    <w:rsid w:val="00424C85"/>
  </w:style>
  <w:style w:type="paragraph" w:customStyle="1" w:styleId="Abstract">
    <w:name w:val="Abstract"/>
    <w:basedOn w:val="Normal"/>
    <w:next w:val="Keywords"/>
    <w:qFormat/>
    <w:rsid w:val="00424C85"/>
    <w:pPr>
      <w:spacing w:before="360" w:after="300" w:line="360" w:lineRule="auto"/>
      <w:ind w:left="720" w:right="567"/>
      <w:contextualSpacing/>
    </w:pPr>
    <w:rPr>
      <w:sz w:val="22"/>
    </w:rPr>
  </w:style>
  <w:style w:type="paragraph" w:customStyle="1" w:styleId="Keywords">
    <w:name w:val="Keywords"/>
    <w:basedOn w:val="Normal"/>
    <w:next w:val="Paragraph"/>
    <w:qFormat/>
    <w:rsid w:val="00424C85"/>
    <w:pPr>
      <w:spacing w:before="240" w:after="240" w:line="360" w:lineRule="auto"/>
      <w:ind w:left="720" w:right="567"/>
    </w:pPr>
    <w:rPr>
      <w:sz w:val="22"/>
    </w:rPr>
  </w:style>
  <w:style w:type="paragraph" w:customStyle="1" w:styleId="Correspondencedetails">
    <w:name w:val="Correspondence details"/>
    <w:basedOn w:val="Normal"/>
    <w:qFormat/>
    <w:rsid w:val="00424C85"/>
    <w:pPr>
      <w:spacing w:before="240" w:line="360" w:lineRule="auto"/>
    </w:pPr>
  </w:style>
  <w:style w:type="paragraph" w:customStyle="1" w:styleId="Displayedquotation">
    <w:name w:val="Displayed quotation"/>
    <w:basedOn w:val="Normal"/>
    <w:qFormat/>
    <w:rsid w:val="00424C8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424C85"/>
    <w:pPr>
      <w:widowControl/>
      <w:numPr>
        <w:numId w:val="13"/>
      </w:numPr>
      <w:spacing w:after="240"/>
      <w:contextualSpacing/>
    </w:pPr>
  </w:style>
  <w:style w:type="paragraph" w:customStyle="1" w:styleId="Displayedequation">
    <w:name w:val="Displayed equation"/>
    <w:basedOn w:val="Normal"/>
    <w:next w:val="Paragraph"/>
    <w:qFormat/>
    <w:rsid w:val="00424C85"/>
    <w:pPr>
      <w:tabs>
        <w:tab w:val="center" w:pos="4253"/>
        <w:tab w:val="right" w:pos="8222"/>
      </w:tabs>
      <w:spacing w:before="240" w:after="240"/>
      <w:jc w:val="center"/>
    </w:pPr>
  </w:style>
  <w:style w:type="paragraph" w:customStyle="1" w:styleId="Acknowledgements">
    <w:name w:val="Acknowledgements"/>
    <w:basedOn w:val="Normal"/>
    <w:next w:val="Normal"/>
    <w:qFormat/>
    <w:rsid w:val="00424C85"/>
    <w:pPr>
      <w:spacing w:before="120" w:line="360" w:lineRule="auto"/>
    </w:pPr>
    <w:rPr>
      <w:sz w:val="22"/>
    </w:rPr>
  </w:style>
  <w:style w:type="paragraph" w:customStyle="1" w:styleId="Tabletitle">
    <w:name w:val="Table title"/>
    <w:basedOn w:val="Normal"/>
    <w:next w:val="Normal"/>
    <w:qFormat/>
    <w:rsid w:val="00424C85"/>
    <w:pPr>
      <w:spacing w:before="240" w:line="360" w:lineRule="auto"/>
    </w:pPr>
  </w:style>
  <w:style w:type="paragraph" w:customStyle="1" w:styleId="Figurecaption">
    <w:name w:val="Figure caption"/>
    <w:basedOn w:val="Normal"/>
    <w:next w:val="Normal"/>
    <w:qFormat/>
    <w:rsid w:val="00424C85"/>
    <w:pPr>
      <w:spacing w:before="240" w:line="360" w:lineRule="auto"/>
    </w:pPr>
  </w:style>
  <w:style w:type="paragraph" w:customStyle="1" w:styleId="Footnotes">
    <w:name w:val="Footnotes"/>
    <w:basedOn w:val="Normal"/>
    <w:qFormat/>
    <w:rsid w:val="00424C85"/>
    <w:pPr>
      <w:spacing w:before="120" w:line="360" w:lineRule="auto"/>
      <w:ind w:left="482" w:hanging="482"/>
      <w:contextualSpacing/>
    </w:pPr>
    <w:rPr>
      <w:sz w:val="22"/>
    </w:rPr>
  </w:style>
  <w:style w:type="paragraph" w:customStyle="1" w:styleId="Notesoncontributors">
    <w:name w:val="Notes on contributors"/>
    <w:basedOn w:val="Normal"/>
    <w:qFormat/>
    <w:rsid w:val="00424C85"/>
    <w:pPr>
      <w:spacing w:before="240" w:line="360" w:lineRule="auto"/>
    </w:pPr>
    <w:rPr>
      <w:sz w:val="22"/>
    </w:rPr>
  </w:style>
  <w:style w:type="paragraph" w:customStyle="1" w:styleId="Normalparagraphstyle">
    <w:name w:val="Normal paragraph style"/>
    <w:basedOn w:val="Normal"/>
    <w:next w:val="Normal"/>
    <w:rsid w:val="00424C85"/>
  </w:style>
  <w:style w:type="paragraph" w:customStyle="1" w:styleId="Paragraph">
    <w:name w:val="Paragraph"/>
    <w:basedOn w:val="Normal"/>
    <w:next w:val="Newparagraph"/>
    <w:qFormat/>
    <w:rsid w:val="00424C85"/>
    <w:pPr>
      <w:widowControl w:val="0"/>
      <w:spacing w:before="240"/>
    </w:pPr>
  </w:style>
  <w:style w:type="paragraph" w:customStyle="1" w:styleId="Newparagraph">
    <w:name w:val="New paragraph"/>
    <w:basedOn w:val="Normal"/>
    <w:qFormat/>
    <w:rsid w:val="00424C85"/>
    <w:pPr>
      <w:ind w:firstLine="720"/>
    </w:pPr>
  </w:style>
  <w:style w:type="paragraph" w:styleId="Vanliginnrykk">
    <w:name w:val="Normal Indent"/>
    <w:basedOn w:val="Normal"/>
    <w:rsid w:val="00424C85"/>
    <w:pPr>
      <w:ind w:left="720"/>
    </w:pPr>
  </w:style>
  <w:style w:type="paragraph" w:customStyle="1" w:styleId="References">
    <w:name w:val="References"/>
    <w:basedOn w:val="Normal"/>
    <w:qFormat/>
    <w:rsid w:val="00424C85"/>
    <w:pPr>
      <w:spacing w:before="120" w:line="360" w:lineRule="auto"/>
      <w:ind w:left="720" w:hanging="720"/>
      <w:contextualSpacing/>
    </w:pPr>
  </w:style>
  <w:style w:type="paragraph" w:customStyle="1" w:styleId="Subjectcodes">
    <w:name w:val="Subject codes"/>
    <w:basedOn w:val="Keywords"/>
    <w:next w:val="Paragraph"/>
    <w:qFormat/>
    <w:rsid w:val="00424C85"/>
  </w:style>
  <w:style w:type="paragraph" w:customStyle="1" w:styleId="Bulletedlist">
    <w:name w:val="Bulleted list"/>
    <w:basedOn w:val="Paragraph"/>
    <w:next w:val="Paragraph"/>
    <w:qFormat/>
    <w:rsid w:val="00424C85"/>
    <w:pPr>
      <w:widowControl/>
      <w:numPr>
        <w:numId w:val="14"/>
      </w:numPr>
      <w:spacing w:after="240"/>
      <w:contextualSpacing/>
    </w:pPr>
  </w:style>
  <w:style w:type="paragraph" w:styleId="Fotnotetekst">
    <w:name w:val="footnote text"/>
    <w:basedOn w:val="Normal"/>
    <w:link w:val="FotnotetekstTegn"/>
    <w:autoRedefine/>
    <w:rsid w:val="00424C85"/>
    <w:pPr>
      <w:ind w:left="284" w:hanging="284"/>
    </w:pPr>
    <w:rPr>
      <w:sz w:val="22"/>
      <w:szCs w:val="20"/>
    </w:rPr>
  </w:style>
  <w:style w:type="character" w:customStyle="1" w:styleId="FotnotetekstTegn">
    <w:name w:val="Fotnotetekst Tegn"/>
    <w:basedOn w:val="Standardskriftforavsnitt"/>
    <w:link w:val="Fotnotetekst"/>
    <w:rsid w:val="00424C85"/>
    <w:rPr>
      <w:rFonts w:ascii="Times New Roman" w:eastAsia="Times New Roman" w:hAnsi="Times New Roman" w:cs="Times New Roman"/>
      <w:sz w:val="22"/>
      <w:szCs w:val="20"/>
      <w:lang w:val="en-GB" w:eastAsia="en-GB"/>
    </w:rPr>
  </w:style>
  <w:style w:type="character" w:styleId="Fotnotereferanse">
    <w:name w:val="footnote reference"/>
    <w:basedOn w:val="Standardskriftforavsnitt"/>
    <w:rsid w:val="00424C85"/>
    <w:rPr>
      <w:vertAlign w:val="superscript"/>
    </w:rPr>
  </w:style>
  <w:style w:type="paragraph" w:styleId="Sluttnotetekst">
    <w:name w:val="endnote text"/>
    <w:basedOn w:val="Normal"/>
    <w:link w:val="SluttnotetekstTegn"/>
    <w:autoRedefine/>
    <w:rsid w:val="00424C85"/>
    <w:pPr>
      <w:ind w:left="284" w:hanging="284"/>
    </w:pPr>
    <w:rPr>
      <w:sz w:val="22"/>
      <w:szCs w:val="20"/>
    </w:rPr>
  </w:style>
  <w:style w:type="character" w:customStyle="1" w:styleId="SluttnotetekstTegn">
    <w:name w:val="Sluttnotetekst Tegn"/>
    <w:basedOn w:val="Standardskriftforavsnitt"/>
    <w:link w:val="Sluttnotetekst"/>
    <w:rsid w:val="00424C85"/>
    <w:rPr>
      <w:rFonts w:ascii="Times New Roman" w:eastAsia="Times New Roman" w:hAnsi="Times New Roman" w:cs="Times New Roman"/>
      <w:sz w:val="22"/>
      <w:szCs w:val="20"/>
      <w:lang w:val="en-GB" w:eastAsia="en-GB"/>
    </w:rPr>
  </w:style>
  <w:style w:type="character" w:styleId="Sluttnotereferanse">
    <w:name w:val="endnote reference"/>
    <w:basedOn w:val="Standardskriftforavsnitt"/>
    <w:rsid w:val="00424C85"/>
    <w:rPr>
      <w:vertAlign w:val="superscript"/>
    </w:rPr>
  </w:style>
  <w:style w:type="paragraph" w:styleId="Topptekst">
    <w:name w:val="header"/>
    <w:basedOn w:val="Normal"/>
    <w:link w:val="TopptekstTegn"/>
    <w:rsid w:val="00424C85"/>
    <w:pPr>
      <w:tabs>
        <w:tab w:val="center" w:pos="4320"/>
        <w:tab w:val="right" w:pos="8640"/>
      </w:tabs>
      <w:spacing w:line="240" w:lineRule="auto"/>
    </w:pPr>
  </w:style>
  <w:style w:type="character" w:customStyle="1" w:styleId="TopptekstTegn">
    <w:name w:val="Topptekst Tegn"/>
    <w:basedOn w:val="Standardskriftforavsnitt"/>
    <w:link w:val="Topptekst"/>
    <w:rsid w:val="00424C85"/>
    <w:rPr>
      <w:rFonts w:ascii="Times New Roman" w:eastAsia="Times New Roman" w:hAnsi="Times New Roman" w:cs="Times New Roman"/>
      <w:lang w:val="en-GB" w:eastAsia="en-GB"/>
    </w:rPr>
  </w:style>
  <w:style w:type="paragraph" w:styleId="Bunntekst">
    <w:name w:val="footer"/>
    <w:basedOn w:val="Normal"/>
    <w:link w:val="BunntekstTegn"/>
    <w:rsid w:val="00424C85"/>
    <w:pPr>
      <w:tabs>
        <w:tab w:val="center" w:pos="4320"/>
        <w:tab w:val="right" w:pos="8640"/>
      </w:tabs>
      <w:spacing w:line="240" w:lineRule="auto"/>
    </w:pPr>
  </w:style>
  <w:style w:type="character" w:customStyle="1" w:styleId="BunntekstTegn">
    <w:name w:val="Bunntekst Tegn"/>
    <w:basedOn w:val="Standardskriftforavsnitt"/>
    <w:link w:val="Bunntekst"/>
    <w:rsid w:val="00424C85"/>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424C85"/>
    <w:pPr>
      <w:widowControl/>
      <w:spacing w:before="360"/>
    </w:pPr>
  </w:style>
  <w:style w:type="paragraph" w:styleId="Bobletekst">
    <w:name w:val="Balloon Text"/>
    <w:basedOn w:val="Normal"/>
    <w:link w:val="BobletekstTegn"/>
    <w:rsid w:val="00424C85"/>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rsid w:val="00424C85"/>
    <w:rPr>
      <w:rFonts w:ascii="Lucida Grande" w:eastAsia="Times New Roman" w:hAnsi="Lucida Grande" w:cs="Lucida Grande"/>
      <w:sz w:val="18"/>
      <w:szCs w:val="18"/>
      <w:lang w:val="en-GB" w:eastAsia="en-GB"/>
    </w:rPr>
  </w:style>
  <w:style w:type="character" w:styleId="Hyperkobling">
    <w:name w:val="Hyperlink"/>
    <w:uiPriority w:val="99"/>
    <w:unhideWhenUsed/>
    <w:rsid w:val="00424C85"/>
    <w:rPr>
      <w:color w:val="0000FF"/>
      <w:u w:val="single"/>
    </w:rPr>
  </w:style>
  <w:style w:type="paragraph" w:customStyle="1" w:styleId="EndNoteBibliography">
    <w:name w:val="EndNote Bibliography"/>
    <w:basedOn w:val="Normal"/>
    <w:rsid w:val="00424C85"/>
    <w:pPr>
      <w:spacing w:line="240" w:lineRule="auto"/>
    </w:pPr>
    <w:rPr>
      <w:rFonts w:eastAsia="MS Mincho"/>
      <w:lang w:val="nb-NO" w:eastAsia="nb-NO"/>
    </w:rPr>
  </w:style>
  <w:style w:type="paragraph" w:customStyle="1" w:styleId="EndNoteBibliographyTitle">
    <w:name w:val="EndNote Bibliography Title"/>
    <w:basedOn w:val="Normal"/>
    <w:rsid w:val="00424C85"/>
    <w:pPr>
      <w:jc w:val="center"/>
    </w:pPr>
  </w:style>
  <w:style w:type="paragraph" w:styleId="Dokumentkart">
    <w:name w:val="Document Map"/>
    <w:basedOn w:val="Normal"/>
    <w:link w:val="DokumentkartTegn"/>
    <w:uiPriority w:val="99"/>
    <w:semiHidden/>
    <w:unhideWhenUsed/>
    <w:rsid w:val="00424C85"/>
    <w:pPr>
      <w:spacing w:line="240" w:lineRule="auto"/>
    </w:pPr>
    <w:rPr>
      <w:rFonts w:ascii="Lucida Grande" w:hAnsi="Lucida Grande" w:cs="Lucida Grande"/>
    </w:rPr>
  </w:style>
  <w:style w:type="character" w:customStyle="1" w:styleId="DokumentkartTegn">
    <w:name w:val="Dokumentkart Tegn"/>
    <w:basedOn w:val="Standardskriftforavsnitt"/>
    <w:link w:val="Dokumentkart"/>
    <w:uiPriority w:val="99"/>
    <w:semiHidden/>
    <w:rsid w:val="00424C85"/>
    <w:rPr>
      <w:rFonts w:ascii="Lucida Grande" w:eastAsia="Times New Roman" w:hAnsi="Lucida Grande" w:cs="Lucida Grande"/>
      <w:lang w:val="en-GB" w:eastAsia="en-GB"/>
    </w:rPr>
  </w:style>
  <w:style w:type="table" w:styleId="Tabellrutenett">
    <w:name w:val="Table Grid"/>
    <w:basedOn w:val="Vanligtabell"/>
    <w:uiPriority w:val="59"/>
    <w:rsid w:val="00424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thevet">
    <w:name w:val="Emphasis"/>
    <w:basedOn w:val="Standardskriftforavsnitt"/>
    <w:uiPriority w:val="20"/>
    <w:qFormat/>
    <w:rsid w:val="00424C85"/>
    <w:rPr>
      <w:i/>
      <w:iCs/>
    </w:rPr>
  </w:style>
  <w:style w:type="character" w:styleId="Sterk">
    <w:name w:val="Strong"/>
    <w:basedOn w:val="Standardskriftforavsnitt"/>
    <w:uiPriority w:val="22"/>
    <w:qFormat/>
    <w:rsid w:val="00424C85"/>
    <w:rPr>
      <w:b/>
      <w:bCs/>
    </w:rPr>
  </w:style>
  <w:style w:type="paragraph" w:styleId="Listeavsnitt">
    <w:name w:val="List Paragraph"/>
    <w:basedOn w:val="Normal"/>
    <w:uiPriority w:val="34"/>
    <w:qFormat/>
    <w:rsid w:val="00424C85"/>
    <w:pPr>
      <w:ind w:left="720"/>
      <w:contextualSpacing/>
    </w:pPr>
  </w:style>
  <w:style w:type="character" w:styleId="Boktittel">
    <w:name w:val="Book Title"/>
    <w:basedOn w:val="Standardskriftforavsnitt"/>
    <w:uiPriority w:val="33"/>
    <w:qFormat/>
    <w:rsid w:val="00424C85"/>
    <w:rPr>
      <w:b/>
      <w:bCs/>
      <w:smallCaps/>
      <w:spacing w:val="5"/>
    </w:rPr>
  </w:style>
  <w:style w:type="character" w:styleId="Sidetall">
    <w:name w:val="page number"/>
    <w:basedOn w:val="Standardskriftforavsnitt"/>
    <w:uiPriority w:val="99"/>
    <w:semiHidden/>
    <w:unhideWhenUsed/>
    <w:rsid w:val="00424C85"/>
  </w:style>
  <w:style w:type="character" w:styleId="Merknadsreferanse">
    <w:name w:val="annotation reference"/>
    <w:basedOn w:val="Standardskriftforavsnitt"/>
    <w:uiPriority w:val="99"/>
    <w:semiHidden/>
    <w:unhideWhenUsed/>
    <w:rsid w:val="00404F7C"/>
    <w:rPr>
      <w:sz w:val="18"/>
      <w:szCs w:val="18"/>
    </w:rPr>
  </w:style>
  <w:style w:type="paragraph" w:styleId="Merknadstekst">
    <w:name w:val="annotation text"/>
    <w:basedOn w:val="Normal"/>
    <w:link w:val="MerknadstekstTegn"/>
    <w:uiPriority w:val="99"/>
    <w:semiHidden/>
    <w:unhideWhenUsed/>
    <w:rsid w:val="00404F7C"/>
    <w:pPr>
      <w:spacing w:line="240" w:lineRule="auto"/>
    </w:pPr>
  </w:style>
  <w:style w:type="character" w:customStyle="1" w:styleId="MerknadstekstTegn">
    <w:name w:val="Merknadstekst Tegn"/>
    <w:basedOn w:val="Standardskriftforavsnitt"/>
    <w:link w:val="Merknadstekst"/>
    <w:uiPriority w:val="99"/>
    <w:semiHidden/>
    <w:rsid w:val="00404F7C"/>
    <w:rPr>
      <w:rFonts w:ascii="Times New Roman" w:eastAsia="Times New Roman" w:hAnsi="Times New Roman" w:cs="Times New Roman"/>
      <w:lang w:val="en-GB" w:eastAsia="en-GB"/>
    </w:rPr>
  </w:style>
  <w:style w:type="paragraph" w:styleId="Kommentaremne">
    <w:name w:val="annotation subject"/>
    <w:basedOn w:val="Merknadstekst"/>
    <w:next w:val="Merknadstekst"/>
    <w:link w:val="KommentaremneTegn"/>
    <w:uiPriority w:val="99"/>
    <w:semiHidden/>
    <w:unhideWhenUsed/>
    <w:rsid w:val="00404F7C"/>
    <w:rPr>
      <w:b/>
      <w:bCs/>
      <w:sz w:val="20"/>
      <w:szCs w:val="20"/>
    </w:rPr>
  </w:style>
  <w:style w:type="character" w:customStyle="1" w:styleId="KommentaremneTegn">
    <w:name w:val="Kommentaremne Tegn"/>
    <w:basedOn w:val="MerknadstekstTegn"/>
    <w:link w:val="Kommentaremne"/>
    <w:uiPriority w:val="99"/>
    <w:semiHidden/>
    <w:rsid w:val="00404F7C"/>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C85"/>
    <w:pPr>
      <w:spacing w:line="480" w:lineRule="auto"/>
    </w:pPr>
    <w:rPr>
      <w:rFonts w:ascii="Times New Roman" w:eastAsia="Times New Roman" w:hAnsi="Times New Roman" w:cs="Times New Roman"/>
      <w:lang w:val="en-GB" w:eastAsia="en-GB"/>
    </w:rPr>
  </w:style>
  <w:style w:type="paragraph" w:styleId="Overskrift1">
    <w:name w:val="heading 1"/>
    <w:basedOn w:val="Normal"/>
    <w:next w:val="Paragraph"/>
    <w:link w:val="Overskrift1Tegn"/>
    <w:qFormat/>
    <w:rsid w:val="00424C85"/>
    <w:pPr>
      <w:keepNext/>
      <w:spacing w:before="360" w:after="60" w:line="360" w:lineRule="auto"/>
      <w:ind w:right="567"/>
      <w:contextualSpacing/>
      <w:outlineLvl w:val="0"/>
    </w:pPr>
    <w:rPr>
      <w:rFonts w:cs="Arial"/>
      <w:b/>
      <w:bCs/>
      <w:kern w:val="32"/>
      <w:szCs w:val="32"/>
    </w:rPr>
  </w:style>
  <w:style w:type="paragraph" w:styleId="Overskrift2">
    <w:name w:val="heading 2"/>
    <w:basedOn w:val="Normal"/>
    <w:next w:val="Paragraph"/>
    <w:link w:val="Overskrift2Tegn"/>
    <w:qFormat/>
    <w:rsid w:val="00424C85"/>
    <w:pPr>
      <w:keepNext/>
      <w:spacing w:before="360" w:after="60" w:line="360" w:lineRule="auto"/>
      <w:ind w:right="567"/>
      <w:contextualSpacing/>
      <w:outlineLvl w:val="1"/>
    </w:pPr>
    <w:rPr>
      <w:rFonts w:cs="Arial"/>
      <w:b/>
      <w:bCs/>
      <w:i/>
      <w:iCs/>
      <w:szCs w:val="28"/>
    </w:rPr>
  </w:style>
  <w:style w:type="paragraph" w:styleId="Overskrift3">
    <w:name w:val="heading 3"/>
    <w:basedOn w:val="Normal"/>
    <w:next w:val="Paragraph"/>
    <w:link w:val="Overskrift3Tegn"/>
    <w:qFormat/>
    <w:rsid w:val="00424C85"/>
    <w:pPr>
      <w:keepNext/>
      <w:spacing w:before="360" w:after="60" w:line="360" w:lineRule="auto"/>
      <w:ind w:right="567"/>
      <w:contextualSpacing/>
      <w:outlineLvl w:val="2"/>
    </w:pPr>
    <w:rPr>
      <w:rFonts w:cs="Arial"/>
      <w:bCs/>
      <w:i/>
      <w:szCs w:val="26"/>
    </w:rPr>
  </w:style>
  <w:style w:type="paragraph" w:styleId="Overskrift4">
    <w:name w:val="heading 4"/>
    <w:basedOn w:val="Paragraph"/>
    <w:next w:val="Newparagraph"/>
    <w:link w:val="Overskrift4Tegn"/>
    <w:qFormat/>
    <w:rsid w:val="00424C85"/>
    <w:pPr>
      <w:spacing w:before="360"/>
      <w:outlineLvl w:val="3"/>
    </w:pPr>
    <w:rPr>
      <w:bCs/>
      <w:szCs w:val="28"/>
    </w:rPr>
  </w:style>
  <w:style w:type="paragraph" w:styleId="Overskrift5">
    <w:name w:val="heading 5"/>
    <w:basedOn w:val="Normal"/>
    <w:next w:val="Normal"/>
    <w:link w:val="Overskrift5Tegn"/>
    <w:uiPriority w:val="9"/>
    <w:unhideWhenUsed/>
    <w:qFormat/>
    <w:rsid w:val="00424C85"/>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424C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24C85"/>
    <w:rPr>
      <w:rFonts w:ascii="Times New Roman" w:eastAsia="Times New Roman" w:hAnsi="Times New Roman" w:cs="Arial"/>
      <w:b/>
      <w:bCs/>
      <w:kern w:val="32"/>
      <w:szCs w:val="32"/>
      <w:lang w:val="en-GB" w:eastAsia="en-GB"/>
    </w:rPr>
  </w:style>
  <w:style w:type="character" w:customStyle="1" w:styleId="Overskrift2Tegn">
    <w:name w:val="Overskrift 2 Tegn"/>
    <w:basedOn w:val="Standardskriftforavsnitt"/>
    <w:link w:val="Overskrift2"/>
    <w:rsid w:val="00424C85"/>
    <w:rPr>
      <w:rFonts w:ascii="Times New Roman" w:eastAsia="Times New Roman" w:hAnsi="Times New Roman" w:cs="Arial"/>
      <w:b/>
      <w:bCs/>
      <w:i/>
      <w:iCs/>
      <w:szCs w:val="28"/>
      <w:lang w:val="en-GB" w:eastAsia="en-GB"/>
    </w:rPr>
  </w:style>
  <w:style w:type="character" w:customStyle="1" w:styleId="Overskrift3Tegn">
    <w:name w:val="Overskrift 3 Tegn"/>
    <w:basedOn w:val="Standardskriftforavsnitt"/>
    <w:link w:val="Overskrift3"/>
    <w:rsid w:val="00424C85"/>
    <w:rPr>
      <w:rFonts w:ascii="Times New Roman" w:eastAsia="Times New Roman" w:hAnsi="Times New Roman" w:cs="Arial"/>
      <w:bCs/>
      <w:i/>
      <w:szCs w:val="26"/>
      <w:lang w:val="en-GB" w:eastAsia="en-GB"/>
    </w:rPr>
  </w:style>
  <w:style w:type="character" w:customStyle="1" w:styleId="Overskrift4Tegn">
    <w:name w:val="Overskrift 4 Tegn"/>
    <w:basedOn w:val="Standardskriftforavsnitt"/>
    <w:link w:val="Overskrift4"/>
    <w:rsid w:val="00424C85"/>
    <w:rPr>
      <w:rFonts w:ascii="Times New Roman" w:eastAsia="Times New Roman" w:hAnsi="Times New Roman" w:cs="Times New Roman"/>
      <w:bCs/>
      <w:szCs w:val="28"/>
      <w:lang w:val="en-GB" w:eastAsia="en-GB"/>
    </w:rPr>
  </w:style>
  <w:style w:type="character" w:customStyle="1" w:styleId="Overskrift5Tegn">
    <w:name w:val="Overskrift 5 Tegn"/>
    <w:basedOn w:val="Standardskriftforavsnitt"/>
    <w:link w:val="Overskrift5"/>
    <w:uiPriority w:val="9"/>
    <w:rsid w:val="00424C85"/>
    <w:rPr>
      <w:rFonts w:asciiTheme="majorHAnsi" w:eastAsiaTheme="majorEastAsia" w:hAnsiTheme="majorHAnsi" w:cstheme="majorBidi"/>
      <w:color w:val="243F60" w:themeColor="accent1" w:themeShade="7F"/>
      <w:lang w:val="en-GB" w:eastAsia="en-GB"/>
    </w:rPr>
  </w:style>
  <w:style w:type="character" w:customStyle="1" w:styleId="Overskrift6Tegn">
    <w:name w:val="Overskrift 6 Tegn"/>
    <w:basedOn w:val="Standardskriftforavsnitt"/>
    <w:link w:val="Overskrift6"/>
    <w:uiPriority w:val="9"/>
    <w:rsid w:val="00424C85"/>
    <w:rPr>
      <w:rFonts w:asciiTheme="majorHAnsi" w:eastAsiaTheme="majorEastAsia" w:hAnsiTheme="majorHAnsi" w:cstheme="majorBidi"/>
      <w:i/>
      <w:iCs/>
      <w:color w:val="243F60" w:themeColor="accent1" w:themeShade="7F"/>
      <w:lang w:val="en-GB" w:eastAsia="en-GB"/>
    </w:rPr>
  </w:style>
  <w:style w:type="paragraph" w:customStyle="1" w:styleId="Articletitle">
    <w:name w:val="Article title"/>
    <w:basedOn w:val="Normal"/>
    <w:next w:val="Normal"/>
    <w:qFormat/>
    <w:rsid w:val="00424C85"/>
    <w:pPr>
      <w:spacing w:after="120" w:line="360" w:lineRule="auto"/>
    </w:pPr>
    <w:rPr>
      <w:b/>
      <w:sz w:val="28"/>
    </w:rPr>
  </w:style>
  <w:style w:type="paragraph" w:customStyle="1" w:styleId="Authornames">
    <w:name w:val="Author names"/>
    <w:basedOn w:val="Normal"/>
    <w:next w:val="Normal"/>
    <w:qFormat/>
    <w:rsid w:val="00424C85"/>
    <w:pPr>
      <w:spacing w:before="240" w:line="360" w:lineRule="auto"/>
    </w:pPr>
    <w:rPr>
      <w:sz w:val="28"/>
    </w:rPr>
  </w:style>
  <w:style w:type="paragraph" w:customStyle="1" w:styleId="Affiliation">
    <w:name w:val="Affiliation"/>
    <w:basedOn w:val="Normal"/>
    <w:qFormat/>
    <w:rsid w:val="00424C85"/>
    <w:pPr>
      <w:spacing w:before="240" w:line="360" w:lineRule="auto"/>
    </w:pPr>
    <w:rPr>
      <w:i/>
    </w:rPr>
  </w:style>
  <w:style w:type="paragraph" w:customStyle="1" w:styleId="Receiveddates">
    <w:name w:val="Received dates"/>
    <w:basedOn w:val="Affiliation"/>
    <w:next w:val="Abstract"/>
    <w:qFormat/>
    <w:rsid w:val="00424C85"/>
  </w:style>
  <w:style w:type="paragraph" w:customStyle="1" w:styleId="Abstract">
    <w:name w:val="Abstract"/>
    <w:basedOn w:val="Normal"/>
    <w:next w:val="Keywords"/>
    <w:qFormat/>
    <w:rsid w:val="00424C85"/>
    <w:pPr>
      <w:spacing w:before="360" w:after="300" w:line="360" w:lineRule="auto"/>
      <w:ind w:left="720" w:right="567"/>
      <w:contextualSpacing/>
    </w:pPr>
    <w:rPr>
      <w:sz w:val="22"/>
    </w:rPr>
  </w:style>
  <w:style w:type="paragraph" w:customStyle="1" w:styleId="Keywords">
    <w:name w:val="Keywords"/>
    <w:basedOn w:val="Normal"/>
    <w:next w:val="Paragraph"/>
    <w:qFormat/>
    <w:rsid w:val="00424C85"/>
    <w:pPr>
      <w:spacing w:before="240" w:after="240" w:line="360" w:lineRule="auto"/>
      <w:ind w:left="720" w:right="567"/>
    </w:pPr>
    <w:rPr>
      <w:sz w:val="22"/>
    </w:rPr>
  </w:style>
  <w:style w:type="paragraph" w:customStyle="1" w:styleId="Correspondencedetails">
    <w:name w:val="Correspondence details"/>
    <w:basedOn w:val="Normal"/>
    <w:qFormat/>
    <w:rsid w:val="00424C85"/>
    <w:pPr>
      <w:spacing w:before="240" w:line="360" w:lineRule="auto"/>
    </w:pPr>
  </w:style>
  <w:style w:type="paragraph" w:customStyle="1" w:styleId="Displayedquotation">
    <w:name w:val="Displayed quotation"/>
    <w:basedOn w:val="Normal"/>
    <w:qFormat/>
    <w:rsid w:val="00424C8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424C85"/>
    <w:pPr>
      <w:widowControl/>
      <w:numPr>
        <w:numId w:val="13"/>
      </w:numPr>
      <w:spacing w:after="240"/>
      <w:contextualSpacing/>
    </w:pPr>
  </w:style>
  <w:style w:type="paragraph" w:customStyle="1" w:styleId="Displayedequation">
    <w:name w:val="Displayed equation"/>
    <w:basedOn w:val="Normal"/>
    <w:next w:val="Paragraph"/>
    <w:qFormat/>
    <w:rsid w:val="00424C85"/>
    <w:pPr>
      <w:tabs>
        <w:tab w:val="center" w:pos="4253"/>
        <w:tab w:val="right" w:pos="8222"/>
      </w:tabs>
      <w:spacing w:before="240" w:after="240"/>
      <w:jc w:val="center"/>
    </w:pPr>
  </w:style>
  <w:style w:type="paragraph" w:customStyle="1" w:styleId="Acknowledgements">
    <w:name w:val="Acknowledgements"/>
    <w:basedOn w:val="Normal"/>
    <w:next w:val="Normal"/>
    <w:qFormat/>
    <w:rsid w:val="00424C85"/>
    <w:pPr>
      <w:spacing w:before="120" w:line="360" w:lineRule="auto"/>
    </w:pPr>
    <w:rPr>
      <w:sz w:val="22"/>
    </w:rPr>
  </w:style>
  <w:style w:type="paragraph" w:customStyle="1" w:styleId="Tabletitle">
    <w:name w:val="Table title"/>
    <w:basedOn w:val="Normal"/>
    <w:next w:val="Normal"/>
    <w:qFormat/>
    <w:rsid w:val="00424C85"/>
    <w:pPr>
      <w:spacing w:before="240" w:line="360" w:lineRule="auto"/>
    </w:pPr>
  </w:style>
  <w:style w:type="paragraph" w:customStyle="1" w:styleId="Figurecaption">
    <w:name w:val="Figure caption"/>
    <w:basedOn w:val="Normal"/>
    <w:next w:val="Normal"/>
    <w:qFormat/>
    <w:rsid w:val="00424C85"/>
    <w:pPr>
      <w:spacing w:before="240" w:line="360" w:lineRule="auto"/>
    </w:pPr>
  </w:style>
  <w:style w:type="paragraph" w:customStyle="1" w:styleId="Footnotes">
    <w:name w:val="Footnotes"/>
    <w:basedOn w:val="Normal"/>
    <w:qFormat/>
    <w:rsid w:val="00424C85"/>
    <w:pPr>
      <w:spacing w:before="120" w:line="360" w:lineRule="auto"/>
      <w:ind w:left="482" w:hanging="482"/>
      <w:contextualSpacing/>
    </w:pPr>
    <w:rPr>
      <w:sz w:val="22"/>
    </w:rPr>
  </w:style>
  <w:style w:type="paragraph" w:customStyle="1" w:styleId="Notesoncontributors">
    <w:name w:val="Notes on contributors"/>
    <w:basedOn w:val="Normal"/>
    <w:qFormat/>
    <w:rsid w:val="00424C85"/>
    <w:pPr>
      <w:spacing w:before="240" w:line="360" w:lineRule="auto"/>
    </w:pPr>
    <w:rPr>
      <w:sz w:val="22"/>
    </w:rPr>
  </w:style>
  <w:style w:type="paragraph" w:customStyle="1" w:styleId="Normalparagraphstyle">
    <w:name w:val="Normal paragraph style"/>
    <w:basedOn w:val="Normal"/>
    <w:next w:val="Normal"/>
    <w:rsid w:val="00424C85"/>
  </w:style>
  <w:style w:type="paragraph" w:customStyle="1" w:styleId="Paragraph">
    <w:name w:val="Paragraph"/>
    <w:basedOn w:val="Normal"/>
    <w:next w:val="Newparagraph"/>
    <w:qFormat/>
    <w:rsid w:val="00424C85"/>
    <w:pPr>
      <w:widowControl w:val="0"/>
      <w:spacing w:before="240"/>
    </w:pPr>
  </w:style>
  <w:style w:type="paragraph" w:customStyle="1" w:styleId="Newparagraph">
    <w:name w:val="New paragraph"/>
    <w:basedOn w:val="Normal"/>
    <w:qFormat/>
    <w:rsid w:val="00424C85"/>
    <w:pPr>
      <w:ind w:firstLine="720"/>
    </w:pPr>
  </w:style>
  <w:style w:type="paragraph" w:styleId="Vanliginnrykk">
    <w:name w:val="Normal Indent"/>
    <w:basedOn w:val="Normal"/>
    <w:rsid w:val="00424C85"/>
    <w:pPr>
      <w:ind w:left="720"/>
    </w:pPr>
  </w:style>
  <w:style w:type="paragraph" w:customStyle="1" w:styleId="References">
    <w:name w:val="References"/>
    <w:basedOn w:val="Normal"/>
    <w:qFormat/>
    <w:rsid w:val="00424C85"/>
    <w:pPr>
      <w:spacing w:before="120" w:line="360" w:lineRule="auto"/>
      <w:ind w:left="720" w:hanging="720"/>
      <w:contextualSpacing/>
    </w:pPr>
  </w:style>
  <w:style w:type="paragraph" w:customStyle="1" w:styleId="Subjectcodes">
    <w:name w:val="Subject codes"/>
    <w:basedOn w:val="Keywords"/>
    <w:next w:val="Paragraph"/>
    <w:qFormat/>
    <w:rsid w:val="00424C85"/>
  </w:style>
  <w:style w:type="paragraph" w:customStyle="1" w:styleId="Bulletedlist">
    <w:name w:val="Bulleted list"/>
    <w:basedOn w:val="Paragraph"/>
    <w:next w:val="Paragraph"/>
    <w:qFormat/>
    <w:rsid w:val="00424C85"/>
    <w:pPr>
      <w:widowControl/>
      <w:numPr>
        <w:numId w:val="14"/>
      </w:numPr>
      <w:spacing w:after="240"/>
      <w:contextualSpacing/>
    </w:pPr>
  </w:style>
  <w:style w:type="paragraph" w:styleId="Fotnotetekst">
    <w:name w:val="footnote text"/>
    <w:basedOn w:val="Normal"/>
    <w:link w:val="FotnotetekstTegn"/>
    <w:autoRedefine/>
    <w:rsid w:val="00424C85"/>
    <w:pPr>
      <w:ind w:left="284" w:hanging="284"/>
    </w:pPr>
    <w:rPr>
      <w:sz w:val="22"/>
      <w:szCs w:val="20"/>
    </w:rPr>
  </w:style>
  <w:style w:type="character" w:customStyle="1" w:styleId="FotnotetekstTegn">
    <w:name w:val="Fotnotetekst Tegn"/>
    <w:basedOn w:val="Standardskriftforavsnitt"/>
    <w:link w:val="Fotnotetekst"/>
    <w:rsid w:val="00424C85"/>
    <w:rPr>
      <w:rFonts w:ascii="Times New Roman" w:eastAsia="Times New Roman" w:hAnsi="Times New Roman" w:cs="Times New Roman"/>
      <w:sz w:val="22"/>
      <w:szCs w:val="20"/>
      <w:lang w:val="en-GB" w:eastAsia="en-GB"/>
    </w:rPr>
  </w:style>
  <w:style w:type="character" w:styleId="Fotnotereferanse">
    <w:name w:val="footnote reference"/>
    <w:basedOn w:val="Standardskriftforavsnitt"/>
    <w:rsid w:val="00424C85"/>
    <w:rPr>
      <w:vertAlign w:val="superscript"/>
    </w:rPr>
  </w:style>
  <w:style w:type="paragraph" w:styleId="Sluttnotetekst">
    <w:name w:val="endnote text"/>
    <w:basedOn w:val="Normal"/>
    <w:link w:val="SluttnotetekstTegn"/>
    <w:autoRedefine/>
    <w:rsid w:val="00424C85"/>
    <w:pPr>
      <w:ind w:left="284" w:hanging="284"/>
    </w:pPr>
    <w:rPr>
      <w:sz w:val="22"/>
      <w:szCs w:val="20"/>
    </w:rPr>
  </w:style>
  <w:style w:type="character" w:customStyle="1" w:styleId="SluttnotetekstTegn">
    <w:name w:val="Sluttnotetekst Tegn"/>
    <w:basedOn w:val="Standardskriftforavsnitt"/>
    <w:link w:val="Sluttnotetekst"/>
    <w:rsid w:val="00424C85"/>
    <w:rPr>
      <w:rFonts w:ascii="Times New Roman" w:eastAsia="Times New Roman" w:hAnsi="Times New Roman" w:cs="Times New Roman"/>
      <w:sz w:val="22"/>
      <w:szCs w:val="20"/>
      <w:lang w:val="en-GB" w:eastAsia="en-GB"/>
    </w:rPr>
  </w:style>
  <w:style w:type="character" w:styleId="Sluttnotereferanse">
    <w:name w:val="endnote reference"/>
    <w:basedOn w:val="Standardskriftforavsnitt"/>
    <w:rsid w:val="00424C85"/>
    <w:rPr>
      <w:vertAlign w:val="superscript"/>
    </w:rPr>
  </w:style>
  <w:style w:type="paragraph" w:styleId="Topptekst">
    <w:name w:val="header"/>
    <w:basedOn w:val="Normal"/>
    <w:link w:val="TopptekstTegn"/>
    <w:rsid w:val="00424C85"/>
    <w:pPr>
      <w:tabs>
        <w:tab w:val="center" w:pos="4320"/>
        <w:tab w:val="right" w:pos="8640"/>
      </w:tabs>
      <w:spacing w:line="240" w:lineRule="auto"/>
    </w:pPr>
  </w:style>
  <w:style w:type="character" w:customStyle="1" w:styleId="TopptekstTegn">
    <w:name w:val="Topptekst Tegn"/>
    <w:basedOn w:val="Standardskriftforavsnitt"/>
    <w:link w:val="Topptekst"/>
    <w:rsid w:val="00424C85"/>
    <w:rPr>
      <w:rFonts w:ascii="Times New Roman" w:eastAsia="Times New Roman" w:hAnsi="Times New Roman" w:cs="Times New Roman"/>
      <w:lang w:val="en-GB" w:eastAsia="en-GB"/>
    </w:rPr>
  </w:style>
  <w:style w:type="paragraph" w:styleId="Bunntekst">
    <w:name w:val="footer"/>
    <w:basedOn w:val="Normal"/>
    <w:link w:val="BunntekstTegn"/>
    <w:rsid w:val="00424C85"/>
    <w:pPr>
      <w:tabs>
        <w:tab w:val="center" w:pos="4320"/>
        <w:tab w:val="right" w:pos="8640"/>
      </w:tabs>
      <w:spacing w:line="240" w:lineRule="auto"/>
    </w:pPr>
  </w:style>
  <w:style w:type="character" w:customStyle="1" w:styleId="BunntekstTegn">
    <w:name w:val="Bunntekst Tegn"/>
    <w:basedOn w:val="Standardskriftforavsnitt"/>
    <w:link w:val="Bunntekst"/>
    <w:rsid w:val="00424C85"/>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424C85"/>
    <w:pPr>
      <w:widowControl/>
      <w:spacing w:before="360"/>
    </w:pPr>
  </w:style>
  <w:style w:type="paragraph" w:styleId="Bobletekst">
    <w:name w:val="Balloon Text"/>
    <w:basedOn w:val="Normal"/>
    <w:link w:val="BobletekstTegn"/>
    <w:rsid w:val="00424C85"/>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rsid w:val="00424C85"/>
    <w:rPr>
      <w:rFonts w:ascii="Lucida Grande" w:eastAsia="Times New Roman" w:hAnsi="Lucida Grande" w:cs="Lucida Grande"/>
      <w:sz w:val="18"/>
      <w:szCs w:val="18"/>
      <w:lang w:val="en-GB" w:eastAsia="en-GB"/>
    </w:rPr>
  </w:style>
  <w:style w:type="character" w:styleId="Hyperkobling">
    <w:name w:val="Hyperlink"/>
    <w:uiPriority w:val="99"/>
    <w:unhideWhenUsed/>
    <w:rsid w:val="00424C85"/>
    <w:rPr>
      <w:color w:val="0000FF"/>
      <w:u w:val="single"/>
    </w:rPr>
  </w:style>
  <w:style w:type="paragraph" w:customStyle="1" w:styleId="EndNoteBibliography">
    <w:name w:val="EndNote Bibliography"/>
    <w:basedOn w:val="Normal"/>
    <w:rsid w:val="00424C85"/>
    <w:pPr>
      <w:spacing w:line="240" w:lineRule="auto"/>
    </w:pPr>
    <w:rPr>
      <w:rFonts w:eastAsia="MS Mincho"/>
      <w:lang w:val="nb-NO" w:eastAsia="nb-NO"/>
    </w:rPr>
  </w:style>
  <w:style w:type="paragraph" w:customStyle="1" w:styleId="EndNoteBibliographyTitle">
    <w:name w:val="EndNote Bibliography Title"/>
    <w:basedOn w:val="Normal"/>
    <w:rsid w:val="00424C85"/>
    <w:pPr>
      <w:jc w:val="center"/>
    </w:pPr>
  </w:style>
  <w:style w:type="paragraph" w:styleId="Dokumentkart">
    <w:name w:val="Document Map"/>
    <w:basedOn w:val="Normal"/>
    <w:link w:val="DokumentkartTegn"/>
    <w:uiPriority w:val="99"/>
    <w:semiHidden/>
    <w:unhideWhenUsed/>
    <w:rsid w:val="00424C85"/>
    <w:pPr>
      <w:spacing w:line="240" w:lineRule="auto"/>
    </w:pPr>
    <w:rPr>
      <w:rFonts w:ascii="Lucida Grande" w:hAnsi="Lucida Grande" w:cs="Lucida Grande"/>
    </w:rPr>
  </w:style>
  <w:style w:type="character" w:customStyle="1" w:styleId="DokumentkartTegn">
    <w:name w:val="Dokumentkart Tegn"/>
    <w:basedOn w:val="Standardskriftforavsnitt"/>
    <w:link w:val="Dokumentkart"/>
    <w:uiPriority w:val="99"/>
    <w:semiHidden/>
    <w:rsid w:val="00424C85"/>
    <w:rPr>
      <w:rFonts w:ascii="Lucida Grande" w:eastAsia="Times New Roman" w:hAnsi="Lucida Grande" w:cs="Lucida Grande"/>
      <w:lang w:val="en-GB" w:eastAsia="en-GB"/>
    </w:rPr>
  </w:style>
  <w:style w:type="table" w:styleId="Tabellrutenett">
    <w:name w:val="Table Grid"/>
    <w:basedOn w:val="Vanligtabell"/>
    <w:uiPriority w:val="59"/>
    <w:rsid w:val="00424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thevet">
    <w:name w:val="Emphasis"/>
    <w:basedOn w:val="Standardskriftforavsnitt"/>
    <w:uiPriority w:val="20"/>
    <w:qFormat/>
    <w:rsid w:val="00424C85"/>
    <w:rPr>
      <w:i/>
      <w:iCs/>
    </w:rPr>
  </w:style>
  <w:style w:type="character" w:styleId="Sterk">
    <w:name w:val="Strong"/>
    <w:basedOn w:val="Standardskriftforavsnitt"/>
    <w:uiPriority w:val="22"/>
    <w:qFormat/>
    <w:rsid w:val="00424C85"/>
    <w:rPr>
      <w:b/>
      <w:bCs/>
    </w:rPr>
  </w:style>
  <w:style w:type="paragraph" w:styleId="Listeavsnitt">
    <w:name w:val="List Paragraph"/>
    <w:basedOn w:val="Normal"/>
    <w:uiPriority w:val="34"/>
    <w:qFormat/>
    <w:rsid w:val="00424C85"/>
    <w:pPr>
      <w:ind w:left="720"/>
      <w:contextualSpacing/>
    </w:pPr>
  </w:style>
  <w:style w:type="character" w:styleId="Boktittel">
    <w:name w:val="Book Title"/>
    <w:basedOn w:val="Standardskriftforavsnitt"/>
    <w:uiPriority w:val="33"/>
    <w:qFormat/>
    <w:rsid w:val="00424C85"/>
    <w:rPr>
      <w:b/>
      <w:bCs/>
      <w:smallCaps/>
      <w:spacing w:val="5"/>
    </w:rPr>
  </w:style>
  <w:style w:type="character" w:styleId="Sidetall">
    <w:name w:val="page number"/>
    <w:basedOn w:val="Standardskriftforavsnitt"/>
    <w:uiPriority w:val="99"/>
    <w:semiHidden/>
    <w:unhideWhenUsed/>
    <w:rsid w:val="00424C85"/>
  </w:style>
  <w:style w:type="character" w:styleId="Merknadsreferanse">
    <w:name w:val="annotation reference"/>
    <w:basedOn w:val="Standardskriftforavsnitt"/>
    <w:uiPriority w:val="99"/>
    <w:semiHidden/>
    <w:unhideWhenUsed/>
    <w:rsid w:val="00404F7C"/>
    <w:rPr>
      <w:sz w:val="18"/>
      <w:szCs w:val="18"/>
    </w:rPr>
  </w:style>
  <w:style w:type="paragraph" w:styleId="Merknadstekst">
    <w:name w:val="annotation text"/>
    <w:basedOn w:val="Normal"/>
    <w:link w:val="MerknadstekstTegn"/>
    <w:uiPriority w:val="99"/>
    <w:semiHidden/>
    <w:unhideWhenUsed/>
    <w:rsid w:val="00404F7C"/>
    <w:pPr>
      <w:spacing w:line="240" w:lineRule="auto"/>
    </w:pPr>
  </w:style>
  <w:style w:type="character" w:customStyle="1" w:styleId="MerknadstekstTegn">
    <w:name w:val="Merknadstekst Tegn"/>
    <w:basedOn w:val="Standardskriftforavsnitt"/>
    <w:link w:val="Merknadstekst"/>
    <w:uiPriority w:val="99"/>
    <w:semiHidden/>
    <w:rsid w:val="00404F7C"/>
    <w:rPr>
      <w:rFonts w:ascii="Times New Roman" w:eastAsia="Times New Roman" w:hAnsi="Times New Roman" w:cs="Times New Roman"/>
      <w:lang w:val="en-GB" w:eastAsia="en-GB"/>
    </w:rPr>
  </w:style>
  <w:style w:type="paragraph" w:styleId="Kommentaremne">
    <w:name w:val="annotation subject"/>
    <w:basedOn w:val="Merknadstekst"/>
    <w:next w:val="Merknadstekst"/>
    <w:link w:val="KommentaremneTegn"/>
    <w:uiPriority w:val="99"/>
    <w:semiHidden/>
    <w:unhideWhenUsed/>
    <w:rsid w:val="00404F7C"/>
    <w:rPr>
      <w:b/>
      <w:bCs/>
      <w:sz w:val="20"/>
      <w:szCs w:val="20"/>
    </w:rPr>
  </w:style>
  <w:style w:type="character" w:customStyle="1" w:styleId="KommentaremneTegn">
    <w:name w:val="Kommentaremne Tegn"/>
    <w:basedOn w:val="MerknadstekstTegn"/>
    <w:link w:val="Kommentaremne"/>
    <w:uiPriority w:val="99"/>
    <w:semiHidden/>
    <w:rsid w:val="00404F7C"/>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30</Pages>
  <Words>9468</Words>
  <Characters>50184</Characters>
  <Application>Microsoft Macintosh Word</Application>
  <DocSecurity>0</DocSecurity>
  <Lines>418</Lines>
  <Paragraphs>119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Namsos kommune</Company>
  <LinksUpToDate>false</LinksUpToDate>
  <CharactersWithSpaces>59533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Eivind Kaspersen</dc:creator>
  <cp:lastModifiedBy>Eivind Kaspersen</cp:lastModifiedBy>
  <cp:revision>11</cp:revision>
  <cp:lastPrinted>2016-01-26T11:52:00Z</cp:lastPrinted>
  <dcterms:created xsi:type="dcterms:W3CDTF">2016-01-27T10:02:00Z</dcterms:created>
  <dcterms:modified xsi:type="dcterms:W3CDTF">2016-01-27T12:23:00Z</dcterms:modified>
</cp:coreProperties>
</file>