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86" w:rsidRPr="00E05786" w:rsidRDefault="00E05786" w:rsidP="00E05786">
      <w:pPr>
        <w:spacing w:after="0" w:line="480" w:lineRule="auto"/>
        <w:rPr>
          <w:rFonts w:ascii="Times New Roman" w:eastAsia="Calibri" w:hAnsi="Times New Roman" w:cs="Times New Roman"/>
          <w:b/>
          <w:sz w:val="24"/>
          <w:szCs w:val="24"/>
          <w:lang w:val="en-US"/>
        </w:rPr>
      </w:pPr>
      <w:r w:rsidRPr="00E05786">
        <w:rPr>
          <w:rFonts w:ascii="Times New Roman" w:eastAsia="Calibri" w:hAnsi="Times New Roman" w:cs="Times New Roman"/>
          <w:b/>
          <w:sz w:val="24"/>
          <w:szCs w:val="24"/>
          <w:lang w:val="en-US"/>
        </w:rPr>
        <w:t>Table 1.</w:t>
      </w:r>
    </w:p>
    <w:p w:rsidR="00E05786" w:rsidRPr="00E05786" w:rsidRDefault="00E05786" w:rsidP="00E05786">
      <w:pPr>
        <w:spacing w:after="0" w:line="480" w:lineRule="auto"/>
        <w:rPr>
          <w:rFonts w:ascii="Times New Roman" w:eastAsia="Calibri" w:hAnsi="Times New Roman" w:cs="Times New Roman"/>
          <w:b/>
          <w:i/>
          <w:sz w:val="24"/>
          <w:szCs w:val="24"/>
          <w:lang w:val="en-US"/>
        </w:rPr>
      </w:pPr>
      <w:r w:rsidRPr="00E05786">
        <w:rPr>
          <w:rFonts w:ascii="Times New Roman" w:eastAsia="Calibri" w:hAnsi="Times New Roman" w:cs="Times New Roman"/>
          <w:i/>
          <w:sz w:val="24"/>
          <w:szCs w:val="24"/>
          <w:lang w:val="en-US"/>
        </w:rPr>
        <w:t xml:space="preserve">Sample (n = 108)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5524"/>
        <w:gridCol w:w="1774"/>
        <w:gridCol w:w="1764"/>
      </w:tblGrid>
      <w:tr w:rsidR="00E05786" w:rsidRPr="00E05786" w:rsidTr="004231AE">
        <w:tc>
          <w:tcPr>
            <w:tcW w:w="5524" w:type="dxa"/>
            <w:tcBorders>
              <w:bottom w:val="single" w:sz="12" w:space="0" w:color="8EAADB"/>
            </w:tcBorders>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Variables</w:t>
            </w:r>
          </w:p>
        </w:tc>
        <w:tc>
          <w:tcPr>
            <w:tcW w:w="1774" w:type="dxa"/>
            <w:tcBorders>
              <w:bottom w:val="single" w:sz="12" w:space="0" w:color="8EAADB"/>
            </w:tcBorders>
            <w:shd w:val="clear" w:color="auto" w:fill="auto"/>
          </w:tcPr>
          <w:p w:rsidR="00E05786" w:rsidRPr="00E05786" w:rsidRDefault="00E05786" w:rsidP="00E05786">
            <w:pPr>
              <w:spacing w:after="0" w:line="480" w:lineRule="auto"/>
              <w:jc w:val="center"/>
              <w:rPr>
                <w:rFonts w:ascii="Times New Roman" w:eastAsia="Calibri" w:hAnsi="Times New Roman" w:cs="Times New Roman"/>
                <w:bCs/>
                <w:i/>
                <w:sz w:val="24"/>
                <w:szCs w:val="24"/>
                <w:lang w:val="en-US"/>
              </w:rPr>
            </w:pPr>
            <w:r w:rsidRPr="00E05786">
              <w:rPr>
                <w:rFonts w:ascii="Times New Roman" w:eastAsia="Calibri" w:hAnsi="Times New Roman" w:cs="Times New Roman"/>
                <w:bCs/>
                <w:i/>
                <w:sz w:val="24"/>
                <w:szCs w:val="24"/>
                <w:lang w:val="en-US"/>
              </w:rPr>
              <w:t>M (SD)</w:t>
            </w:r>
          </w:p>
        </w:tc>
        <w:tc>
          <w:tcPr>
            <w:tcW w:w="1764" w:type="dxa"/>
            <w:tcBorders>
              <w:bottom w:val="single" w:sz="12" w:space="0" w:color="8EAADB"/>
            </w:tcBorders>
          </w:tcPr>
          <w:p w:rsidR="00E05786" w:rsidRPr="00E05786" w:rsidRDefault="00E05786" w:rsidP="00E05786">
            <w:pPr>
              <w:spacing w:after="0" w:line="480" w:lineRule="auto"/>
              <w:jc w:val="center"/>
              <w:rPr>
                <w:rFonts w:ascii="Times New Roman" w:eastAsia="Calibri" w:hAnsi="Times New Roman" w:cs="Times New Roman"/>
                <w:bCs/>
                <w:i/>
                <w:sz w:val="24"/>
                <w:szCs w:val="24"/>
                <w:lang w:val="en-US"/>
              </w:rPr>
            </w:pPr>
            <w:r w:rsidRPr="00E05786">
              <w:rPr>
                <w:rFonts w:ascii="Times New Roman" w:eastAsia="Calibri" w:hAnsi="Times New Roman" w:cs="Times New Roman"/>
                <w:bCs/>
                <w:i/>
                <w:sz w:val="24"/>
                <w:szCs w:val="24"/>
                <w:lang w:val="en-US"/>
              </w:rPr>
              <w:t>Min-Max</w:t>
            </w:r>
          </w:p>
        </w:tc>
      </w:tr>
      <w:tr w:rsidR="00E05786" w:rsidRPr="00E05786" w:rsidTr="004231AE">
        <w:tc>
          <w:tcPr>
            <w:tcW w:w="5524" w:type="dxa"/>
            <w:shd w:val="clear" w:color="auto" w:fill="auto"/>
          </w:tcPr>
          <w:p w:rsidR="00E05786" w:rsidRPr="00E05786" w:rsidRDefault="00E05786" w:rsidP="00E05786">
            <w:pPr>
              <w:spacing w:after="0" w:line="480" w:lineRule="auto"/>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Years of age</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40.8 (10.8)</w:t>
            </w:r>
          </w:p>
        </w:tc>
        <w:tc>
          <w:tcPr>
            <w:tcW w:w="1764" w:type="dxa"/>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24.0 – 64.0</w:t>
            </w:r>
          </w:p>
        </w:tc>
      </w:tr>
      <w:tr w:rsidR="00E05786" w:rsidRPr="00E05786" w:rsidTr="004231AE">
        <w:tc>
          <w:tcPr>
            <w:tcW w:w="5524" w:type="dxa"/>
            <w:shd w:val="clear" w:color="auto" w:fill="auto"/>
          </w:tcPr>
          <w:p w:rsidR="00E05786" w:rsidRPr="00E05786" w:rsidRDefault="00E05786" w:rsidP="00E05786">
            <w:pPr>
              <w:spacing w:after="0" w:line="480" w:lineRule="auto"/>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Years of higher education</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4.7 (1.5)</w:t>
            </w:r>
          </w:p>
        </w:tc>
        <w:tc>
          <w:tcPr>
            <w:tcW w:w="1764" w:type="dxa"/>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3.0 – 10.0</w:t>
            </w:r>
          </w:p>
        </w:tc>
      </w:tr>
      <w:tr w:rsidR="00E05786" w:rsidRPr="00E05786" w:rsidTr="004231AE">
        <w:tc>
          <w:tcPr>
            <w:tcW w:w="5524" w:type="dxa"/>
            <w:shd w:val="clear" w:color="auto" w:fill="auto"/>
          </w:tcPr>
          <w:p w:rsidR="00E05786" w:rsidRPr="00E05786" w:rsidRDefault="00E05786" w:rsidP="00E05786">
            <w:pPr>
              <w:spacing w:after="0" w:line="480" w:lineRule="auto"/>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Years of experience</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14.1 (9.8)</w:t>
            </w:r>
          </w:p>
        </w:tc>
        <w:tc>
          <w:tcPr>
            <w:tcW w:w="1764" w:type="dxa"/>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1.0 – 40.0</w:t>
            </w:r>
          </w:p>
        </w:tc>
      </w:tr>
      <w:tr w:rsidR="00E05786" w:rsidRPr="00E05786" w:rsidTr="004231AE">
        <w:tc>
          <w:tcPr>
            <w:tcW w:w="5524" w:type="dxa"/>
            <w:shd w:val="clear" w:color="auto" w:fill="auto"/>
          </w:tcPr>
          <w:p w:rsidR="00E05786" w:rsidRPr="00E05786" w:rsidRDefault="00E05786" w:rsidP="00E05786">
            <w:pPr>
              <w:spacing w:after="0" w:line="480" w:lineRule="auto"/>
              <w:rPr>
                <w:rFonts w:ascii="Times New Roman" w:eastAsia="Calibri" w:hAnsi="Times New Roman" w:cs="Times New Roman"/>
                <w:bCs/>
                <w:i/>
                <w:iCs/>
                <w:sz w:val="24"/>
                <w:szCs w:val="24"/>
                <w:lang w:val="en-US"/>
              </w:rPr>
            </w:pPr>
            <w:r w:rsidRPr="00E05786">
              <w:rPr>
                <w:rFonts w:ascii="Times New Roman" w:eastAsia="Calibri" w:hAnsi="Times New Roman" w:cs="Times New Roman"/>
                <w:bCs/>
                <w:i/>
                <w:iCs/>
                <w:sz w:val="24"/>
                <w:szCs w:val="24"/>
                <w:lang w:val="en-US"/>
              </w:rPr>
              <w:t>Gender</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i/>
                <w:iCs/>
                <w:sz w:val="24"/>
                <w:szCs w:val="24"/>
                <w:lang w:val="en-US"/>
              </w:rPr>
              <w:t>n</w:t>
            </w:r>
            <w:r w:rsidRPr="00E05786">
              <w:rPr>
                <w:rFonts w:ascii="Times New Roman" w:eastAsia="Calibri" w:hAnsi="Times New Roman" w:cs="Times New Roman"/>
                <w:sz w:val="24"/>
                <w:szCs w:val="24"/>
                <w:lang w:val="en-US"/>
              </w:rPr>
              <w:t xml:space="preserve"> (%)</w:t>
            </w:r>
          </w:p>
        </w:tc>
        <w:tc>
          <w:tcPr>
            <w:tcW w:w="1764" w:type="dxa"/>
          </w:tcPr>
          <w:p w:rsidR="00E05786" w:rsidRPr="00E05786" w:rsidRDefault="00E05786" w:rsidP="00E05786">
            <w:pPr>
              <w:spacing w:after="0" w:line="480" w:lineRule="auto"/>
              <w:jc w:val="center"/>
              <w:rPr>
                <w:rFonts w:ascii="Times New Roman" w:eastAsia="Calibri" w:hAnsi="Times New Roman" w:cs="Times New Roman"/>
                <w:i/>
                <w:iCs/>
                <w:sz w:val="24"/>
                <w:szCs w:val="24"/>
                <w:lang w:val="en-US"/>
              </w:rPr>
            </w:pPr>
          </w:p>
        </w:tc>
      </w:tr>
      <w:tr w:rsidR="00E05786" w:rsidRPr="00E05786" w:rsidTr="004231AE">
        <w:tc>
          <w:tcPr>
            <w:tcW w:w="5524" w:type="dxa"/>
            <w:shd w:val="clear" w:color="auto" w:fill="auto"/>
          </w:tcPr>
          <w:p w:rsidR="00E05786" w:rsidRPr="00E05786" w:rsidRDefault="00E05786" w:rsidP="00E05786">
            <w:pPr>
              <w:spacing w:after="0" w:line="480" w:lineRule="auto"/>
              <w:ind w:left="284"/>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Male</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11 (10.2)</w:t>
            </w:r>
          </w:p>
        </w:tc>
        <w:tc>
          <w:tcPr>
            <w:tcW w:w="1764" w:type="dxa"/>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p>
        </w:tc>
      </w:tr>
      <w:tr w:rsidR="00E05786" w:rsidRPr="00E05786" w:rsidTr="004231AE">
        <w:tc>
          <w:tcPr>
            <w:tcW w:w="5524" w:type="dxa"/>
            <w:shd w:val="clear" w:color="auto" w:fill="auto"/>
          </w:tcPr>
          <w:p w:rsidR="00E05786" w:rsidRPr="00E05786" w:rsidRDefault="00E05786" w:rsidP="00E05786">
            <w:pPr>
              <w:spacing w:after="0" w:line="480" w:lineRule="auto"/>
              <w:ind w:left="284"/>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Female</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97 (89.8)</w:t>
            </w:r>
          </w:p>
        </w:tc>
        <w:tc>
          <w:tcPr>
            <w:tcW w:w="1764" w:type="dxa"/>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p>
        </w:tc>
      </w:tr>
      <w:tr w:rsidR="00E05786" w:rsidRPr="00E05786" w:rsidTr="004231AE">
        <w:tc>
          <w:tcPr>
            <w:tcW w:w="5524" w:type="dxa"/>
            <w:shd w:val="clear" w:color="auto" w:fill="auto"/>
          </w:tcPr>
          <w:p w:rsidR="00E05786" w:rsidRPr="00E05786" w:rsidRDefault="00E05786" w:rsidP="00E05786">
            <w:pPr>
              <w:spacing w:after="0" w:line="480" w:lineRule="auto"/>
              <w:rPr>
                <w:rFonts w:ascii="Times New Roman" w:eastAsia="Calibri" w:hAnsi="Times New Roman" w:cs="Times New Roman"/>
                <w:bCs/>
                <w:i/>
                <w:iCs/>
                <w:sz w:val="24"/>
                <w:szCs w:val="24"/>
                <w:lang w:val="en-US"/>
              </w:rPr>
            </w:pPr>
            <w:r w:rsidRPr="00E05786">
              <w:rPr>
                <w:rFonts w:ascii="Times New Roman" w:eastAsia="Calibri" w:hAnsi="Times New Roman" w:cs="Times New Roman"/>
                <w:bCs/>
                <w:i/>
                <w:iCs/>
                <w:sz w:val="24"/>
                <w:szCs w:val="24"/>
                <w:lang w:val="en-US"/>
              </w:rPr>
              <w:t>Geographical practice area</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i/>
                <w:iCs/>
                <w:sz w:val="24"/>
                <w:szCs w:val="24"/>
                <w:lang w:val="en-US"/>
              </w:rPr>
              <w:t>n</w:t>
            </w:r>
            <w:r w:rsidRPr="00E05786">
              <w:rPr>
                <w:rFonts w:ascii="Times New Roman" w:eastAsia="Calibri" w:hAnsi="Times New Roman" w:cs="Times New Roman"/>
                <w:sz w:val="24"/>
                <w:szCs w:val="24"/>
                <w:lang w:val="en-US"/>
              </w:rPr>
              <w:t xml:space="preserve"> (%)</w:t>
            </w:r>
          </w:p>
        </w:tc>
        <w:tc>
          <w:tcPr>
            <w:tcW w:w="1764" w:type="dxa"/>
          </w:tcPr>
          <w:p w:rsidR="00E05786" w:rsidRPr="00E05786" w:rsidRDefault="00E05786" w:rsidP="00E05786">
            <w:pPr>
              <w:spacing w:after="0" w:line="480" w:lineRule="auto"/>
              <w:jc w:val="center"/>
              <w:rPr>
                <w:rFonts w:ascii="Times New Roman" w:eastAsia="Calibri" w:hAnsi="Times New Roman" w:cs="Times New Roman"/>
                <w:i/>
                <w:iCs/>
                <w:sz w:val="24"/>
                <w:szCs w:val="24"/>
                <w:lang w:val="en-US"/>
              </w:rPr>
            </w:pPr>
          </w:p>
        </w:tc>
      </w:tr>
      <w:tr w:rsidR="00E05786" w:rsidRPr="00E05786" w:rsidTr="004231AE">
        <w:tc>
          <w:tcPr>
            <w:tcW w:w="5524" w:type="dxa"/>
            <w:shd w:val="clear" w:color="auto" w:fill="auto"/>
          </w:tcPr>
          <w:p w:rsidR="00E05786" w:rsidRPr="00E05786" w:rsidRDefault="00E05786" w:rsidP="00E05786">
            <w:pPr>
              <w:spacing w:after="0" w:line="480" w:lineRule="auto"/>
              <w:ind w:firstLine="284"/>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Trondheim area</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61 (56.5)</w:t>
            </w:r>
          </w:p>
        </w:tc>
        <w:tc>
          <w:tcPr>
            <w:tcW w:w="1764" w:type="dxa"/>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p>
        </w:tc>
      </w:tr>
      <w:tr w:rsidR="00E05786" w:rsidRPr="00E05786" w:rsidTr="004231AE">
        <w:tc>
          <w:tcPr>
            <w:tcW w:w="5524" w:type="dxa"/>
            <w:shd w:val="clear" w:color="auto" w:fill="auto"/>
          </w:tcPr>
          <w:p w:rsidR="00E05786" w:rsidRPr="00E05786" w:rsidRDefault="00E05786" w:rsidP="00E05786">
            <w:pPr>
              <w:spacing w:after="0" w:line="480" w:lineRule="auto"/>
              <w:ind w:left="284"/>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Oslo area</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47 (43.5)</w:t>
            </w:r>
          </w:p>
        </w:tc>
        <w:tc>
          <w:tcPr>
            <w:tcW w:w="1764" w:type="dxa"/>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p>
        </w:tc>
      </w:tr>
      <w:tr w:rsidR="00E05786" w:rsidRPr="00E05786" w:rsidTr="004231AE">
        <w:tc>
          <w:tcPr>
            <w:tcW w:w="5524" w:type="dxa"/>
            <w:shd w:val="clear" w:color="auto" w:fill="auto"/>
          </w:tcPr>
          <w:p w:rsidR="00E05786" w:rsidRPr="00E05786" w:rsidRDefault="00E05786" w:rsidP="00E05786">
            <w:pPr>
              <w:spacing w:after="0" w:line="480" w:lineRule="auto"/>
              <w:rPr>
                <w:rFonts w:ascii="Times New Roman" w:eastAsia="Calibri" w:hAnsi="Times New Roman" w:cs="Times New Roman"/>
                <w:bCs/>
                <w:i/>
                <w:iCs/>
                <w:sz w:val="24"/>
                <w:szCs w:val="24"/>
                <w:lang w:val="en-US"/>
              </w:rPr>
            </w:pPr>
            <w:r w:rsidRPr="00E05786">
              <w:rPr>
                <w:rFonts w:ascii="Times New Roman" w:eastAsia="Calibri" w:hAnsi="Times New Roman" w:cs="Times New Roman"/>
                <w:bCs/>
                <w:i/>
                <w:iCs/>
                <w:sz w:val="24"/>
                <w:szCs w:val="24"/>
                <w:lang w:val="en-US"/>
              </w:rPr>
              <w:t>Field of practice</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i/>
                <w:sz w:val="24"/>
                <w:szCs w:val="24"/>
                <w:lang w:val="en-US"/>
              </w:rPr>
              <w:t>n</w:t>
            </w:r>
            <w:r w:rsidRPr="00E05786">
              <w:rPr>
                <w:rFonts w:ascii="Times New Roman" w:eastAsia="Calibri" w:hAnsi="Times New Roman" w:cs="Times New Roman"/>
                <w:sz w:val="24"/>
                <w:szCs w:val="24"/>
                <w:lang w:val="en-US"/>
              </w:rPr>
              <w:t xml:space="preserve"> (%)</w:t>
            </w:r>
          </w:p>
        </w:tc>
        <w:tc>
          <w:tcPr>
            <w:tcW w:w="1764" w:type="dxa"/>
          </w:tcPr>
          <w:p w:rsidR="00E05786" w:rsidRPr="00E05786" w:rsidRDefault="00E05786" w:rsidP="00E05786">
            <w:pPr>
              <w:spacing w:after="0" w:line="480" w:lineRule="auto"/>
              <w:jc w:val="center"/>
              <w:rPr>
                <w:rFonts w:ascii="Times New Roman" w:eastAsia="Calibri" w:hAnsi="Times New Roman" w:cs="Times New Roman"/>
                <w:i/>
                <w:sz w:val="24"/>
                <w:szCs w:val="24"/>
                <w:lang w:val="en-US"/>
              </w:rPr>
            </w:pPr>
          </w:p>
        </w:tc>
      </w:tr>
      <w:tr w:rsidR="00E05786" w:rsidRPr="00E05786" w:rsidTr="004231AE">
        <w:tc>
          <w:tcPr>
            <w:tcW w:w="5524" w:type="dxa"/>
            <w:shd w:val="clear" w:color="auto" w:fill="auto"/>
          </w:tcPr>
          <w:p w:rsidR="00E05786" w:rsidRPr="00E05786" w:rsidRDefault="00E05786" w:rsidP="00E05786">
            <w:pPr>
              <w:spacing w:after="0" w:line="480" w:lineRule="auto"/>
              <w:ind w:firstLine="284"/>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Physical health</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51 (47.2)</w:t>
            </w:r>
          </w:p>
        </w:tc>
        <w:tc>
          <w:tcPr>
            <w:tcW w:w="1764" w:type="dxa"/>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p>
        </w:tc>
      </w:tr>
      <w:tr w:rsidR="00E05786" w:rsidRPr="00E05786" w:rsidTr="004231AE">
        <w:tc>
          <w:tcPr>
            <w:tcW w:w="5524" w:type="dxa"/>
            <w:shd w:val="clear" w:color="auto" w:fill="auto"/>
          </w:tcPr>
          <w:p w:rsidR="00E05786" w:rsidRPr="00E05786" w:rsidRDefault="00E05786" w:rsidP="00E05786">
            <w:pPr>
              <w:spacing w:after="0" w:line="480" w:lineRule="auto"/>
              <w:ind w:left="284"/>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Mental health/combined physical and mental health</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57 (52.8)</w:t>
            </w:r>
          </w:p>
        </w:tc>
        <w:tc>
          <w:tcPr>
            <w:tcW w:w="1764" w:type="dxa"/>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p>
        </w:tc>
      </w:tr>
      <w:tr w:rsidR="00E05786" w:rsidRPr="00E05786" w:rsidTr="004231AE">
        <w:tc>
          <w:tcPr>
            <w:tcW w:w="5524" w:type="dxa"/>
            <w:shd w:val="clear" w:color="auto" w:fill="auto"/>
          </w:tcPr>
          <w:p w:rsidR="00E05786" w:rsidRPr="00E05786" w:rsidRDefault="00E05786" w:rsidP="00E05786">
            <w:pPr>
              <w:spacing w:after="0" w:line="480" w:lineRule="auto"/>
              <w:rPr>
                <w:rFonts w:ascii="Times New Roman" w:eastAsia="Calibri" w:hAnsi="Times New Roman" w:cs="Times New Roman"/>
                <w:bCs/>
                <w:i/>
                <w:iCs/>
                <w:sz w:val="24"/>
                <w:szCs w:val="24"/>
                <w:lang w:val="en-US"/>
              </w:rPr>
            </w:pP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iCs/>
                <w:sz w:val="24"/>
                <w:szCs w:val="24"/>
                <w:lang w:val="en-US"/>
              </w:rPr>
            </w:pPr>
            <w:r w:rsidRPr="00E05786">
              <w:rPr>
                <w:rFonts w:ascii="Times New Roman" w:eastAsia="Calibri" w:hAnsi="Times New Roman" w:cs="Times New Roman"/>
                <w:bCs/>
                <w:i/>
                <w:sz w:val="24"/>
                <w:szCs w:val="24"/>
                <w:lang w:val="en-US"/>
              </w:rPr>
              <w:t>M (SD)</w:t>
            </w:r>
          </w:p>
        </w:tc>
        <w:tc>
          <w:tcPr>
            <w:tcW w:w="1764" w:type="dxa"/>
          </w:tcPr>
          <w:p w:rsidR="00E05786" w:rsidRPr="00E05786" w:rsidRDefault="00E05786" w:rsidP="00E05786">
            <w:pPr>
              <w:spacing w:after="0" w:line="480" w:lineRule="auto"/>
              <w:jc w:val="center"/>
              <w:rPr>
                <w:rFonts w:ascii="Times New Roman" w:eastAsia="Calibri" w:hAnsi="Times New Roman" w:cs="Times New Roman"/>
                <w:bCs/>
                <w:i/>
                <w:sz w:val="24"/>
                <w:szCs w:val="24"/>
                <w:lang w:val="en-US"/>
              </w:rPr>
            </w:pPr>
          </w:p>
        </w:tc>
      </w:tr>
      <w:tr w:rsidR="00E05786" w:rsidRPr="00E05786" w:rsidTr="004231AE">
        <w:tc>
          <w:tcPr>
            <w:tcW w:w="5524" w:type="dxa"/>
            <w:shd w:val="clear" w:color="auto" w:fill="auto"/>
          </w:tcPr>
          <w:p w:rsidR="00E05786" w:rsidRPr="00E05786" w:rsidRDefault="00E05786" w:rsidP="00E05786">
            <w:pPr>
              <w:spacing w:after="0" w:line="480" w:lineRule="auto"/>
              <w:rPr>
                <w:rFonts w:ascii="Times New Roman" w:eastAsia="Calibri" w:hAnsi="Times New Roman" w:cs="Times New Roman"/>
                <w:bCs/>
                <w:sz w:val="24"/>
                <w:szCs w:val="24"/>
                <w:lang w:val="en-US"/>
              </w:rPr>
            </w:pPr>
            <w:r w:rsidRPr="00E05786">
              <w:rPr>
                <w:rFonts w:ascii="Times New Roman" w:eastAsia="Calibri" w:hAnsi="Times New Roman" w:cs="Times New Roman"/>
                <w:bCs/>
                <w:iCs/>
                <w:sz w:val="24"/>
                <w:szCs w:val="24"/>
                <w:lang w:val="en-US"/>
              </w:rPr>
              <w:t>Job satisfaction</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iCs/>
                <w:sz w:val="24"/>
                <w:szCs w:val="24"/>
                <w:lang w:val="en-US"/>
              </w:rPr>
            </w:pPr>
            <w:r w:rsidRPr="00E05786">
              <w:rPr>
                <w:rFonts w:ascii="Times New Roman" w:eastAsia="Calibri" w:hAnsi="Times New Roman" w:cs="Times New Roman"/>
                <w:iCs/>
                <w:sz w:val="24"/>
                <w:szCs w:val="24"/>
                <w:lang w:val="en-US"/>
              </w:rPr>
              <w:t>4.50 (0.58)</w:t>
            </w:r>
          </w:p>
        </w:tc>
        <w:tc>
          <w:tcPr>
            <w:tcW w:w="1764" w:type="dxa"/>
          </w:tcPr>
          <w:p w:rsidR="00E05786" w:rsidRPr="00E05786" w:rsidRDefault="00E05786" w:rsidP="00E05786">
            <w:pPr>
              <w:spacing w:after="0" w:line="480" w:lineRule="auto"/>
              <w:jc w:val="center"/>
              <w:rPr>
                <w:rFonts w:ascii="Times New Roman" w:eastAsia="Calibri" w:hAnsi="Times New Roman" w:cs="Times New Roman"/>
                <w:iCs/>
                <w:sz w:val="24"/>
                <w:szCs w:val="24"/>
                <w:lang w:val="en-US"/>
              </w:rPr>
            </w:pPr>
            <w:r w:rsidRPr="00E05786">
              <w:rPr>
                <w:rFonts w:ascii="Times New Roman" w:eastAsia="Calibri" w:hAnsi="Times New Roman" w:cs="Times New Roman"/>
                <w:iCs/>
                <w:sz w:val="24"/>
                <w:szCs w:val="24"/>
                <w:lang w:val="en-US"/>
              </w:rPr>
              <w:t>3.0 – 5.0</w:t>
            </w:r>
          </w:p>
        </w:tc>
      </w:tr>
      <w:tr w:rsidR="00E05786" w:rsidRPr="00E05786" w:rsidTr="004231AE">
        <w:tc>
          <w:tcPr>
            <w:tcW w:w="5524" w:type="dxa"/>
            <w:shd w:val="clear" w:color="auto" w:fill="auto"/>
          </w:tcPr>
          <w:p w:rsidR="00E05786" w:rsidRPr="00E05786" w:rsidRDefault="00E05786" w:rsidP="00E05786">
            <w:pPr>
              <w:spacing w:after="0" w:line="480" w:lineRule="auto"/>
              <w:rPr>
                <w:rFonts w:ascii="Times New Roman" w:eastAsia="Calibri" w:hAnsi="Times New Roman" w:cs="Times New Roman"/>
                <w:bCs/>
                <w:i/>
                <w:iCs/>
                <w:sz w:val="24"/>
                <w:szCs w:val="24"/>
                <w:lang w:val="en-US"/>
              </w:rPr>
            </w:pPr>
            <w:r w:rsidRPr="00E05786">
              <w:rPr>
                <w:rFonts w:ascii="Times New Roman" w:eastAsia="Calibri" w:hAnsi="Times New Roman" w:cs="Times New Roman"/>
                <w:bCs/>
                <w:i/>
                <w:iCs/>
                <w:sz w:val="24"/>
                <w:szCs w:val="24"/>
                <w:lang w:val="en-US"/>
              </w:rPr>
              <w:t>Preferred therapeutic modes</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iCs/>
                <w:sz w:val="24"/>
                <w:szCs w:val="24"/>
                <w:lang w:val="en-US"/>
              </w:rPr>
            </w:pPr>
            <w:r w:rsidRPr="00E05786">
              <w:rPr>
                <w:rFonts w:ascii="Times New Roman" w:eastAsia="Calibri" w:hAnsi="Times New Roman" w:cs="Times New Roman"/>
                <w:bCs/>
                <w:i/>
                <w:sz w:val="24"/>
                <w:szCs w:val="24"/>
                <w:lang w:val="en-US"/>
              </w:rPr>
              <w:t>M (SD)</w:t>
            </w:r>
          </w:p>
        </w:tc>
        <w:tc>
          <w:tcPr>
            <w:tcW w:w="1764" w:type="dxa"/>
          </w:tcPr>
          <w:p w:rsidR="00E05786" w:rsidRPr="00E05786" w:rsidRDefault="00E05786" w:rsidP="00E05786">
            <w:pPr>
              <w:spacing w:after="0" w:line="480" w:lineRule="auto"/>
              <w:jc w:val="center"/>
              <w:rPr>
                <w:rFonts w:ascii="Times New Roman" w:eastAsia="Calibri" w:hAnsi="Times New Roman" w:cs="Times New Roman"/>
                <w:bCs/>
                <w:i/>
                <w:sz w:val="24"/>
                <w:szCs w:val="24"/>
                <w:lang w:val="en-US"/>
              </w:rPr>
            </w:pPr>
          </w:p>
        </w:tc>
      </w:tr>
      <w:tr w:rsidR="00E05786" w:rsidRPr="00E05786" w:rsidTr="004231AE">
        <w:tc>
          <w:tcPr>
            <w:tcW w:w="5524" w:type="dxa"/>
            <w:shd w:val="clear" w:color="auto" w:fill="auto"/>
          </w:tcPr>
          <w:p w:rsidR="00E05786" w:rsidRPr="00E05786" w:rsidRDefault="00E05786" w:rsidP="00E05786">
            <w:pPr>
              <w:spacing w:after="0" w:line="480" w:lineRule="auto"/>
              <w:ind w:left="426"/>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Advocating</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9.6 (7.6)</w:t>
            </w:r>
          </w:p>
        </w:tc>
        <w:tc>
          <w:tcPr>
            <w:tcW w:w="1764" w:type="dxa"/>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 – 26.3</w:t>
            </w:r>
          </w:p>
        </w:tc>
      </w:tr>
      <w:tr w:rsidR="00E05786" w:rsidRPr="00E05786" w:rsidTr="004231AE">
        <w:tc>
          <w:tcPr>
            <w:tcW w:w="5524" w:type="dxa"/>
            <w:shd w:val="clear" w:color="auto" w:fill="auto"/>
          </w:tcPr>
          <w:p w:rsidR="00E05786" w:rsidRPr="00E05786" w:rsidRDefault="00E05786" w:rsidP="00E05786">
            <w:pPr>
              <w:spacing w:after="0" w:line="480" w:lineRule="auto"/>
              <w:ind w:left="426"/>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Collaborating</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17.7 (11.0)</w:t>
            </w:r>
          </w:p>
        </w:tc>
        <w:tc>
          <w:tcPr>
            <w:tcW w:w="1764" w:type="dxa"/>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 – 47.4</w:t>
            </w:r>
          </w:p>
        </w:tc>
      </w:tr>
      <w:tr w:rsidR="00E05786" w:rsidRPr="00E05786" w:rsidTr="004231AE">
        <w:tc>
          <w:tcPr>
            <w:tcW w:w="5524" w:type="dxa"/>
            <w:shd w:val="clear" w:color="auto" w:fill="auto"/>
          </w:tcPr>
          <w:p w:rsidR="00E05786" w:rsidRPr="00E05786" w:rsidRDefault="00E05786" w:rsidP="00E05786">
            <w:pPr>
              <w:spacing w:after="0" w:line="480" w:lineRule="auto"/>
              <w:ind w:left="426"/>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Empathizing</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15.1 (14.0)</w:t>
            </w:r>
          </w:p>
        </w:tc>
        <w:tc>
          <w:tcPr>
            <w:tcW w:w="1764" w:type="dxa"/>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 – 57.9</w:t>
            </w:r>
          </w:p>
        </w:tc>
      </w:tr>
      <w:tr w:rsidR="00E05786" w:rsidRPr="00E05786" w:rsidTr="004231AE">
        <w:tc>
          <w:tcPr>
            <w:tcW w:w="5524" w:type="dxa"/>
            <w:shd w:val="clear" w:color="auto" w:fill="auto"/>
          </w:tcPr>
          <w:p w:rsidR="00E05786" w:rsidRPr="00E05786" w:rsidRDefault="00E05786" w:rsidP="00E05786">
            <w:pPr>
              <w:spacing w:after="0" w:line="480" w:lineRule="auto"/>
              <w:ind w:left="426"/>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 xml:space="preserve">Encouraging </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20.2 (12.4)</w:t>
            </w:r>
          </w:p>
        </w:tc>
        <w:tc>
          <w:tcPr>
            <w:tcW w:w="1764" w:type="dxa"/>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 – 63.2</w:t>
            </w:r>
          </w:p>
        </w:tc>
      </w:tr>
      <w:tr w:rsidR="00E05786" w:rsidRPr="00E05786" w:rsidTr="004231AE">
        <w:tc>
          <w:tcPr>
            <w:tcW w:w="5524" w:type="dxa"/>
            <w:shd w:val="clear" w:color="auto" w:fill="auto"/>
          </w:tcPr>
          <w:p w:rsidR="00E05786" w:rsidRPr="00E05786" w:rsidRDefault="00E05786" w:rsidP="00E05786">
            <w:pPr>
              <w:spacing w:after="0" w:line="480" w:lineRule="auto"/>
              <w:ind w:left="426"/>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 xml:space="preserve">Instructing </w:t>
            </w:r>
          </w:p>
        </w:tc>
        <w:tc>
          <w:tcPr>
            <w:tcW w:w="1774"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11.2 (8.5)</w:t>
            </w:r>
          </w:p>
        </w:tc>
        <w:tc>
          <w:tcPr>
            <w:tcW w:w="1764" w:type="dxa"/>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 – 36.8</w:t>
            </w:r>
          </w:p>
        </w:tc>
      </w:tr>
      <w:tr w:rsidR="00E05786" w:rsidRPr="00E05786" w:rsidTr="004231AE">
        <w:tc>
          <w:tcPr>
            <w:tcW w:w="5524" w:type="dxa"/>
            <w:shd w:val="clear" w:color="auto" w:fill="auto"/>
          </w:tcPr>
          <w:p w:rsidR="00E05786" w:rsidRPr="00E05786" w:rsidRDefault="00E05786" w:rsidP="00E05786">
            <w:pPr>
              <w:spacing w:after="200" w:line="276" w:lineRule="auto"/>
              <w:ind w:left="426"/>
              <w:rPr>
                <w:rFonts w:ascii="Calibri" w:eastAsia="Calibri" w:hAnsi="Calibri" w:cs="Times New Roman"/>
              </w:rPr>
            </w:pPr>
            <w:r w:rsidRPr="00E05786">
              <w:rPr>
                <w:rFonts w:ascii="Times New Roman" w:eastAsia="Calibri" w:hAnsi="Times New Roman" w:cs="Times New Roman"/>
                <w:bCs/>
                <w:sz w:val="24"/>
                <w:szCs w:val="24"/>
                <w:lang w:val="en-US"/>
              </w:rPr>
              <w:t>Problem-solving</w:t>
            </w:r>
          </w:p>
        </w:tc>
        <w:tc>
          <w:tcPr>
            <w:tcW w:w="1774" w:type="dxa"/>
            <w:shd w:val="clear" w:color="auto" w:fill="auto"/>
          </w:tcPr>
          <w:p w:rsidR="00E05786" w:rsidRPr="00E05786" w:rsidRDefault="00E05786" w:rsidP="00E05786">
            <w:pPr>
              <w:spacing w:after="200" w:line="276" w:lineRule="auto"/>
              <w:jc w:val="center"/>
              <w:rPr>
                <w:rFonts w:ascii="Calibri" w:eastAsia="Calibri" w:hAnsi="Calibri" w:cs="Times New Roman"/>
              </w:rPr>
            </w:pPr>
            <w:r w:rsidRPr="00E05786">
              <w:rPr>
                <w:rFonts w:ascii="Times New Roman" w:eastAsia="Calibri" w:hAnsi="Times New Roman" w:cs="Times New Roman"/>
                <w:sz w:val="24"/>
                <w:szCs w:val="24"/>
                <w:lang w:val="en-US"/>
              </w:rPr>
              <w:t>25.9 (14.1)</w:t>
            </w:r>
          </w:p>
        </w:tc>
        <w:tc>
          <w:tcPr>
            <w:tcW w:w="1764" w:type="dxa"/>
          </w:tcPr>
          <w:p w:rsidR="00E05786" w:rsidRPr="00E05786" w:rsidRDefault="00E05786" w:rsidP="00E05786">
            <w:pPr>
              <w:spacing w:after="200" w:line="276"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5.3 – 73.7</w:t>
            </w:r>
          </w:p>
        </w:tc>
      </w:tr>
    </w:tbl>
    <w:p w:rsidR="00E05786" w:rsidRPr="00E05786" w:rsidRDefault="00E05786" w:rsidP="00E05786">
      <w:pPr>
        <w:spacing w:after="200" w:line="480" w:lineRule="auto"/>
        <w:rPr>
          <w:rFonts w:ascii="Times New Roman" w:eastAsia="Calibri" w:hAnsi="Times New Roman" w:cs="Times New Roman"/>
          <w:sz w:val="24"/>
          <w:szCs w:val="24"/>
          <w:lang w:val="en-US"/>
        </w:rPr>
        <w:sectPr w:rsidR="00E05786" w:rsidRPr="00E05786">
          <w:headerReference w:type="default" r:id="rId4"/>
          <w:pgSz w:w="11906" w:h="16838"/>
          <w:pgMar w:top="1417" w:right="1417" w:bottom="1417" w:left="1417" w:header="708" w:footer="708" w:gutter="0"/>
          <w:cols w:space="708"/>
          <w:docGrid w:linePitch="360"/>
        </w:sectPr>
      </w:pPr>
    </w:p>
    <w:p w:rsidR="00E05786" w:rsidRPr="00E05786" w:rsidRDefault="00E05786" w:rsidP="00E05786">
      <w:pPr>
        <w:spacing w:after="0" w:line="480" w:lineRule="auto"/>
        <w:rPr>
          <w:rFonts w:ascii="Times New Roman" w:eastAsia="Calibri" w:hAnsi="Times New Roman" w:cs="Times New Roman"/>
          <w:sz w:val="24"/>
          <w:szCs w:val="24"/>
          <w:lang w:val="en-US"/>
        </w:rPr>
        <w:sectPr w:rsidR="00E05786" w:rsidRPr="00E05786" w:rsidSect="00812A42">
          <w:pgSz w:w="11906" w:h="16838"/>
          <w:pgMar w:top="1418" w:right="1418" w:bottom="1418" w:left="1418" w:header="709" w:footer="709" w:gutter="0"/>
          <w:cols w:space="708"/>
          <w:docGrid w:linePitch="360"/>
        </w:sectPr>
      </w:pPr>
      <w:r w:rsidRPr="00E05786">
        <w:rPr>
          <w:rFonts w:ascii="Times New Roman" w:eastAsia="Calibri" w:hAnsi="Times New Roman" w:cs="Times New Roman"/>
          <w:i/>
          <w:sz w:val="24"/>
          <w:szCs w:val="24"/>
          <w:lang w:val="en-US"/>
        </w:rPr>
        <w:lastRenderedPageBreak/>
        <w:t>Note</w:t>
      </w:r>
      <w:r w:rsidRPr="00E05786">
        <w:rPr>
          <w:rFonts w:ascii="Times New Roman" w:eastAsia="Calibri" w:hAnsi="Times New Roman" w:cs="Times New Roman"/>
          <w:sz w:val="24"/>
          <w:szCs w:val="24"/>
          <w:lang w:val="en-US"/>
        </w:rPr>
        <w:t>. The percentage score for each of the therapeutic modes (shown in the Table) is calculated by adding the number of SAMQ responses that belong to each mode, and then dividing the resulting figure by 19 (the number of vignettes) and</w:t>
      </w:r>
      <w:r w:rsidRPr="00E05786">
        <w:rPr>
          <w:rFonts w:ascii="Times New Roman" w:eastAsia="Calibri" w:hAnsi="Times New Roman" w:cs="Times New Roman"/>
          <w:b/>
          <w:sz w:val="24"/>
          <w:szCs w:val="24"/>
          <w:lang w:val="en-US"/>
        </w:rPr>
        <w:t xml:space="preserve"> </w:t>
      </w:r>
      <w:r w:rsidRPr="00E05786">
        <w:rPr>
          <w:rFonts w:ascii="Times New Roman" w:eastAsia="Calibri" w:hAnsi="Times New Roman" w:cs="Times New Roman"/>
          <w:sz w:val="24"/>
          <w:szCs w:val="24"/>
          <w:lang w:val="en-US"/>
        </w:rPr>
        <w:t>multiplying it by 100.</w:t>
      </w:r>
    </w:p>
    <w:p w:rsidR="00E05786" w:rsidRPr="00E05786" w:rsidRDefault="00E05786" w:rsidP="00E05786">
      <w:pPr>
        <w:spacing w:after="0" w:line="480" w:lineRule="auto"/>
        <w:rPr>
          <w:rFonts w:ascii="Times New Roman" w:eastAsia="Calibri" w:hAnsi="Times New Roman" w:cs="Times New Roman"/>
          <w:b/>
          <w:sz w:val="24"/>
          <w:szCs w:val="24"/>
          <w:lang w:val="en-US"/>
        </w:rPr>
      </w:pPr>
      <w:r w:rsidRPr="00E05786">
        <w:rPr>
          <w:rFonts w:ascii="Times New Roman" w:eastAsia="Calibri" w:hAnsi="Times New Roman" w:cs="Times New Roman"/>
          <w:b/>
          <w:sz w:val="24"/>
          <w:szCs w:val="24"/>
          <w:lang w:val="en-US"/>
        </w:rPr>
        <w:lastRenderedPageBreak/>
        <w:t>Table 2.</w:t>
      </w:r>
    </w:p>
    <w:p w:rsidR="00E05786" w:rsidRPr="00E05786" w:rsidRDefault="00E05786" w:rsidP="00E05786">
      <w:pPr>
        <w:spacing w:after="0" w:line="480" w:lineRule="auto"/>
        <w:rPr>
          <w:rFonts w:ascii="Times New Roman" w:eastAsia="Calibri" w:hAnsi="Times New Roman" w:cs="Times New Roman"/>
          <w:i/>
          <w:sz w:val="24"/>
          <w:szCs w:val="24"/>
          <w:lang w:val="en-US"/>
        </w:rPr>
      </w:pPr>
      <w:r w:rsidRPr="00E05786">
        <w:rPr>
          <w:rFonts w:ascii="Times New Roman" w:eastAsia="Calibri" w:hAnsi="Times New Roman" w:cs="Times New Roman"/>
          <w:i/>
          <w:sz w:val="24"/>
          <w:szCs w:val="24"/>
          <w:lang w:val="en-US"/>
        </w:rPr>
        <w:t>Bivariate associations with therapeutic mode preferences in the sample (n = 108)</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891"/>
        <w:gridCol w:w="1849"/>
        <w:gridCol w:w="1856"/>
        <w:gridCol w:w="1853"/>
        <w:gridCol w:w="1853"/>
        <w:gridCol w:w="1847"/>
        <w:gridCol w:w="1843"/>
      </w:tblGrid>
      <w:tr w:rsidR="00E05786" w:rsidRPr="00E05786" w:rsidTr="004231AE">
        <w:tc>
          <w:tcPr>
            <w:tcW w:w="2943" w:type="dxa"/>
            <w:tcBorders>
              <w:bottom w:val="single" w:sz="12" w:space="0" w:color="8EAADB"/>
            </w:tcBorders>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Variables</w:t>
            </w:r>
          </w:p>
        </w:tc>
        <w:tc>
          <w:tcPr>
            <w:tcW w:w="1866" w:type="dxa"/>
            <w:tcBorders>
              <w:bottom w:val="single" w:sz="12" w:space="0" w:color="8EAADB"/>
            </w:tcBorders>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Advocating</w:t>
            </w:r>
          </w:p>
        </w:tc>
        <w:tc>
          <w:tcPr>
            <w:tcW w:w="1867" w:type="dxa"/>
            <w:tcBorders>
              <w:bottom w:val="single" w:sz="12" w:space="0" w:color="8EAADB"/>
            </w:tcBorders>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Collaborating</w:t>
            </w:r>
          </w:p>
        </w:tc>
        <w:tc>
          <w:tcPr>
            <w:tcW w:w="1866" w:type="dxa"/>
            <w:tcBorders>
              <w:bottom w:val="single" w:sz="12" w:space="0" w:color="8EAADB"/>
            </w:tcBorders>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Empathizing</w:t>
            </w:r>
          </w:p>
        </w:tc>
        <w:tc>
          <w:tcPr>
            <w:tcW w:w="1867" w:type="dxa"/>
            <w:tcBorders>
              <w:bottom w:val="single" w:sz="12" w:space="0" w:color="8EAADB"/>
            </w:tcBorders>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Encouraging</w:t>
            </w:r>
          </w:p>
        </w:tc>
        <w:tc>
          <w:tcPr>
            <w:tcW w:w="1866" w:type="dxa"/>
            <w:tcBorders>
              <w:bottom w:val="single" w:sz="12" w:space="0" w:color="8EAADB"/>
            </w:tcBorders>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Instructing</w:t>
            </w:r>
          </w:p>
        </w:tc>
        <w:tc>
          <w:tcPr>
            <w:tcW w:w="1867" w:type="dxa"/>
            <w:tcBorders>
              <w:bottom w:val="single" w:sz="12" w:space="0" w:color="8EAADB"/>
            </w:tcBorders>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Problem-solving</w:t>
            </w:r>
          </w:p>
        </w:tc>
      </w:tr>
      <w:tr w:rsidR="00E05786" w:rsidRPr="00E05786" w:rsidTr="004231AE">
        <w:tc>
          <w:tcPr>
            <w:tcW w:w="2943" w:type="dxa"/>
            <w:shd w:val="clear" w:color="auto" w:fill="auto"/>
          </w:tcPr>
          <w:p w:rsidR="00E05786" w:rsidRPr="00E05786" w:rsidRDefault="00E05786" w:rsidP="00E05786">
            <w:pPr>
              <w:spacing w:after="0" w:line="480" w:lineRule="auto"/>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Age</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-0.13</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-0.05</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0.15</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-0.04</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-0.16</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0.06</w:t>
            </w:r>
          </w:p>
        </w:tc>
      </w:tr>
      <w:tr w:rsidR="00E05786" w:rsidRPr="00E05786" w:rsidTr="004231AE">
        <w:tc>
          <w:tcPr>
            <w:tcW w:w="2943" w:type="dxa"/>
            <w:shd w:val="clear" w:color="auto" w:fill="auto"/>
          </w:tcPr>
          <w:p w:rsidR="00E05786" w:rsidRPr="00E05786" w:rsidRDefault="00E05786" w:rsidP="00E05786">
            <w:pPr>
              <w:spacing w:after="0" w:line="480" w:lineRule="auto"/>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Gender</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-0.27*</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0.16</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-0.28*</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0.09</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0.04</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0.19</w:t>
            </w:r>
          </w:p>
        </w:tc>
      </w:tr>
      <w:tr w:rsidR="00E05786" w:rsidRPr="00E05786" w:rsidTr="004231AE">
        <w:tc>
          <w:tcPr>
            <w:tcW w:w="2943" w:type="dxa"/>
            <w:shd w:val="clear" w:color="auto" w:fill="auto"/>
          </w:tcPr>
          <w:p w:rsidR="00E05786" w:rsidRPr="00E05786" w:rsidRDefault="00E05786" w:rsidP="00E05786">
            <w:pPr>
              <w:spacing w:after="0" w:line="480" w:lineRule="auto"/>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Years of higher education</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-0.19</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-0.06</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0.13</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-0.06</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-0.08</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0.10</w:t>
            </w:r>
          </w:p>
        </w:tc>
      </w:tr>
      <w:tr w:rsidR="00E05786" w:rsidRPr="00E05786" w:rsidTr="004231AE">
        <w:tc>
          <w:tcPr>
            <w:tcW w:w="2943" w:type="dxa"/>
            <w:shd w:val="clear" w:color="auto" w:fill="auto"/>
          </w:tcPr>
          <w:p w:rsidR="00E05786" w:rsidRPr="00E05786" w:rsidRDefault="00E05786" w:rsidP="00E05786">
            <w:pPr>
              <w:spacing w:after="0" w:line="480" w:lineRule="auto"/>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Years of experience</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-0.16</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0.00</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0.09</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0.04</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-0.06</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-0.04</w:t>
            </w:r>
          </w:p>
        </w:tc>
      </w:tr>
      <w:tr w:rsidR="00E05786" w:rsidRPr="00E05786" w:rsidTr="004231AE">
        <w:tc>
          <w:tcPr>
            <w:tcW w:w="2943" w:type="dxa"/>
            <w:shd w:val="clear" w:color="auto" w:fill="auto"/>
          </w:tcPr>
          <w:p w:rsidR="00E05786" w:rsidRPr="00E05786" w:rsidRDefault="00E05786" w:rsidP="00E05786">
            <w:pPr>
              <w:spacing w:after="0" w:line="480" w:lineRule="auto"/>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Field of practice</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0.19</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-0.00</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0.23*</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-0.14</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-0.11</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-0.13</w:t>
            </w:r>
          </w:p>
        </w:tc>
      </w:tr>
      <w:tr w:rsidR="00E05786" w:rsidRPr="00E05786" w:rsidTr="004231AE">
        <w:tc>
          <w:tcPr>
            <w:tcW w:w="2943" w:type="dxa"/>
            <w:shd w:val="clear" w:color="auto" w:fill="auto"/>
          </w:tcPr>
          <w:p w:rsidR="00E05786" w:rsidRPr="00E05786" w:rsidRDefault="00E05786" w:rsidP="00E05786">
            <w:pPr>
              <w:spacing w:after="0" w:line="480" w:lineRule="auto"/>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Job satisfaction</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0.03</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-0.20*</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0.13</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0.01</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0.20*</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-0.11</w:t>
            </w:r>
          </w:p>
        </w:tc>
      </w:tr>
    </w:tbl>
    <w:p w:rsidR="00E05786" w:rsidRPr="00E05786" w:rsidRDefault="00E05786" w:rsidP="00E05786">
      <w:pPr>
        <w:spacing w:after="0" w:line="360" w:lineRule="auto"/>
        <w:rPr>
          <w:rFonts w:ascii="Times New Roman" w:eastAsia="Calibri" w:hAnsi="Times New Roman" w:cs="Times New Roman"/>
          <w:sz w:val="24"/>
          <w:szCs w:val="24"/>
          <w:lang w:val="en-US"/>
        </w:rPr>
      </w:pPr>
      <w:r w:rsidRPr="00E05786">
        <w:rPr>
          <w:rFonts w:ascii="Times New Roman" w:eastAsia="Calibri" w:hAnsi="Times New Roman" w:cs="Times New Roman"/>
          <w:i/>
          <w:sz w:val="24"/>
          <w:szCs w:val="24"/>
          <w:lang w:val="en-US"/>
        </w:rPr>
        <w:t xml:space="preserve">Note. </w:t>
      </w:r>
      <w:r w:rsidRPr="00E05786">
        <w:rPr>
          <w:rFonts w:ascii="Times New Roman" w:eastAsia="Calibri" w:hAnsi="Times New Roman" w:cs="Times New Roman"/>
          <w:sz w:val="24"/>
          <w:szCs w:val="24"/>
          <w:lang w:val="en-US"/>
        </w:rPr>
        <w:t xml:space="preserve">Table content is Pearson’s correlation coefficient </w:t>
      </w:r>
      <w:r w:rsidRPr="00E05786">
        <w:rPr>
          <w:rFonts w:ascii="Times New Roman" w:eastAsia="Calibri" w:hAnsi="Times New Roman" w:cs="Times New Roman"/>
          <w:i/>
          <w:sz w:val="24"/>
          <w:szCs w:val="24"/>
          <w:lang w:val="en-US"/>
        </w:rPr>
        <w:t>r</w:t>
      </w:r>
      <w:r w:rsidRPr="00E05786">
        <w:rPr>
          <w:rFonts w:ascii="Times New Roman" w:eastAsia="Calibri" w:hAnsi="Times New Roman" w:cs="Times New Roman"/>
          <w:sz w:val="24"/>
          <w:szCs w:val="24"/>
          <w:lang w:val="en-US"/>
        </w:rPr>
        <w:t>, showing the independent variables’ bivariate association with the therapeutic mode preferences. Gender is coded men = 1, women = 2. Field of practice is coded physical health = 1, mental health and combined physical /mental health = 2. Higher scores on job satisfaction is greater job satisfaction. A minus sign indicates a negative association between the relevant variables.</w:t>
      </w:r>
    </w:p>
    <w:p w:rsidR="00E05786" w:rsidRPr="00E05786" w:rsidRDefault="00E05786" w:rsidP="00E05786">
      <w:pPr>
        <w:spacing w:after="0" w:line="360" w:lineRule="auto"/>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w:t>
      </w:r>
      <w:r w:rsidRPr="00E05786">
        <w:rPr>
          <w:rFonts w:ascii="Times New Roman" w:eastAsia="Calibri" w:hAnsi="Times New Roman" w:cs="Times New Roman"/>
          <w:i/>
          <w:sz w:val="24"/>
          <w:szCs w:val="24"/>
          <w:lang w:val="en-US"/>
        </w:rPr>
        <w:t>p</w:t>
      </w:r>
      <w:r w:rsidRPr="00E05786">
        <w:rPr>
          <w:rFonts w:ascii="Times New Roman" w:eastAsia="Calibri" w:hAnsi="Times New Roman" w:cs="Times New Roman"/>
          <w:sz w:val="24"/>
          <w:szCs w:val="24"/>
          <w:lang w:val="en-US"/>
        </w:rPr>
        <w:t xml:space="preserve"> &lt; 0.05</w:t>
      </w:r>
    </w:p>
    <w:p w:rsidR="00E05786" w:rsidRPr="00E05786" w:rsidRDefault="00E05786" w:rsidP="00E05786">
      <w:pPr>
        <w:spacing w:after="0" w:line="480" w:lineRule="auto"/>
        <w:rPr>
          <w:rFonts w:ascii="Times New Roman" w:eastAsia="Calibri" w:hAnsi="Times New Roman" w:cs="Times New Roman"/>
          <w:b/>
          <w:sz w:val="24"/>
          <w:szCs w:val="24"/>
          <w:lang w:val="en-US"/>
        </w:rPr>
      </w:pPr>
      <w:r w:rsidRPr="00E05786">
        <w:rPr>
          <w:rFonts w:ascii="Times New Roman" w:eastAsia="Calibri" w:hAnsi="Times New Roman" w:cs="Times New Roman"/>
          <w:sz w:val="24"/>
          <w:szCs w:val="24"/>
          <w:lang w:val="en-US"/>
        </w:rPr>
        <w:br w:type="page"/>
      </w:r>
      <w:r w:rsidRPr="00E05786">
        <w:rPr>
          <w:rFonts w:ascii="Times New Roman" w:eastAsia="Calibri" w:hAnsi="Times New Roman" w:cs="Times New Roman"/>
          <w:b/>
          <w:sz w:val="24"/>
          <w:szCs w:val="24"/>
          <w:lang w:val="en-US"/>
        </w:rPr>
        <w:lastRenderedPageBreak/>
        <w:t>Table 3.</w:t>
      </w:r>
    </w:p>
    <w:p w:rsidR="00E05786" w:rsidRPr="00E05786" w:rsidRDefault="00E05786" w:rsidP="00E05786">
      <w:pPr>
        <w:spacing w:after="0" w:line="480" w:lineRule="auto"/>
        <w:rPr>
          <w:rFonts w:ascii="Times New Roman" w:eastAsia="Calibri" w:hAnsi="Times New Roman" w:cs="Times New Roman"/>
          <w:i/>
          <w:sz w:val="24"/>
          <w:szCs w:val="24"/>
          <w:lang w:val="en-US"/>
        </w:rPr>
      </w:pPr>
      <w:r w:rsidRPr="00E05786">
        <w:rPr>
          <w:rFonts w:ascii="Times New Roman" w:eastAsia="Calibri" w:hAnsi="Times New Roman" w:cs="Times New Roman"/>
          <w:i/>
          <w:sz w:val="24"/>
          <w:szCs w:val="24"/>
          <w:lang w:val="en-US"/>
        </w:rPr>
        <w:t>Multivariate associations with therapeutic mode preferences in the sample (n = 108)</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891"/>
        <w:gridCol w:w="1849"/>
        <w:gridCol w:w="1856"/>
        <w:gridCol w:w="1853"/>
        <w:gridCol w:w="1853"/>
        <w:gridCol w:w="1847"/>
        <w:gridCol w:w="1843"/>
      </w:tblGrid>
      <w:tr w:rsidR="00E05786" w:rsidRPr="00E05786" w:rsidTr="004231AE">
        <w:tc>
          <w:tcPr>
            <w:tcW w:w="2943" w:type="dxa"/>
            <w:tcBorders>
              <w:bottom w:val="single" w:sz="12" w:space="0" w:color="8EAADB"/>
            </w:tcBorders>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Variables</w:t>
            </w:r>
          </w:p>
        </w:tc>
        <w:tc>
          <w:tcPr>
            <w:tcW w:w="1866" w:type="dxa"/>
            <w:tcBorders>
              <w:bottom w:val="single" w:sz="12" w:space="0" w:color="8EAADB"/>
            </w:tcBorders>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Advocating</w:t>
            </w:r>
          </w:p>
        </w:tc>
        <w:tc>
          <w:tcPr>
            <w:tcW w:w="1867" w:type="dxa"/>
            <w:tcBorders>
              <w:bottom w:val="single" w:sz="12" w:space="0" w:color="8EAADB"/>
            </w:tcBorders>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Collaborating</w:t>
            </w:r>
          </w:p>
        </w:tc>
        <w:tc>
          <w:tcPr>
            <w:tcW w:w="1866" w:type="dxa"/>
            <w:tcBorders>
              <w:bottom w:val="single" w:sz="12" w:space="0" w:color="8EAADB"/>
            </w:tcBorders>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Empathizing</w:t>
            </w:r>
          </w:p>
        </w:tc>
        <w:tc>
          <w:tcPr>
            <w:tcW w:w="1867" w:type="dxa"/>
            <w:tcBorders>
              <w:bottom w:val="single" w:sz="12" w:space="0" w:color="8EAADB"/>
            </w:tcBorders>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Encouraging</w:t>
            </w:r>
          </w:p>
        </w:tc>
        <w:tc>
          <w:tcPr>
            <w:tcW w:w="1866" w:type="dxa"/>
            <w:tcBorders>
              <w:bottom w:val="single" w:sz="12" w:space="0" w:color="8EAADB"/>
            </w:tcBorders>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Instructing</w:t>
            </w:r>
          </w:p>
        </w:tc>
        <w:tc>
          <w:tcPr>
            <w:tcW w:w="1867" w:type="dxa"/>
            <w:tcBorders>
              <w:bottom w:val="single" w:sz="12" w:space="0" w:color="8EAADB"/>
            </w:tcBorders>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Problem-solving</w:t>
            </w:r>
          </w:p>
        </w:tc>
      </w:tr>
      <w:tr w:rsidR="00E05786" w:rsidRPr="00E05786" w:rsidTr="004231AE">
        <w:tc>
          <w:tcPr>
            <w:tcW w:w="2943" w:type="dxa"/>
            <w:shd w:val="clear" w:color="auto" w:fill="auto"/>
          </w:tcPr>
          <w:p w:rsidR="00E05786" w:rsidRPr="00E05786" w:rsidRDefault="00E05786" w:rsidP="00E05786">
            <w:pPr>
              <w:spacing w:after="0" w:line="480" w:lineRule="auto"/>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Years of higher education</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-0.19</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-0.01</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0.10</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-0.07</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-0.14</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0.15</w:t>
            </w:r>
          </w:p>
        </w:tc>
      </w:tr>
      <w:tr w:rsidR="00E05786" w:rsidRPr="00E05786" w:rsidTr="004231AE">
        <w:tc>
          <w:tcPr>
            <w:tcW w:w="2943" w:type="dxa"/>
            <w:shd w:val="clear" w:color="auto" w:fill="auto"/>
          </w:tcPr>
          <w:p w:rsidR="00E05786" w:rsidRPr="00E05786" w:rsidRDefault="00E05786" w:rsidP="00E05786">
            <w:pPr>
              <w:spacing w:after="0" w:line="480" w:lineRule="auto"/>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Years of experience</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-0.12</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0.00</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0.11</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0.03</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-0.06</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-0.07</w:t>
            </w:r>
          </w:p>
        </w:tc>
      </w:tr>
      <w:tr w:rsidR="00E05786" w:rsidRPr="00E05786" w:rsidTr="004231AE">
        <w:tc>
          <w:tcPr>
            <w:tcW w:w="2943" w:type="dxa"/>
            <w:shd w:val="clear" w:color="auto" w:fill="auto"/>
          </w:tcPr>
          <w:p w:rsidR="00E05786" w:rsidRPr="00E05786" w:rsidRDefault="00E05786" w:rsidP="00E05786">
            <w:pPr>
              <w:spacing w:after="0" w:line="480" w:lineRule="auto"/>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Field of practice</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0.17</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0.03</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0.23*</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-0.14</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-0.17</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-0.12</w:t>
            </w:r>
          </w:p>
        </w:tc>
      </w:tr>
      <w:tr w:rsidR="00E05786" w:rsidRPr="00E05786" w:rsidTr="004231AE">
        <w:tc>
          <w:tcPr>
            <w:tcW w:w="2943" w:type="dxa"/>
            <w:shd w:val="clear" w:color="auto" w:fill="auto"/>
          </w:tcPr>
          <w:p w:rsidR="00E05786" w:rsidRPr="00E05786" w:rsidRDefault="00E05786" w:rsidP="00E05786">
            <w:pPr>
              <w:spacing w:after="0" w:line="480" w:lineRule="auto"/>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Job satisfaction</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0.05</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-0.20</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0.06</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0.06</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0.26*</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bCs/>
                <w:sz w:val="24"/>
                <w:szCs w:val="24"/>
                <w:lang w:val="en-US"/>
              </w:rPr>
            </w:pPr>
            <w:r w:rsidRPr="00E05786">
              <w:rPr>
                <w:rFonts w:ascii="Times New Roman" w:eastAsia="Calibri" w:hAnsi="Times New Roman" w:cs="Times New Roman"/>
                <w:bCs/>
                <w:sz w:val="24"/>
                <w:szCs w:val="24"/>
                <w:lang w:val="en-US"/>
              </w:rPr>
              <w:t>-0.13</w:t>
            </w:r>
          </w:p>
        </w:tc>
      </w:tr>
      <w:tr w:rsidR="00E05786" w:rsidRPr="00E05786" w:rsidTr="004231AE">
        <w:tc>
          <w:tcPr>
            <w:tcW w:w="2943" w:type="dxa"/>
            <w:shd w:val="clear" w:color="auto" w:fill="auto"/>
          </w:tcPr>
          <w:p w:rsidR="00E05786" w:rsidRPr="00E05786" w:rsidRDefault="00E05786" w:rsidP="00E05786">
            <w:pPr>
              <w:spacing w:after="0" w:line="480" w:lineRule="auto"/>
              <w:rPr>
                <w:rFonts w:ascii="Times New Roman" w:eastAsia="Calibri" w:hAnsi="Times New Roman" w:cs="Times New Roman"/>
                <w:b/>
                <w:bCs/>
                <w:sz w:val="24"/>
                <w:szCs w:val="24"/>
                <w:lang w:val="en-US"/>
              </w:rPr>
            </w:pPr>
            <w:r w:rsidRPr="00E05786">
              <w:rPr>
                <w:rFonts w:ascii="Times New Roman" w:eastAsia="Calibri" w:hAnsi="Times New Roman" w:cs="Times New Roman"/>
                <w:b/>
                <w:bCs/>
                <w:sz w:val="24"/>
                <w:szCs w:val="24"/>
                <w:lang w:val="en-US"/>
              </w:rPr>
              <w:t>Explained variance</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b/>
                <w:sz w:val="24"/>
                <w:szCs w:val="24"/>
                <w:lang w:val="en-US"/>
              </w:rPr>
            </w:pPr>
            <w:r w:rsidRPr="00E05786">
              <w:rPr>
                <w:rFonts w:ascii="Times New Roman" w:eastAsia="Calibri" w:hAnsi="Times New Roman" w:cs="Times New Roman"/>
                <w:b/>
                <w:sz w:val="24"/>
                <w:szCs w:val="24"/>
                <w:lang w:val="en-US"/>
              </w:rPr>
              <w:t>8.6 %</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b/>
                <w:sz w:val="24"/>
                <w:szCs w:val="24"/>
                <w:lang w:val="en-US"/>
              </w:rPr>
            </w:pPr>
            <w:r w:rsidRPr="00E05786">
              <w:rPr>
                <w:rFonts w:ascii="Times New Roman" w:eastAsia="Calibri" w:hAnsi="Times New Roman" w:cs="Times New Roman"/>
                <w:b/>
                <w:sz w:val="24"/>
                <w:szCs w:val="24"/>
                <w:lang w:val="en-US"/>
              </w:rPr>
              <w:t>3.9 %</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b/>
                <w:sz w:val="24"/>
                <w:szCs w:val="24"/>
                <w:lang w:val="en-US"/>
              </w:rPr>
            </w:pPr>
            <w:r w:rsidRPr="00E05786">
              <w:rPr>
                <w:rFonts w:ascii="Times New Roman" w:eastAsia="Calibri" w:hAnsi="Times New Roman" w:cs="Times New Roman"/>
                <w:b/>
                <w:sz w:val="24"/>
                <w:szCs w:val="24"/>
                <w:lang w:val="en-US"/>
              </w:rPr>
              <w:t>8.5 %</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b/>
                <w:sz w:val="24"/>
                <w:szCs w:val="24"/>
                <w:lang w:val="en-US"/>
              </w:rPr>
            </w:pPr>
            <w:r w:rsidRPr="00E05786">
              <w:rPr>
                <w:rFonts w:ascii="Times New Roman" w:eastAsia="Calibri" w:hAnsi="Times New Roman" w:cs="Times New Roman"/>
                <w:b/>
                <w:sz w:val="24"/>
                <w:szCs w:val="24"/>
                <w:lang w:val="en-US"/>
              </w:rPr>
              <w:t>2.6 %</w:t>
            </w:r>
          </w:p>
        </w:tc>
        <w:tc>
          <w:tcPr>
            <w:tcW w:w="1866" w:type="dxa"/>
            <w:shd w:val="clear" w:color="auto" w:fill="auto"/>
          </w:tcPr>
          <w:p w:rsidR="00E05786" w:rsidRPr="00E05786" w:rsidRDefault="00E05786" w:rsidP="00E05786">
            <w:pPr>
              <w:spacing w:after="0" w:line="480" w:lineRule="auto"/>
              <w:jc w:val="center"/>
              <w:rPr>
                <w:rFonts w:ascii="Times New Roman" w:eastAsia="Calibri" w:hAnsi="Times New Roman" w:cs="Times New Roman"/>
                <w:b/>
                <w:sz w:val="24"/>
                <w:szCs w:val="24"/>
                <w:lang w:val="en-US"/>
              </w:rPr>
            </w:pPr>
            <w:r w:rsidRPr="00E05786">
              <w:rPr>
                <w:rFonts w:ascii="Times New Roman" w:eastAsia="Calibri" w:hAnsi="Times New Roman" w:cs="Times New Roman"/>
                <w:b/>
                <w:sz w:val="24"/>
                <w:szCs w:val="24"/>
                <w:lang w:val="en-US"/>
              </w:rPr>
              <w:t>8.6 %</w:t>
            </w:r>
          </w:p>
        </w:tc>
        <w:tc>
          <w:tcPr>
            <w:tcW w:w="1867" w:type="dxa"/>
            <w:shd w:val="clear" w:color="auto" w:fill="auto"/>
          </w:tcPr>
          <w:p w:rsidR="00E05786" w:rsidRPr="00E05786" w:rsidRDefault="00E05786" w:rsidP="00E05786">
            <w:pPr>
              <w:spacing w:after="0" w:line="480" w:lineRule="auto"/>
              <w:jc w:val="center"/>
              <w:rPr>
                <w:rFonts w:ascii="Times New Roman" w:eastAsia="Calibri" w:hAnsi="Times New Roman" w:cs="Times New Roman"/>
                <w:b/>
                <w:sz w:val="24"/>
                <w:szCs w:val="24"/>
                <w:lang w:val="en-US"/>
              </w:rPr>
            </w:pPr>
            <w:r w:rsidRPr="00E05786">
              <w:rPr>
                <w:rFonts w:ascii="Times New Roman" w:eastAsia="Calibri" w:hAnsi="Times New Roman" w:cs="Times New Roman"/>
                <w:b/>
                <w:sz w:val="24"/>
                <w:szCs w:val="24"/>
                <w:lang w:val="en-US"/>
              </w:rPr>
              <w:t>4.6 %</w:t>
            </w:r>
          </w:p>
        </w:tc>
      </w:tr>
    </w:tbl>
    <w:p w:rsidR="00E05786" w:rsidRPr="00E05786" w:rsidRDefault="00E05786" w:rsidP="00E05786">
      <w:pPr>
        <w:spacing w:after="0" w:line="360" w:lineRule="auto"/>
        <w:rPr>
          <w:rFonts w:ascii="Times New Roman" w:eastAsia="Calibri" w:hAnsi="Times New Roman" w:cs="Times New Roman"/>
          <w:sz w:val="24"/>
          <w:szCs w:val="24"/>
          <w:lang w:val="en-US"/>
        </w:rPr>
      </w:pPr>
      <w:r w:rsidRPr="00E05786">
        <w:rPr>
          <w:rFonts w:ascii="Times New Roman" w:eastAsia="Calibri" w:hAnsi="Times New Roman" w:cs="Times New Roman"/>
          <w:i/>
          <w:sz w:val="24"/>
          <w:szCs w:val="24"/>
          <w:lang w:val="en-US"/>
        </w:rPr>
        <w:t xml:space="preserve">Note. </w:t>
      </w:r>
      <w:r w:rsidRPr="00E05786">
        <w:rPr>
          <w:rFonts w:ascii="Times New Roman" w:eastAsia="Calibri" w:hAnsi="Times New Roman" w:cs="Times New Roman"/>
          <w:sz w:val="24"/>
          <w:szCs w:val="24"/>
          <w:lang w:val="en-US"/>
        </w:rPr>
        <w:t xml:space="preserve">Table content is standardized </w:t>
      </w:r>
      <w:r w:rsidRPr="00E05786">
        <w:rPr>
          <w:rFonts w:ascii="Times New Roman" w:eastAsia="Calibri" w:hAnsi="Times New Roman" w:cs="Times New Roman"/>
          <w:i/>
          <w:sz w:val="24"/>
          <w:szCs w:val="24"/>
          <w:lang w:val="en-US"/>
        </w:rPr>
        <w:t>β</w:t>
      </w:r>
      <w:r w:rsidRPr="00E05786">
        <w:rPr>
          <w:rFonts w:ascii="Times New Roman" w:eastAsia="Calibri" w:hAnsi="Times New Roman" w:cs="Times New Roman"/>
          <w:sz w:val="24"/>
          <w:szCs w:val="24"/>
          <w:lang w:val="en-US"/>
        </w:rPr>
        <w:t xml:space="preserve"> weights, showing the independent variables’ association with the dependent variables while controlling for all variables in the model. Field of practice is coded physical health = 1, mental health and combined physical/mental health = 2. Higher scores on job satisfaction indicates greater job satisfaction. A minus sign indicates a negative association between the relevant variables.</w:t>
      </w:r>
    </w:p>
    <w:p w:rsidR="00E05786" w:rsidRPr="00E05786" w:rsidRDefault="00E05786" w:rsidP="00E05786">
      <w:pPr>
        <w:spacing w:after="0" w:line="360" w:lineRule="auto"/>
        <w:rPr>
          <w:rFonts w:ascii="Times New Roman" w:eastAsia="Calibri" w:hAnsi="Times New Roman" w:cs="Times New Roman"/>
          <w:sz w:val="24"/>
          <w:szCs w:val="24"/>
          <w:lang w:val="en-US"/>
        </w:rPr>
      </w:pPr>
      <w:r w:rsidRPr="00E05786">
        <w:rPr>
          <w:rFonts w:ascii="Times New Roman" w:eastAsia="Calibri" w:hAnsi="Times New Roman" w:cs="Times New Roman"/>
          <w:sz w:val="24"/>
          <w:szCs w:val="24"/>
          <w:lang w:val="en-US"/>
        </w:rPr>
        <w:t>*</w:t>
      </w:r>
      <w:r w:rsidRPr="00E05786">
        <w:rPr>
          <w:rFonts w:ascii="Times New Roman" w:eastAsia="Calibri" w:hAnsi="Times New Roman" w:cs="Times New Roman"/>
          <w:i/>
          <w:sz w:val="24"/>
          <w:szCs w:val="24"/>
          <w:lang w:val="en-US"/>
        </w:rPr>
        <w:t>p</w:t>
      </w:r>
      <w:r w:rsidRPr="00E05786">
        <w:rPr>
          <w:rFonts w:ascii="Times New Roman" w:eastAsia="Calibri" w:hAnsi="Times New Roman" w:cs="Times New Roman"/>
          <w:sz w:val="24"/>
          <w:szCs w:val="24"/>
          <w:lang w:val="en-US"/>
        </w:rPr>
        <w:t xml:space="preserve"> &lt; 0.05</w:t>
      </w:r>
    </w:p>
    <w:p w:rsidR="0046257A" w:rsidRDefault="0046257A">
      <w:bookmarkStart w:id="0" w:name="_GoBack"/>
      <w:bookmarkEnd w:id="0"/>
    </w:p>
    <w:sectPr w:rsidR="0046257A" w:rsidSect="00D61D05">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90B" w:rsidRPr="00C97B8F" w:rsidRDefault="00E05786" w:rsidP="00C97B8F">
    <w:pPr>
      <w:pStyle w:val="Topptekst"/>
      <w:rPr>
        <w:lang w:val="en-US"/>
      </w:rPr>
    </w:pPr>
    <w:r>
      <w:rPr>
        <w:rFonts w:ascii="Times New Roman" w:hAnsi="Times New Roman"/>
        <w:sz w:val="24"/>
        <w:szCs w:val="24"/>
        <w:lang w:val="en-US"/>
      </w:rPr>
      <w:t>Factors associate</w:t>
    </w:r>
    <w:r>
      <w:rPr>
        <w:rFonts w:ascii="Times New Roman" w:hAnsi="Times New Roman"/>
        <w:sz w:val="24"/>
        <w:szCs w:val="24"/>
        <w:lang w:val="en-US"/>
      </w:rPr>
      <w:t xml:space="preserve">d with </w:t>
    </w:r>
    <w:r>
      <w:rPr>
        <w:rFonts w:ascii="Times New Roman" w:hAnsi="Times New Roman"/>
        <w:sz w:val="24"/>
        <w:szCs w:val="24"/>
        <w:lang w:val="en-US"/>
      </w:rPr>
      <w:t>therapeutic approaches</w:t>
    </w:r>
    <w:r>
      <w:rPr>
        <w:rFonts w:ascii="Times New Roman" w:hAnsi="Times New Roman"/>
        <w:sz w:val="24"/>
        <w:szCs w:val="24"/>
        <w:lang w:val="en-US"/>
      </w:rPr>
      <w:tab/>
    </w:r>
    <w:r>
      <w:rPr>
        <w:rFonts w:ascii="Times New Roman" w:hAnsi="Times New Roman"/>
        <w:sz w:val="24"/>
        <w:szCs w:val="24"/>
        <w:lang w:val="en-US"/>
      </w:rPr>
      <w:tab/>
    </w:r>
    <w:r w:rsidRPr="00C97B8F">
      <w:rPr>
        <w:rFonts w:ascii="Times New Roman" w:hAnsi="Times New Roman"/>
        <w:sz w:val="24"/>
        <w:szCs w:val="24"/>
      </w:rPr>
      <w:fldChar w:fldCharType="begin"/>
    </w:r>
    <w:r w:rsidRPr="00C97B8F">
      <w:rPr>
        <w:rFonts w:ascii="Times New Roman" w:hAnsi="Times New Roman"/>
        <w:sz w:val="24"/>
        <w:szCs w:val="24"/>
        <w:lang w:val="en-US"/>
      </w:rPr>
      <w:instrText>PAGE   \* MERGEFORMAT</w:instrText>
    </w:r>
    <w:r w:rsidRPr="00C97B8F">
      <w:rPr>
        <w:rFonts w:ascii="Times New Roman" w:hAnsi="Times New Roman"/>
        <w:sz w:val="24"/>
        <w:szCs w:val="24"/>
      </w:rPr>
      <w:fldChar w:fldCharType="separate"/>
    </w:r>
    <w:r>
      <w:rPr>
        <w:rFonts w:ascii="Times New Roman" w:hAnsi="Times New Roman"/>
        <w:noProof/>
        <w:sz w:val="24"/>
        <w:szCs w:val="24"/>
        <w:lang w:val="en-US"/>
      </w:rPr>
      <w:t>4</w:t>
    </w:r>
    <w:r w:rsidRPr="00C97B8F">
      <w:rPr>
        <w:rFonts w:ascii="Times New Roman" w:hAnsi="Times New Roman"/>
        <w:sz w:val="24"/>
        <w:szCs w:val="24"/>
      </w:rPr>
      <w:fldChar w:fldCharType="end"/>
    </w:r>
  </w:p>
  <w:p w:rsidR="000C290B" w:rsidRPr="00C97BC0" w:rsidRDefault="00E05786">
    <w:pPr>
      <w:pStyle w:val="Top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86"/>
    <w:rsid w:val="0046257A"/>
    <w:rsid w:val="00E057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2606E-0A0D-4D1C-9FAE-6B5BEDD3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E05786"/>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E05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2372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Carstensen</dc:creator>
  <cp:keywords/>
  <dc:description/>
  <cp:lastModifiedBy>Tove Carstensen</cp:lastModifiedBy>
  <cp:revision>1</cp:revision>
  <dcterms:created xsi:type="dcterms:W3CDTF">2017-08-01T07:49:00Z</dcterms:created>
  <dcterms:modified xsi:type="dcterms:W3CDTF">2017-08-01T07:51:00Z</dcterms:modified>
</cp:coreProperties>
</file>